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2F96E5">
      <w:pPr>
        <w:spacing w:line="600" w:lineRule="atLeast"/>
        <w:ind w:firstLine="883"/>
        <w:jc w:val="center"/>
        <w:rPr>
          <w:rFonts w:ascii="宋体" w:hAnsi="宋体" w:eastAsia="宋体" w:cs="宋体"/>
          <w:b/>
          <w:color w:val="auto"/>
          <w:sz w:val="44"/>
          <w:szCs w:val="44"/>
        </w:rPr>
      </w:pPr>
    </w:p>
    <w:p w14:paraId="7EBE56A6">
      <w:pPr>
        <w:spacing w:line="600" w:lineRule="atLeast"/>
        <w:ind w:firstLine="0" w:firstLineChars="0"/>
        <w:jc w:val="center"/>
        <w:rPr>
          <w:rFonts w:hint="eastAsia" w:ascii="宋体" w:hAnsi="宋体" w:eastAsia="宋体" w:cs="宋体"/>
          <w:b/>
          <w:color w:val="auto"/>
          <w:sz w:val="44"/>
          <w:szCs w:val="44"/>
          <w:lang w:val="en-US" w:eastAsia="zh-CN"/>
        </w:rPr>
      </w:pPr>
      <w:r>
        <w:rPr>
          <w:rFonts w:hint="eastAsia" w:ascii="宋体" w:hAnsi="宋体" w:eastAsia="宋体" w:cs="宋体"/>
          <w:b/>
          <w:color w:val="auto"/>
          <w:sz w:val="52"/>
          <w:szCs w:val="52"/>
          <w:lang w:eastAsia="zh-CN"/>
        </w:rPr>
        <w:t>北大荒集团八五二农场两供两治一业供热改造项目</w:t>
      </w:r>
    </w:p>
    <w:p w14:paraId="2A6CC030">
      <w:pPr>
        <w:pStyle w:val="51"/>
        <w:ind w:firstLine="883"/>
        <w:rPr>
          <w:rFonts w:ascii="宋体" w:hAnsi="宋体" w:cs="宋体"/>
          <w:b/>
          <w:color w:val="auto"/>
          <w:sz w:val="44"/>
          <w:szCs w:val="44"/>
        </w:rPr>
      </w:pPr>
    </w:p>
    <w:p w14:paraId="1F1EA2EF">
      <w:pPr>
        <w:ind w:firstLine="0" w:firstLineChars="0"/>
        <w:jc w:val="center"/>
        <w:rPr>
          <w:rFonts w:ascii="Times New Roman" w:hAnsi="Times New Roman" w:eastAsia="黑体" w:cs="Times New Roman"/>
          <w:b/>
          <w:bCs/>
          <w:color w:val="auto"/>
          <w:spacing w:val="50"/>
          <w:sz w:val="84"/>
        </w:rPr>
      </w:pPr>
      <w:r>
        <w:rPr>
          <w:rFonts w:ascii="Times New Roman" w:hAnsi="Times New Roman" w:eastAsia="黑体" w:cs="Times New Roman"/>
          <w:bCs/>
          <w:color w:val="auto"/>
          <w:spacing w:val="50"/>
          <w:sz w:val="84"/>
        </w:rPr>
        <w:t>环境影响报告书</w:t>
      </w:r>
    </w:p>
    <w:p w14:paraId="67C87EDA">
      <w:pPr>
        <w:pStyle w:val="51"/>
        <w:ind w:firstLine="883"/>
        <w:rPr>
          <w:rFonts w:ascii="宋体" w:hAnsi="宋体" w:cs="宋体"/>
          <w:b/>
          <w:color w:val="auto"/>
          <w:sz w:val="44"/>
          <w:szCs w:val="44"/>
        </w:rPr>
      </w:pPr>
    </w:p>
    <w:p w14:paraId="132F7EC0">
      <w:pPr>
        <w:ind w:firstLine="480"/>
        <w:rPr>
          <w:color w:val="auto"/>
        </w:rPr>
      </w:pPr>
    </w:p>
    <w:p w14:paraId="4CB9E1B6">
      <w:pPr>
        <w:ind w:firstLine="1760" w:firstLineChars="550"/>
        <w:rPr>
          <w:rFonts w:ascii="Times New Roman" w:hAnsi="Times New Roman" w:eastAsia="宋体" w:cs="Times New Roman"/>
          <w:color w:val="auto"/>
          <w:sz w:val="32"/>
        </w:rPr>
      </w:pPr>
    </w:p>
    <w:p w14:paraId="21B8618C">
      <w:pPr>
        <w:ind w:firstLine="1760" w:firstLineChars="550"/>
        <w:rPr>
          <w:rFonts w:ascii="Times New Roman" w:hAnsi="Times New Roman" w:eastAsia="宋体" w:cs="Times New Roman"/>
          <w:color w:val="auto"/>
          <w:sz w:val="32"/>
        </w:rPr>
      </w:pPr>
    </w:p>
    <w:p w14:paraId="79B19A72">
      <w:pPr>
        <w:pStyle w:val="16"/>
        <w:ind w:firstLine="640"/>
        <w:rPr>
          <w:rFonts w:ascii="Times New Roman" w:hAnsi="Times New Roman" w:eastAsia="宋体" w:cs="Times New Roman"/>
          <w:color w:val="auto"/>
          <w:sz w:val="32"/>
        </w:rPr>
      </w:pPr>
    </w:p>
    <w:p w14:paraId="03A327AF">
      <w:pPr>
        <w:pStyle w:val="27"/>
        <w:ind w:left="6000" w:firstLine="480"/>
        <w:rPr>
          <w:color w:val="auto"/>
        </w:rPr>
      </w:pPr>
    </w:p>
    <w:p w14:paraId="4F9693A4">
      <w:pPr>
        <w:ind w:firstLine="1760" w:firstLineChars="550"/>
        <w:rPr>
          <w:rFonts w:ascii="Times New Roman" w:hAnsi="Times New Roman" w:eastAsia="宋体" w:cs="Times New Roman"/>
          <w:color w:val="auto"/>
          <w:sz w:val="32"/>
        </w:rPr>
      </w:pPr>
    </w:p>
    <w:p w14:paraId="46FBDC52">
      <w:pPr>
        <w:ind w:firstLine="1760" w:firstLineChars="550"/>
        <w:rPr>
          <w:rFonts w:ascii="Times New Roman" w:hAnsi="Times New Roman" w:eastAsia="宋体" w:cs="Times New Roman"/>
          <w:color w:val="auto"/>
          <w:sz w:val="32"/>
        </w:rPr>
      </w:pPr>
    </w:p>
    <w:p w14:paraId="6A66441C">
      <w:pPr>
        <w:ind w:firstLine="0" w:firstLineChars="0"/>
        <w:rPr>
          <w:rFonts w:ascii="Times New Roman" w:hAnsi="Times New Roman" w:eastAsia="宋体" w:cs="Times New Roman"/>
          <w:color w:val="auto"/>
          <w:sz w:val="32"/>
        </w:rPr>
      </w:pPr>
    </w:p>
    <w:p w14:paraId="2945FFDB">
      <w:pPr>
        <w:ind w:firstLine="1760" w:firstLineChars="550"/>
        <w:rPr>
          <w:rFonts w:ascii="Times New Roman" w:hAnsi="Times New Roman" w:eastAsia="宋体" w:cs="Times New Roman"/>
          <w:color w:val="auto"/>
          <w:sz w:val="32"/>
        </w:rPr>
      </w:pPr>
    </w:p>
    <w:p w14:paraId="42B4B632">
      <w:pPr>
        <w:ind w:firstLine="640"/>
        <w:rPr>
          <w:rFonts w:ascii="Times New Roman" w:hAnsi="Times New Roman" w:eastAsia="宋体" w:cs="Times New Roman"/>
          <w:color w:val="auto"/>
          <w:sz w:val="32"/>
        </w:rPr>
      </w:pPr>
      <w:r>
        <w:rPr>
          <w:rFonts w:ascii="Times New Roman" w:hAnsi="Times New Roman" w:eastAsia="宋体" w:cs="Times New Roman"/>
          <w:color w:val="auto"/>
          <w:sz w:val="32"/>
        </w:rPr>
        <w:t>建设单位：</w:t>
      </w:r>
      <w:r>
        <w:rPr>
          <w:rFonts w:hint="eastAsia" w:ascii="Times New Roman" w:hAnsi="Times New Roman" w:eastAsia="宋体" w:cs="Times New Roman"/>
          <w:color w:val="auto"/>
          <w:sz w:val="32"/>
        </w:rPr>
        <w:t>北大荒集团黑龙江八五二农场有限公司</w:t>
      </w:r>
    </w:p>
    <w:p w14:paraId="0C8C6995">
      <w:pPr>
        <w:ind w:firstLine="640"/>
        <w:rPr>
          <w:rFonts w:ascii="Times New Roman" w:hAnsi="Times New Roman" w:eastAsia="宋体" w:cs="Times New Roman"/>
          <w:color w:val="auto"/>
          <w:sz w:val="32"/>
        </w:rPr>
      </w:pPr>
      <w:r>
        <w:rPr>
          <w:rFonts w:ascii="Times New Roman" w:hAnsi="Times New Roman" w:eastAsia="宋体" w:cs="Times New Roman"/>
          <w:color w:val="auto"/>
          <w:sz w:val="32"/>
        </w:rPr>
        <w:t>编制单位：</w:t>
      </w:r>
      <w:r>
        <w:rPr>
          <w:rFonts w:hint="eastAsia" w:ascii="Times New Roman" w:hAnsi="Times New Roman" w:eastAsia="宋体" w:cs="Times New Roman"/>
          <w:color w:val="auto"/>
          <w:sz w:val="32"/>
          <w:szCs w:val="32"/>
        </w:rPr>
        <w:t>黑龙江冰众环保科技开发</w:t>
      </w:r>
      <w:r>
        <w:rPr>
          <w:rFonts w:ascii="Times New Roman" w:hAnsi="Times New Roman" w:eastAsia="宋体" w:cs="Times New Roman"/>
          <w:color w:val="auto"/>
          <w:sz w:val="32"/>
          <w:szCs w:val="32"/>
        </w:rPr>
        <w:t>有限公司</w:t>
      </w:r>
    </w:p>
    <w:p w14:paraId="45C1EA73">
      <w:pPr>
        <w:ind w:firstLine="480"/>
        <w:rPr>
          <w:rFonts w:ascii="Times New Roman" w:hAnsi="Times New Roman" w:eastAsia="宋体" w:cs="Times New Roman"/>
          <w:color w:val="auto"/>
        </w:rPr>
      </w:pPr>
    </w:p>
    <w:p w14:paraId="0CDFDB79">
      <w:pPr>
        <w:ind w:firstLine="227" w:firstLineChars="71"/>
        <w:jc w:val="center"/>
        <w:rPr>
          <w:rFonts w:ascii="Times New Roman" w:hAnsi="Times New Roman" w:eastAsia="宋体" w:cs="Times New Roman"/>
          <w:color w:val="auto"/>
          <w:sz w:val="32"/>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26" w:charSpace="0"/>
        </w:sectPr>
      </w:pPr>
      <w:r>
        <w:rPr>
          <w:rFonts w:ascii="Times New Roman" w:hAnsi="Times New Roman" w:eastAsia="宋体" w:cs="Times New Roman"/>
          <w:color w:val="auto"/>
          <w:sz w:val="32"/>
        </w:rPr>
        <w:t>编制日期：202</w:t>
      </w:r>
      <w:r>
        <w:rPr>
          <w:rFonts w:hint="eastAsia" w:ascii="Times New Roman" w:hAnsi="Times New Roman" w:eastAsia="宋体" w:cs="Times New Roman"/>
          <w:color w:val="auto"/>
          <w:sz w:val="32"/>
          <w:lang w:val="en-US" w:eastAsia="zh-CN"/>
        </w:rPr>
        <w:t>6</w:t>
      </w:r>
      <w:r>
        <w:rPr>
          <w:rFonts w:ascii="Times New Roman" w:hAnsi="Times New Roman" w:eastAsia="宋体" w:cs="Times New Roman"/>
          <w:color w:val="auto"/>
          <w:sz w:val="32"/>
        </w:rPr>
        <w:t>年</w:t>
      </w:r>
      <w:r>
        <w:rPr>
          <w:rFonts w:hint="eastAsia" w:ascii="Times New Roman" w:hAnsi="Times New Roman" w:eastAsia="宋体" w:cs="Times New Roman"/>
          <w:color w:val="auto"/>
          <w:sz w:val="32"/>
          <w:lang w:val="en-US" w:eastAsia="zh-CN"/>
        </w:rPr>
        <w:t>5</w:t>
      </w:r>
      <w:r>
        <w:rPr>
          <w:rFonts w:ascii="Times New Roman" w:hAnsi="Times New Roman" w:eastAsia="宋体" w:cs="Times New Roman"/>
          <w:color w:val="auto"/>
          <w:sz w:val="32"/>
        </w:rPr>
        <w:t>月</w:t>
      </w:r>
    </w:p>
    <w:p w14:paraId="5D18ED96">
      <w:pPr>
        <w:ind w:firstLine="227" w:firstLineChars="71"/>
        <w:jc w:val="center"/>
        <w:rPr>
          <w:rFonts w:hint="eastAsia" w:ascii="Times New Roman" w:hAnsi="Times New Roman" w:eastAsia="宋体" w:cs="Times New Roman"/>
          <w:color w:val="auto"/>
          <w:sz w:val="32"/>
          <w:lang w:eastAsia="zh-CN"/>
        </w:rPr>
      </w:pPr>
      <w:r>
        <w:rPr>
          <w:rFonts w:hint="eastAsia" w:ascii="Times New Roman" w:hAnsi="Times New Roman" w:eastAsia="宋体" w:cs="Times New Roman"/>
          <w:color w:val="auto"/>
          <w:sz w:val="32"/>
          <w:lang w:eastAsia="zh-CN"/>
        </w:rPr>
        <w:drawing>
          <wp:inline distT="0" distB="0" distL="114300" distR="114300">
            <wp:extent cx="5273675" cy="7430770"/>
            <wp:effectExtent l="0" t="0" r="9525" b="11430"/>
            <wp:docPr id="66" name="图片 66" descr="image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image00008"/>
                    <pic:cNvPicPr>
                      <a:picLocks noChangeAspect="1"/>
                    </pic:cNvPicPr>
                  </pic:nvPicPr>
                  <pic:blipFill>
                    <a:blip r:embed="rId20"/>
                    <a:stretch>
                      <a:fillRect/>
                    </a:stretch>
                  </pic:blipFill>
                  <pic:spPr>
                    <a:xfrm>
                      <a:off x="0" y="0"/>
                      <a:ext cx="5273675" cy="7430770"/>
                    </a:xfrm>
                    <a:prstGeom prst="rect">
                      <a:avLst/>
                    </a:prstGeom>
                  </pic:spPr>
                </pic:pic>
              </a:graphicData>
            </a:graphic>
          </wp:inline>
        </w:drawing>
      </w:r>
    </w:p>
    <w:p w14:paraId="2060C093">
      <w:pPr>
        <w:ind w:firstLine="227" w:firstLineChars="71"/>
        <w:jc w:val="center"/>
        <w:rPr>
          <w:rFonts w:hint="eastAsia" w:ascii="Times New Roman" w:hAnsi="Times New Roman" w:eastAsia="宋体" w:cs="Times New Roman"/>
          <w:color w:val="auto"/>
          <w:sz w:val="32"/>
          <w:lang w:eastAsia="zh-CN"/>
        </w:rPr>
      </w:pPr>
      <w:r>
        <w:rPr>
          <w:rFonts w:hint="eastAsia" w:ascii="Times New Roman" w:hAnsi="Times New Roman" w:eastAsia="宋体" w:cs="Times New Roman"/>
          <w:color w:val="auto"/>
          <w:sz w:val="32"/>
          <w:lang w:eastAsia="zh-CN"/>
        </w:rPr>
        <w:drawing>
          <wp:inline distT="0" distB="0" distL="114300" distR="114300">
            <wp:extent cx="5271135" cy="7331710"/>
            <wp:effectExtent l="0" t="0" r="12065" b="8890"/>
            <wp:docPr id="70" name="图片 70" descr="08936a0460a050d93ab2aa3ca57b68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08936a0460a050d93ab2aa3ca57b68b9"/>
                    <pic:cNvPicPr>
                      <a:picLocks noChangeAspect="1"/>
                    </pic:cNvPicPr>
                  </pic:nvPicPr>
                  <pic:blipFill>
                    <a:blip r:embed="rId21"/>
                    <a:stretch>
                      <a:fillRect/>
                    </a:stretch>
                  </pic:blipFill>
                  <pic:spPr>
                    <a:xfrm>
                      <a:off x="0" y="0"/>
                      <a:ext cx="5271135" cy="7331710"/>
                    </a:xfrm>
                    <a:prstGeom prst="rect">
                      <a:avLst/>
                    </a:prstGeom>
                  </pic:spPr>
                </pic:pic>
              </a:graphicData>
            </a:graphic>
          </wp:inline>
        </w:drawing>
      </w:r>
    </w:p>
    <w:p w14:paraId="79C7C453">
      <w:pPr>
        <w:ind w:firstLine="227" w:firstLineChars="71"/>
        <w:jc w:val="center"/>
        <w:rPr>
          <w:rFonts w:hint="eastAsia" w:ascii="Times New Roman" w:hAnsi="Times New Roman" w:eastAsia="宋体" w:cs="Times New Roman"/>
          <w:color w:val="auto"/>
          <w:sz w:val="32"/>
          <w:lang w:eastAsia="zh-CN"/>
        </w:rPr>
      </w:pPr>
    </w:p>
    <w:p w14:paraId="5178D344">
      <w:pPr>
        <w:pStyle w:val="34"/>
        <w:ind w:left="0" w:leftChars="0" w:firstLine="0" w:firstLineChars="0"/>
        <w:rPr>
          <w:color w:val="auto"/>
        </w:rPr>
      </w:pPr>
    </w:p>
    <w:p w14:paraId="4CB684A8">
      <w:pPr>
        <w:spacing w:line="240" w:lineRule="auto"/>
        <w:ind w:firstLine="0" w:firstLineChars="0"/>
        <w:rPr>
          <w:rFonts w:ascii="Times New Roman" w:hAnsi="Times New Roman" w:eastAsia="宋体" w:cs="Times New Roman"/>
          <w:color w:val="auto"/>
        </w:rPr>
        <w:sectPr>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26" w:charSpace="0"/>
        </w:sectPr>
      </w:pPr>
    </w:p>
    <w:sdt>
      <w:sdtPr>
        <w:rPr>
          <w:rFonts w:ascii="Times New Roman" w:hAnsi="Times New Roman" w:eastAsia="宋体" w:cs="Times New Roman"/>
          <w:b w:val="0"/>
          <w:bCs w:val="0"/>
          <w:color w:val="auto"/>
          <w:kern w:val="2"/>
          <w:sz w:val="24"/>
          <w:szCs w:val="22"/>
          <w:lang w:val="zh-CN"/>
        </w:rPr>
        <w:id w:val="-281209"/>
        <w:docPartObj>
          <w:docPartGallery w:val="Table of Contents"/>
          <w:docPartUnique/>
        </w:docPartObj>
      </w:sdtPr>
      <w:sdtEndPr>
        <w:rPr>
          <w:rFonts w:ascii="Times New Roman" w:hAnsi="Times New Roman" w:eastAsia="宋体" w:cs="Times New Roman"/>
          <w:b w:val="0"/>
          <w:bCs w:val="0"/>
          <w:color w:val="auto"/>
          <w:kern w:val="2"/>
          <w:sz w:val="24"/>
          <w:szCs w:val="22"/>
          <w:lang w:val="zh-CN"/>
        </w:rPr>
      </w:sdtEndPr>
      <w:sdtContent>
        <w:p w14:paraId="4C170165">
          <w:pPr>
            <w:pStyle w:val="87"/>
            <w:jc w:val="center"/>
            <w:rPr>
              <w:rFonts w:ascii="Times New Roman" w:hAnsi="Times New Roman" w:eastAsia="宋体" w:cs="Times New Roman"/>
              <w:color w:val="auto"/>
              <w:lang w:val="zh-CN"/>
            </w:rPr>
          </w:pPr>
          <w:r>
            <w:rPr>
              <w:rFonts w:ascii="Times New Roman" w:hAnsi="Times New Roman" w:eastAsia="宋体" w:cs="Times New Roman"/>
              <w:color w:val="auto"/>
              <w:lang w:val="zh-CN"/>
            </w:rPr>
            <w:t>目</w:t>
          </w:r>
          <w:r>
            <w:rPr>
              <w:rFonts w:ascii="Times New Roman" w:hAnsi="Times New Roman" w:eastAsia="宋体" w:cs="Times New Roman"/>
              <w:color w:val="auto"/>
            </w:rPr>
            <w:t xml:space="preserve">  </w:t>
          </w:r>
          <w:r>
            <w:rPr>
              <w:rFonts w:ascii="Times New Roman" w:hAnsi="Times New Roman" w:eastAsia="宋体" w:cs="Times New Roman"/>
              <w:color w:val="auto"/>
              <w:lang w:val="zh-CN"/>
            </w:rPr>
            <w:t>录</w:t>
          </w:r>
        </w:p>
        <w:p w14:paraId="7BA97C0B">
          <w:pPr>
            <w:pStyle w:val="18"/>
            <w:tabs>
              <w:tab w:val="right" w:leader="dot" w:pos="8306"/>
            </w:tabs>
            <w:rPr>
              <w:color w:val="auto"/>
            </w:rPr>
          </w:pPr>
          <w:r>
            <w:rPr>
              <w:rFonts w:ascii="Times New Roman" w:hAnsi="Times New Roman" w:eastAsia="宋体" w:cs="Times New Roman"/>
              <w:b/>
              <w:bCs/>
              <w:color w:val="auto"/>
              <w:lang w:val="zh-CN"/>
            </w:rPr>
            <w:fldChar w:fldCharType="begin"/>
          </w:r>
          <w:r>
            <w:rPr>
              <w:rFonts w:ascii="Times New Roman" w:hAnsi="Times New Roman" w:eastAsia="宋体" w:cs="Times New Roman"/>
              <w:b/>
              <w:bCs/>
              <w:color w:val="auto"/>
              <w:lang w:val="zh-CN"/>
            </w:rPr>
            <w:instrText xml:space="preserve">TOC \o "1-2" \h \u </w:instrText>
          </w:r>
          <w:r>
            <w:rPr>
              <w:rFonts w:ascii="Times New Roman" w:hAnsi="Times New Roman" w:eastAsia="宋体" w:cs="Times New Roman"/>
              <w:b/>
              <w:bCs/>
              <w:color w:val="auto"/>
              <w:lang w:val="zh-CN"/>
            </w:rPr>
            <w:fldChar w:fldCharType="separate"/>
          </w: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_Toc9965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kern w:val="2"/>
              <w:szCs w:val="32"/>
              <w:lang w:val="en-US"/>
            </w:rPr>
            <w:t>1、</w:t>
          </w:r>
          <w:r>
            <w:rPr>
              <w:rFonts w:hint="default" w:ascii="Times New Roman" w:hAnsi="Times New Roman" w:eastAsia="宋体" w:cs="Times New Roman"/>
              <w:bCs/>
              <w:color w:val="auto"/>
              <w:kern w:val="2"/>
              <w:szCs w:val="32"/>
            </w:rPr>
            <w:t>概述</w:t>
          </w:r>
          <w:r>
            <w:rPr>
              <w:color w:val="auto"/>
            </w:rPr>
            <w:tab/>
          </w:r>
          <w:r>
            <w:rPr>
              <w:color w:val="auto"/>
            </w:rPr>
            <w:fldChar w:fldCharType="begin"/>
          </w:r>
          <w:r>
            <w:rPr>
              <w:color w:val="auto"/>
            </w:rPr>
            <w:instrText xml:space="preserve"> PAGEREF _Toc9965 \h </w:instrText>
          </w:r>
          <w:r>
            <w:rPr>
              <w:color w:val="auto"/>
            </w:rPr>
            <w:fldChar w:fldCharType="separate"/>
          </w:r>
          <w:r>
            <w:rPr>
              <w:color w:val="auto"/>
            </w:rPr>
            <w:t>1</w:t>
          </w:r>
          <w:r>
            <w:rPr>
              <w:color w:val="auto"/>
            </w:rPr>
            <w:fldChar w:fldCharType="end"/>
          </w:r>
          <w:r>
            <w:rPr>
              <w:rFonts w:ascii="Times New Roman" w:hAnsi="Times New Roman" w:eastAsia="宋体" w:cs="Times New Roman"/>
              <w:bCs/>
              <w:color w:val="auto"/>
              <w:lang w:val="zh-CN"/>
            </w:rPr>
            <w:fldChar w:fldCharType="end"/>
          </w:r>
        </w:p>
        <w:p w14:paraId="57F7E0A9">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_Toc12666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1.1 </w:t>
          </w:r>
          <w:r>
            <w:rPr>
              <w:rFonts w:hint="default" w:ascii="Times New Roman" w:hAnsi="Times New Roman" w:eastAsia="宋体" w:cs="Times New Roman"/>
              <w:bCs/>
              <w:color w:val="auto"/>
            </w:rPr>
            <w:t>建设项目由来</w:t>
          </w:r>
          <w:r>
            <w:rPr>
              <w:color w:val="auto"/>
            </w:rPr>
            <w:tab/>
          </w:r>
          <w:r>
            <w:rPr>
              <w:color w:val="auto"/>
            </w:rPr>
            <w:fldChar w:fldCharType="begin"/>
          </w:r>
          <w:r>
            <w:rPr>
              <w:color w:val="auto"/>
            </w:rPr>
            <w:instrText xml:space="preserve"> PAGEREF _Toc12666 \h </w:instrText>
          </w:r>
          <w:r>
            <w:rPr>
              <w:color w:val="auto"/>
            </w:rPr>
            <w:fldChar w:fldCharType="separate"/>
          </w:r>
          <w:r>
            <w:rPr>
              <w:color w:val="auto"/>
            </w:rPr>
            <w:t>1</w:t>
          </w:r>
          <w:r>
            <w:rPr>
              <w:color w:val="auto"/>
            </w:rPr>
            <w:fldChar w:fldCharType="end"/>
          </w:r>
          <w:r>
            <w:rPr>
              <w:rFonts w:ascii="Times New Roman" w:hAnsi="Times New Roman" w:eastAsia="宋体" w:cs="Times New Roman"/>
              <w:bCs/>
              <w:color w:val="auto"/>
              <w:lang w:val="zh-CN"/>
            </w:rPr>
            <w:fldChar w:fldCharType="end"/>
          </w:r>
        </w:p>
        <w:p w14:paraId="4C3387C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_Toc15411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1.2 </w:t>
          </w:r>
          <w:r>
            <w:rPr>
              <w:rFonts w:hint="default" w:ascii="Times New Roman" w:hAnsi="Times New Roman" w:eastAsia="宋体" w:cs="Times New Roman"/>
              <w:bCs/>
              <w:color w:val="auto"/>
            </w:rPr>
            <w:t>建设项目的特点</w:t>
          </w:r>
          <w:r>
            <w:rPr>
              <w:color w:val="auto"/>
            </w:rPr>
            <w:tab/>
          </w:r>
          <w:r>
            <w:rPr>
              <w:color w:val="auto"/>
            </w:rPr>
            <w:fldChar w:fldCharType="begin"/>
          </w:r>
          <w:r>
            <w:rPr>
              <w:color w:val="auto"/>
            </w:rPr>
            <w:instrText xml:space="preserve"> PAGEREF _Toc15411 \h </w:instrText>
          </w:r>
          <w:r>
            <w:rPr>
              <w:color w:val="auto"/>
            </w:rPr>
            <w:fldChar w:fldCharType="separate"/>
          </w:r>
          <w:r>
            <w:rPr>
              <w:color w:val="auto"/>
            </w:rPr>
            <w:t>2</w:t>
          </w:r>
          <w:r>
            <w:rPr>
              <w:color w:val="auto"/>
            </w:rPr>
            <w:fldChar w:fldCharType="end"/>
          </w:r>
          <w:r>
            <w:rPr>
              <w:rFonts w:ascii="Times New Roman" w:hAnsi="Times New Roman" w:eastAsia="宋体" w:cs="Times New Roman"/>
              <w:bCs/>
              <w:color w:val="auto"/>
              <w:lang w:val="zh-CN"/>
            </w:rPr>
            <w:fldChar w:fldCharType="end"/>
          </w:r>
        </w:p>
        <w:p w14:paraId="58E3782E">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_Toc30107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1.3 </w:t>
          </w:r>
          <w:r>
            <w:rPr>
              <w:rFonts w:hint="default" w:ascii="Times New Roman" w:hAnsi="Times New Roman" w:eastAsia="宋体" w:cs="Times New Roman"/>
              <w:bCs/>
              <w:color w:val="auto"/>
            </w:rPr>
            <w:t>环境影响评价的工作过程</w:t>
          </w:r>
          <w:r>
            <w:rPr>
              <w:color w:val="auto"/>
            </w:rPr>
            <w:tab/>
          </w:r>
          <w:r>
            <w:rPr>
              <w:color w:val="auto"/>
            </w:rPr>
            <w:fldChar w:fldCharType="begin"/>
          </w:r>
          <w:r>
            <w:rPr>
              <w:color w:val="auto"/>
            </w:rPr>
            <w:instrText xml:space="preserve"> PAGEREF _Toc30107 \h </w:instrText>
          </w:r>
          <w:r>
            <w:rPr>
              <w:color w:val="auto"/>
            </w:rPr>
            <w:fldChar w:fldCharType="separate"/>
          </w:r>
          <w:r>
            <w:rPr>
              <w:color w:val="auto"/>
            </w:rPr>
            <w:t>4</w:t>
          </w:r>
          <w:r>
            <w:rPr>
              <w:color w:val="auto"/>
            </w:rPr>
            <w:fldChar w:fldCharType="end"/>
          </w:r>
          <w:r>
            <w:rPr>
              <w:rFonts w:ascii="Times New Roman" w:hAnsi="Times New Roman" w:eastAsia="宋体" w:cs="Times New Roman"/>
              <w:bCs/>
              <w:color w:val="auto"/>
              <w:lang w:val="zh-CN"/>
            </w:rPr>
            <w:fldChar w:fldCharType="end"/>
          </w:r>
        </w:p>
        <w:p w14:paraId="78091C35">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_Toc29333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1.4 </w:t>
          </w:r>
          <w:r>
            <w:rPr>
              <w:rFonts w:hint="default" w:ascii="Times New Roman" w:hAnsi="Times New Roman" w:eastAsia="宋体" w:cs="Times New Roman"/>
              <w:bCs/>
              <w:color w:val="auto"/>
            </w:rPr>
            <w:t>分析判定相关情况</w:t>
          </w:r>
          <w:r>
            <w:rPr>
              <w:color w:val="auto"/>
            </w:rPr>
            <w:tab/>
          </w:r>
          <w:r>
            <w:rPr>
              <w:color w:val="auto"/>
            </w:rPr>
            <w:fldChar w:fldCharType="begin"/>
          </w:r>
          <w:r>
            <w:rPr>
              <w:color w:val="auto"/>
            </w:rPr>
            <w:instrText xml:space="preserve"> PAGEREF _Toc29333 \h </w:instrText>
          </w:r>
          <w:r>
            <w:rPr>
              <w:color w:val="auto"/>
            </w:rPr>
            <w:fldChar w:fldCharType="separate"/>
          </w:r>
          <w:r>
            <w:rPr>
              <w:color w:val="auto"/>
            </w:rPr>
            <w:t>6</w:t>
          </w:r>
          <w:r>
            <w:rPr>
              <w:color w:val="auto"/>
            </w:rPr>
            <w:fldChar w:fldCharType="end"/>
          </w:r>
          <w:r>
            <w:rPr>
              <w:rFonts w:ascii="Times New Roman" w:hAnsi="Times New Roman" w:eastAsia="宋体" w:cs="Times New Roman"/>
              <w:bCs/>
              <w:color w:val="auto"/>
              <w:lang w:val="zh-CN"/>
            </w:rPr>
            <w:fldChar w:fldCharType="end"/>
          </w:r>
        </w:p>
        <w:p w14:paraId="3A2799A7">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_Toc7747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1.5 </w:t>
          </w:r>
          <w:r>
            <w:rPr>
              <w:rFonts w:hint="default" w:ascii="Times New Roman" w:hAnsi="Times New Roman" w:eastAsia="宋体" w:cs="Times New Roman"/>
              <w:bCs/>
              <w:color w:val="auto"/>
            </w:rPr>
            <w:t>关注的主要环境问题及环境影响</w:t>
          </w:r>
          <w:r>
            <w:rPr>
              <w:color w:val="auto"/>
            </w:rPr>
            <w:tab/>
          </w:r>
          <w:r>
            <w:rPr>
              <w:color w:val="auto"/>
            </w:rPr>
            <w:fldChar w:fldCharType="begin"/>
          </w:r>
          <w:r>
            <w:rPr>
              <w:color w:val="auto"/>
            </w:rPr>
            <w:instrText xml:space="preserve"> PAGEREF _Toc7747 \h </w:instrText>
          </w:r>
          <w:r>
            <w:rPr>
              <w:color w:val="auto"/>
            </w:rPr>
            <w:fldChar w:fldCharType="separate"/>
          </w:r>
          <w:r>
            <w:rPr>
              <w:color w:val="auto"/>
            </w:rPr>
            <w:t>25</w:t>
          </w:r>
          <w:r>
            <w:rPr>
              <w:color w:val="auto"/>
            </w:rPr>
            <w:fldChar w:fldCharType="end"/>
          </w:r>
          <w:r>
            <w:rPr>
              <w:rFonts w:ascii="Times New Roman" w:hAnsi="Times New Roman" w:eastAsia="宋体" w:cs="Times New Roman"/>
              <w:bCs/>
              <w:color w:val="auto"/>
              <w:lang w:val="zh-CN"/>
            </w:rPr>
            <w:fldChar w:fldCharType="end"/>
          </w:r>
        </w:p>
        <w:p w14:paraId="73ADD151">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_Toc6360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1.6 </w:t>
          </w:r>
          <w:r>
            <w:rPr>
              <w:rFonts w:hint="default" w:ascii="Times New Roman" w:hAnsi="Times New Roman" w:eastAsia="宋体" w:cs="Times New Roman"/>
              <w:bCs/>
              <w:color w:val="auto"/>
            </w:rPr>
            <w:t>环境影响评价工作主要结论</w:t>
          </w:r>
          <w:r>
            <w:rPr>
              <w:color w:val="auto"/>
            </w:rPr>
            <w:tab/>
          </w:r>
          <w:r>
            <w:rPr>
              <w:color w:val="auto"/>
            </w:rPr>
            <w:fldChar w:fldCharType="begin"/>
          </w:r>
          <w:r>
            <w:rPr>
              <w:color w:val="auto"/>
            </w:rPr>
            <w:instrText xml:space="preserve"> PAGEREF _Toc6360 \h </w:instrText>
          </w:r>
          <w:r>
            <w:rPr>
              <w:color w:val="auto"/>
            </w:rPr>
            <w:fldChar w:fldCharType="separate"/>
          </w:r>
          <w:r>
            <w:rPr>
              <w:color w:val="auto"/>
            </w:rPr>
            <w:t>28</w:t>
          </w:r>
          <w:r>
            <w:rPr>
              <w:color w:val="auto"/>
            </w:rPr>
            <w:fldChar w:fldCharType="end"/>
          </w:r>
          <w:r>
            <w:rPr>
              <w:rFonts w:ascii="Times New Roman" w:hAnsi="Times New Roman" w:eastAsia="宋体" w:cs="Times New Roman"/>
              <w:bCs/>
              <w:color w:val="auto"/>
              <w:lang w:val="zh-CN"/>
            </w:rPr>
            <w:fldChar w:fldCharType="end"/>
          </w:r>
        </w:p>
        <w:p w14:paraId="1E99EF5B">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_Toc16363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kern w:val="2"/>
              <w:szCs w:val="32"/>
              <w:lang w:val="en-US" w:eastAsia="zh-CN"/>
            </w:rPr>
            <w:t>2、</w:t>
          </w:r>
          <w:r>
            <w:rPr>
              <w:rFonts w:hint="default" w:ascii="Times New Roman" w:hAnsi="Times New Roman" w:eastAsia="宋体" w:cs="Times New Roman"/>
              <w:bCs/>
              <w:color w:val="auto"/>
              <w:kern w:val="2"/>
              <w:szCs w:val="32"/>
            </w:rPr>
            <w:t>总则</w:t>
          </w:r>
          <w:r>
            <w:rPr>
              <w:color w:val="auto"/>
            </w:rPr>
            <w:tab/>
          </w:r>
          <w:r>
            <w:rPr>
              <w:color w:val="auto"/>
            </w:rPr>
            <w:fldChar w:fldCharType="begin"/>
          </w:r>
          <w:r>
            <w:rPr>
              <w:color w:val="auto"/>
            </w:rPr>
            <w:instrText xml:space="preserve"> PAGEREF _Toc16363 \h </w:instrText>
          </w:r>
          <w:r>
            <w:rPr>
              <w:color w:val="auto"/>
            </w:rPr>
            <w:fldChar w:fldCharType="separate"/>
          </w:r>
          <w:r>
            <w:rPr>
              <w:color w:val="auto"/>
            </w:rPr>
            <w:t>29</w:t>
          </w:r>
          <w:r>
            <w:rPr>
              <w:color w:val="auto"/>
            </w:rPr>
            <w:fldChar w:fldCharType="end"/>
          </w:r>
          <w:r>
            <w:rPr>
              <w:rFonts w:ascii="Times New Roman" w:hAnsi="Times New Roman" w:eastAsia="宋体" w:cs="Times New Roman"/>
              <w:bCs/>
              <w:color w:val="auto"/>
              <w:lang w:val="zh-CN"/>
            </w:rPr>
            <w:fldChar w:fldCharType="end"/>
          </w:r>
        </w:p>
        <w:p w14:paraId="332D5ED6">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_Toc5939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2.1 </w:t>
          </w:r>
          <w:r>
            <w:rPr>
              <w:rFonts w:hint="default" w:ascii="Times New Roman" w:hAnsi="Times New Roman" w:eastAsia="宋体" w:cs="Times New Roman"/>
              <w:bCs/>
              <w:color w:val="auto"/>
            </w:rPr>
            <w:t>编制依据</w:t>
          </w:r>
          <w:r>
            <w:rPr>
              <w:color w:val="auto"/>
            </w:rPr>
            <w:tab/>
          </w:r>
          <w:r>
            <w:rPr>
              <w:color w:val="auto"/>
            </w:rPr>
            <w:fldChar w:fldCharType="begin"/>
          </w:r>
          <w:r>
            <w:rPr>
              <w:color w:val="auto"/>
            </w:rPr>
            <w:instrText xml:space="preserve"> PAGEREF _Toc5939 \h </w:instrText>
          </w:r>
          <w:r>
            <w:rPr>
              <w:color w:val="auto"/>
            </w:rPr>
            <w:fldChar w:fldCharType="separate"/>
          </w:r>
          <w:r>
            <w:rPr>
              <w:color w:val="auto"/>
            </w:rPr>
            <w:t>29</w:t>
          </w:r>
          <w:r>
            <w:rPr>
              <w:color w:val="auto"/>
            </w:rPr>
            <w:fldChar w:fldCharType="end"/>
          </w:r>
          <w:r>
            <w:rPr>
              <w:rFonts w:ascii="Times New Roman" w:hAnsi="Times New Roman" w:eastAsia="宋体" w:cs="Times New Roman"/>
              <w:bCs/>
              <w:color w:val="auto"/>
              <w:lang w:val="zh-CN"/>
            </w:rPr>
            <w:fldChar w:fldCharType="end"/>
          </w:r>
        </w:p>
        <w:p w14:paraId="2C8A58E2">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_Toc14598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2.2 </w:t>
          </w:r>
          <w:r>
            <w:rPr>
              <w:rFonts w:hint="default" w:ascii="Times New Roman" w:hAnsi="Times New Roman" w:eastAsia="宋体" w:cs="Times New Roman"/>
              <w:bCs/>
              <w:color w:val="auto"/>
            </w:rPr>
            <w:t>评价目的与原则</w:t>
          </w:r>
          <w:r>
            <w:rPr>
              <w:color w:val="auto"/>
            </w:rPr>
            <w:tab/>
          </w:r>
          <w:r>
            <w:rPr>
              <w:color w:val="auto"/>
            </w:rPr>
            <w:fldChar w:fldCharType="begin"/>
          </w:r>
          <w:r>
            <w:rPr>
              <w:color w:val="auto"/>
            </w:rPr>
            <w:instrText xml:space="preserve"> PAGEREF _Toc14598 \h </w:instrText>
          </w:r>
          <w:r>
            <w:rPr>
              <w:color w:val="auto"/>
            </w:rPr>
            <w:fldChar w:fldCharType="separate"/>
          </w:r>
          <w:r>
            <w:rPr>
              <w:color w:val="auto"/>
            </w:rPr>
            <w:t>32</w:t>
          </w:r>
          <w:r>
            <w:rPr>
              <w:color w:val="auto"/>
            </w:rPr>
            <w:fldChar w:fldCharType="end"/>
          </w:r>
          <w:r>
            <w:rPr>
              <w:rFonts w:ascii="Times New Roman" w:hAnsi="Times New Roman" w:eastAsia="宋体" w:cs="Times New Roman"/>
              <w:bCs/>
              <w:color w:val="auto"/>
              <w:lang w:val="zh-CN"/>
            </w:rPr>
            <w:fldChar w:fldCharType="end"/>
          </w:r>
        </w:p>
        <w:p w14:paraId="3BB99B5C">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_Toc29945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2.3 </w:t>
          </w:r>
          <w:r>
            <w:rPr>
              <w:rFonts w:hint="default" w:ascii="Times New Roman" w:hAnsi="Times New Roman" w:eastAsia="宋体" w:cs="Times New Roman"/>
              <w:bCs/>
              <w:color w:val="auto"/>
            </w:rPr>
            <w:t>评价因子与评价标准</w:t>
          </w:r>
          <w:r>
            <w:rPr>
              <w:color w:val="auto"/>
            </w:rPr>
            <w:tab/>
          </w:r>
          <w:r>
            <w:rPr>
              <w:color w:val="auto"/>
            </w:rPr>
            <w:fldChar w:fldCharType="begin"/>
          </w:r>
          <w:r>
            <w:rPr>
              <w:color w:val="auto"/>
            </w:rPr>
            <w:instrText xml:space="preserve"> PAGEREF _Toc29945 \h </w:instrText>
          </w:r>
          <w:r>
            <w:rPr>
              <w:color w:val="auto"/>
            </w:rPr>
            <w:fldChar w:fldCharType="separate"/>
          </w:r>
          <w:r>
            <w:rPr>
              <w:color w:val="auto"/>
            </w:rPr>
            <w:t>33</w:t>
          </w:r>
          <w:r>
            <w:rPr>
              <w:color w:val="auto"/>
            </w:rPr>
            <w:fldChar w:fldCharType="end"/>
          </w:r>
          <w:r>
            <w:rPr>
              <w:rFonts w:ascii="Times New Roman" w:hAnsi="Times New Roman" w:eastAsia="宋体" w:cs="Times New Roman"/>
              <w:bCs/>
              <w:color w:val="auto"/>
              <w:lang w:val="zh-CN"/>
            </w:rPr>
            <w:fldChar w:fldCharType="end"/>
          </w:r>
        </w:p>
        <w:p w14:paraId="11F3881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_Toc21384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2.4 </w:t>
          </w:r>
          <w:r>
            <w:rPr>
              <w:rFonts w:hint="default" w:ascii="Times New Roman" w:hAnsi="Times New Roman" w:eastAsia="宋体" w:cs="Times New Roman"/>
              <w:bCs/>
              <w:color w:val="auto"/>
            </w:rPr>
            <w:t>评价工作等级和评价范围</w:t>
          </w:r>
          <w:r>
            <w:rPr>
              <w:color w:val="auto"/>
            </w:rPr>
            <w:tab/>
          </w:r>
          <w:r>
            <w:rPr>
              <w:color w:val="auto"/>
            </w:rPr>
            <w:fldChar w:fldCharType="begin"/>
          </w:r>
          <w:r>
            <w:rPr>
              <w:color w:val="auto"/>
            </w:rPr>
            <w:instrText xml:space="preserve"> PAGEREF _Toc21384 \h </w:instrText>
          </w:r>
          <w:r>
            <w:rPr>
              <w:color w:val="auto"/>
            </w:rPr>
            <w:fldChar w:fldCharType="separate"/>
          </w:r>
          <w:r>
            <w:rPr>
              <w:color w:val="auto"/>
            </w:rPr>
            <w:t>41</w:t>
          </w:r>
          <w:r>
            <w:rPr>
              <w:color w:val="auto"/>
            </w:rPr>
            <w:fldChar w:fldCharType="end"/>
          </w:r>
          <w:r>
            <w:rPr>
              <w:rFonts w:ascii="Times New Roman" w:hAnsi="Times New Roman" w:eastAsia="宋体" w:cs="Times New Roman"/>
              <w:bCs/>
              <w:color w:val="auto"/>
              <w:lang w:val="zh-CN"/>
            </w:rPr>
            <w:fldChar w:fldCharType="end"/>
          </w:r>
        </w:p>
        <w:p w14:paraId="568EA749">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_Toc23705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2.5 </w:t>
          </w:r>
          <w:r>
            <w:rPr>
              <w:rFonts w:hint="default" w:ascii="Times New Roman" w:hAnsi="Times New Roman" w:eastAsia="宋体" w:cs="Times New Roman"/>
              <w:bCs/>
              <w:color w:val="auto"/>
            </w:rPr>
            <w:t>主要环境保护目标</w:t>
          </w:r>
          <w:r>
            <w:rPr>
              <w:color w:val="auto"/>
            </w:rPr>
            <w:tab/>
          </w:r>
          <w:r>
            <w:rPr>
              <w:color w:val="auto"/>
            </w:rPr>
            <w:fldChar w:fldCharType="begin"/>
          </w:r>
          <w:r>
            <w:rPr>
              <w:color w:val="auto"/>
            </w:rPr>
            <w:instrText xml:space="preserve"> PAGEREF _Toc23705 \h </w:instrText>
          </w:r>
          <w:r>
            <w:rPr>
              <w:color w:val="auto"/>
            </w:rPr>
            <w:fldChar w:fldCharType="separate"/>
          </w:r>
          <w:r>
            <w:rPr>
              <w:color w:val="auto"/>
            </w:rPr>
            <w:t>55</w:t>
          </w:r>
          <w:r>
            <w:rPr>
              <w:color w:val="auto"/>
            </w:rPr>
            <w:fldChar w:fldCharType="end"/>
          </w:r>
          <w:r>
            <w:rPr>
              <w:rFonts w:ascii="Times New Roman" w:hAnsi="Times New Roman" w:eastAsia="宋体" w:cs="Times New Roman"/>
              <w:bCs/>
              <w:color w:val="auto"/>
              <w:lang w:val="zh-CN"/>
            </w:rPr>
            <w:fldChar w:fldCharType="end"/>
          </w:r>
        </w:p>
        <w:p w14:paraId="33B2352B">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_Toc32605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kern w:val="2"/>
              <w:szCs w:val="32"/>
              <w:lang w:val="en-US" w:eastAsia="zh-CN"/>
            </w:rPr>
            <w:t>3、</w:t>
          </w:r>
          <w:r>
            <w:rPr>
              <w:rFonts w:hint="eastAsia" w:ascii="Times New Roman" w:hAnsi="Times New Roman" w:eastAsia="宋体" w:cs="Times New Roman"/>
              <w:bCs/>
              <w:color w:val="auto"/>
              <w:kern w:val="2"/>
              <w:szCs w:val="32"/>
              <w:lang w:val="en-US" w:eastAsia="zh-CN"/>
            </w:rPr>
            <w:t>工程概况</w:t>
          </w:r>
          <w:r>
            <w:rPr>
              <w:color w:val="auto"/>
            </w:rPr>
            <w:tab/>
          </w:r>
          <w:r>
            <w:rPr>
              <w:color w:val="auto"/>
            </w:rPr>
            <w:fldChar w:fldCharType="begin"/>
          </w:r>
          <w:r>
            <w:rPr>
              <w:color w:val="auto"/>
            </w:rPr>
            <w:instrText xml:space="preserve"> PAGEREF _Toc32605 \h </w:instrText>
          </w:r>
          <w:r>
            <w:rPr>
              <w:color w:val="auto"/>
            </w:rPr>
            <w:fldChar w:fldCharType="separate"/>
          </w:r>
          <w:r>
            <w:rPr>
              <w:color w:val="auto"/>
            </w:rPr>
            <w:t>61</w:t>
          </w:r>
          <w:r>
            <w:rPr>
              <w:color w:val="auto"/>
            </w:rPr>
            <w:fldChar w:fldCharType="end"/>
          </w:r>
          <w:r>
            <w:rPr>
              <w:rFonts w:ascii="Times New Roman" w:hAnsi="Times New Roman" w:eastAsia="宋体" w:cs="Times New Roman"/>
              <w:bCs/>
              <w:color w:val="auto"/>
              <w:lang w:val="zh-CN"/>
            </w:rPr>
            <w:fldChar w:fldCharType="end"/>
          </w:r>
        </w:p>
        <w:p w14:paraId="041B0C5A">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_Toc6298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3.1 </w:t>
          </w:r>
          <w:r>
            <w:rPr>
              <w:rFonts w:hint="default" w:ascii="Times New Roman" w:hAnsi="Times New Roman" w:eastAsia="宋体" w:cs="Times New Roman"/>
              <w:bCs/>
              <w:color w:val="auto"/>
            </w:rPr>
            <w:t>现有工程</w:t>
          </w:r>
          <w:r>
            <w:rPr>
              <w:rFonts w:hint="eastAsia" w:ascii="Times New Roman" w:hAnsi="Times New Roman" w:eastAsia="宋体" w:cs="Times New Roman"/>
              <w:bCs/>
              <w:color w:val="auto"/>
            </w:rPr>
            <w:t>建设内容</w:t>
          </w:r>
          <w:r>
            <w:rPr>
              <w:color w:val="auto"/>
            </w:rPr>
            <w:tab/>
          </w:r>
          <w:r>
            <w:rPr>
              <w:color w:val="auto"/>
            </w:rPr>
            <w:fldChar w:fldCharType="begin"/>
          </w:r>
          <w:r>
            <w:rPr>
              <w:color w:val="auto"/>
            </w:rPr>
            <w:instrText xml:space="preserve"> PAGEREF _Toc6298 \h </w:instrText>
          </w:r>
          <w:r>
            <w:rPr>
              <w:color w:val="auto"/>
            </w:rPr>
            <w:fldChar w:fldCharType="separate"/>
          </w:r>
          <w:r>
            <w:rPr>
              <w:color w:val="auto"/>
            </w:rPr>
            <w:t>61</w:t>
          </w:r>
          <w:r>
            <w:rPr>
              <w:color w:val="auto"/>
            </w:rPr>
            <w:fldChar w:fldCharType="end"/>
          </w:r>
          <w:r>
            <w:rPr>
              <w:rFonts w:ascii="Times New Roman" w:hAnsi="Times New Roman" w:eastAsia="宋体" w:cs="Times New Roman"/>
              <w:bCs/>
              <w:color w:val="auto"/>
              <w:lang w:val="zh-CN"/>
            </w:rPr>
            <w:fldChar w:fldCharType="end"/>
          </w:r>
        </w:p>
        <w:p w14:paraId="7CE0DCFE">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_Toc22011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3.2 </w:t>
          </w:r>
          <w:r>
            <w:rPr>
              <w:rFonts w:hint="eastAsia" w:ascii="Times New Roman" w:hAnsi="Times New Roman" w:eastAsia="宋体" w:cs="Times New Roman"/>
              <w:bCs/>
              <w:color w:val="auto"/>
            </w:rPr>
            <w:t>拟建工程建设内容</w:t>
          </w:r>
          <w:r>
            <w:rPr>
              <w:color w:val="auto"/>
            </w:rPr>
            <w:tab/>
          </w:r>
          <w:r>
            <w:rPr>
              <w:color w:val="auto"/>
            </w:rPr>
            <w:fldChar w:fldCharType="begin"/>
          </w:r>
          <w:r>
            <w:rPr>
              <w:color w:val="auto"/>
            </w:rPr>
            <w:instrText xml:space="preserve"> PAGEREF _Toc22011 \h </w:instrText>
          </w:r>
          <w:r>
            <w:rPr>
              <w:color w:val="auto"/>
            </w:rPr>
            <w:fldChar w:fldCharType="separate"/>
          </w:r>
          <w:r>
            <w:rPr>
              <w:color w:val="auto"/>
            </w:rPr>
            <w:t>74</w:t>
          </w:r>
          <w:r>
            <w:rPr>
              <w:color w:val="auto"/>
            </w:rPr>
            <w:fldChar w:fldCharType="end"/>
          </w:r>
          <w:r>
            <w:rPr>
              <w:rFonts w:ascii="Times New Roman" w:hAnsi="Times New Roman" w:eastAsia="宋体" w:cs="Times New Roman"/>
              <w:bCs/>
              <w:color w:val="auto"/>
              <w:lang w:val="zh-CN"/>
            </w:rPr>
            <w:fldChar w:fldCharType="end"/>
          </w:r>
        </w:p>
        <w:p w14:paraId="7306A25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_Toc6523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3.3 </w:t>
          </w:r>
          <w:r>
            <w:rPr>
              <w:rFonts w:hint="eastAsia" w:ascii="Times New Roman" w:hAnsi="Times New Roman" w:eastAsia="宋体" w:cs="Times New Roman"/>
              <w:bCs/>
              <w:color w:val="auto"/>
            </w:rPr>
            <w:t>燃料供应系统</w:t>
          </w:r>
          <w:r>
            <w:rPr>
              <w:color w:val="auto"/>
            </w:rPr>
            <w:tab/>
          </w:r>
          <w:r>
            <w:rPr>
              <w:color w:val="auto"/>
            </w:rPr>
            <w:fldChar w:fldCharType="begin"/>
          </w:r>
          <w:r>
            <w:rPr>
              <w:color w:val="auto"/>
            </w:rPr>
            <w:instrText xml:space="preserve"> PAGEREF _Toc6523 \h </w:instrText>
          </w:r>
          <w:r>
            <w:rPr>
              <w:color w:val="auto"/>
            </w:rPr>
            <w:fldChar w:fldCharType="separate"/>
          </w:r>
          <w:r>
            <w:rPr>
              <w:color w:val="auto"/>
            </w:rPr>
            <w:t>81</w:t>
          </w:r>
          <w:r>
            <w:rPr>
              <w:color w:val="auto"/>
            </w:rPr>
            <w:fldChar w:fldCharType="end"/>
          </w:r>
          <w:r>
            <w:rPr>
              <w:rFonts w:ascii="Times New Roman" w:hAnsi="Times New Roman" w:eastAsia="宋体" w:cs="Times New Roman"/>
              <w:bCs/>
              <w:color w:val="auto"/>
              <w:lang w:val="zh-CN"/>
            </w:rPr>
            <w:fldChar w:fldCharType="end"/>
          </w:r>
        </w:p>
        <w:p w14:paraId="78B3DC52">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_Toc22332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3.4 </w:t>
          </w:r>
          <w:r>
            <w:rPr>
              <w:rFonts w:hint="eastAsia" w:ascii="Times New Roman" w:hAnsi="Times New Roman" w:eastAsia="宋体" w:cs="Times New Roman"/>
              <w:bCs/>
              <w:color w:val="auto"/>
            </w:rPr>
            <w:t>锅炉生产工艺</w:t>
          </w:r>
          <w:r>
            <w:rPr>
              <w:color w:val="auto"/>
            </w:rPr>
            <w:tab/>
          </w:r>
          <w:r>
            <w:rPr>
              <w:color w:val="auto"/>
            </w:rPr>
            <w:fldChar w:fldCharType="begin"/>
          </w:r>
          <w:r>
            <w:rPr>
              <w:color w:val="auto"/>
            </w:rPr>
            <w:instrText xml:space="preserve"> PAGEREF _Toc22332 \h </w:instrText>
          </w:r>
          <w:r>
            <w:rPr>
              <w:color w:val="auto"/>
            </w:rPr>
            <w:fldChar w:fldCharType="separate"/>
          </w:r>
          <w:r>
            <w:rPr>
              <w:color w:val="auto"/>
            </w:rPr>
            <w:t>82</w:t>
          </w:r>
          <w:r>
            <w:rPr>
              <w:color w:val="auto"/>
            </w:rPr>
            <w:fldChar w:fldCharType="end"/>
          </w:r>
          <w:r>
            <w:rPr>
              <w:rFonts w:ascii="Times New Roman" w:hAnsi="Times New Roman" w:eastAsia="宋体" w:cs="Times New Roman"/>
              <w:bCs/>
              <w:color w:val="auto"/>
              <w:lang w:val="zh-CN"/>
            </w:rPr>
            <w:fldChar w:fldCharType="end"/>
          </w:r>
        </w:p>
        <w:p w14:paraId="2F38E0DA">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_Toc21415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3.5 配套</w:t>
          </w:r>
          <w:r>
            <w:rPr>
              <w:rFonts w:hint="eastAsia" w:ascii="Times New Roman" w:hAnsi="Times New Roman" w:eastAsia="宋体" w:cs="Times New Roman"/>
              <w:bCs/>
              <w:color w:val="auto"/>
            </w:rPr>
            <w:t>工程</w:t>
          </w:r>
          <w:r>
            <w:rPr>
              <w:color w:val="auto"/>
            </w:rPr>
            <w:tab/>
          </w:r>
          <w:r>
            <w:rPr>
              <w:color w:val="auto"/>
            </w:rPr>
            <w:fldChar w:fldCharType="begin"/>
          </w:r>
          <w:r>
            <w:rPr>
              <w:color w:val="auto"/>
            </w:rPr>
            <w:instrText xml:space="preserve"> PAGEREF _Toc21415 \h </w:instrText>
          </w:r>
          <w:r>
            <w:rPr>
              <w:color w:val="auto"/>
            </w:rPr>
            <w:fldChar w:fldCharType="separate"/>
          </w:r>
          <w:r>
            <w:rPr>
              <w:color w:val="auto"/>
            </w:rPr>
            <w:t>85</w:t>
          </w:r>
          <w:r>
            <w:rPr>
              <w:color w:val="auto"/>
            </w:rPr>
            <w:fldChar w:fldCharType="end"/>
          </w:r>
          <w:r>
            <w:rPr>
              <w:rFonts w:ascii="Times New Roman" w:hAnsi="Times New Roman" w:eastAsia="宋体" w:cs="Times New Roman"/>
              <w:bCs/>
              <w:color w:val="auto"/>
              <w:lang w:val="zh-CN"/>
            </w:rPr>
            <w:fldChar w:fldCharType="end"/>
          </w:r>
        </w:p>
        <w:p w14:paraId="4D1888DE">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_Toc4622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3.6 公用工程</w:t>
          </w:r>
          <w:r>
            <w:rPr>
              <w:color w:val="auto"/>
            </w:rPr>
            <w:tab/>
          </w:r>
          <w:r>
            <w:rPr>
              <w:color w:val="auto"/>
            </w:rPr>
            <w:fldChar w:fldCharType="begin"/>
          </w:r>
          <w:r>
            <w:rPr>
              <w:color w:val="auto"/>
            </w:rPr>
            <w:instrText xml:space="preserve"> PAGEREF _Toc4622 \h </w:instrText>
          </w:r>
          <w:r>
            <w:rPr>
              <w:color w:val="auto"/>
            </w:rPr>
            <w:fldChar w:fldCharType="separate"/>
          </w:r>
          <w:r>
            <w:rPr>
              <w:color w:val="auto"/>
            </w:rPr>
            <w:t>85</w:t>
          </w:r>
          <w:r>
            <w:rPr>
              <w:color w:val="auto"/>
            </w:rPr>
            <w:fldChar w:fldCharType="end"/>
          </w:r>
          <w:r>
            <w:rPr>
              <w:rFonts w:ascii="Times New Roman" w:hAnsi="Times New Roman" w:eastAsia="宋体" w:cs="Times New Roman"/>
              <w:bCs/>
              <w:color w:val="auto"/>
              <w:lang w:val="zh-CN"/>
            </w:rPr>
            <w:fldChar w:fldCharType="end"/>
          </w:r>
        </w:p>
        <w:p w14:paraId="2BB63AC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_Toc32210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3.7 平面布置</w:t>
          </w:r>
          <w:r>
            <w:rPr>
              <w:color w:val="auto"/>
            </w:rPr>
            <w:tab/>
          </w:r>
          <w:r>
            <w:rPr>
              <w:color w:val="auto"/>
            </w:rPr>
            <w:fldChar w:fldCharType="begin"/>
          </w:r>
          <w:r>
            <w:rPr>
              <w:color w:val="auto"/>
            </w:rPr>
            <w:instrText xml:space="preserve"> PAGEREF _Toc32210 \h </w:instrText>
          </w:r>
          <w:r>
            <w:rPr>
              <w:color w:val="auto"/>
            </w:rPr>
            <w:fldChar w:fldCharType="separate"/>
          </w:r>
          <w:r>
            <w:rPr>
              <w:color w:val="auto"/>
            </w:rPr>
            <w:t>86</w:t>
          </w:r>
          <w:r>
            <w:rPr>
              <w:color w:val="auto"/>
            </w:rPr>
            <w:fldChar w:fldCharType="end"/>
          </w:r>
          <w:r>
            <w:rPr>
              <w:rFonts w:ascii="Times New Roman" w:hAnsi="Times New Roman" w:eastAsia="宋体" w:cs="Times New Roman"/>
              <w:bCs/>
              <w:color w:val="auto"/>
              <w:lang w:val="zh-CN"/>
            </w:rPr>
            <w:fldChar w:fldCharType="end"/>
          </w:r>
        </w:p>
        <w:p w14:paraId="5198056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_Toc16332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3.8 劳动人员及工作制度</w:t>
          </w:r>
          <w:r>
            <w:rPr>
              <w:color w:val="auto"/>
            </w:rPr>
            <w:tab/>
          </w:r>
          <w:r>
            <w:rPr>
              <w:color w:val="auto"/>
            </w:rPr>
            <w:fldChar w:fldCharType="begin"/>
          </w:r>
          <w:r>
            <w:rPr>
              <w:color w:val="auto"/>
            </w:rPr>
            <w:instrText xml:space="preserve"> PAGEREF _Toc16332 \h </w:instrText>
          </w:r>
          <w:r>
            <w:rPr>
              <w:color w:val="auto"/>
            </w:rPr>
            <w:fldChar w:fldCharType="separate"/>
          </w:r>
          <w:r>
            <w:rPr>
              <w:color w:val="auto"/>
            </w:rPr>
            <w:t>87</w:t>
          </w:r>
          <w:r>
            <w:rPr>
              <w:color w:val="auto"/>
            </w:rPr>
            <w:fldChar w:fldCharType="end"/>
          </w:r>
          <w:r>
            <w:rPr>
              <w:rFonts w:ascii="Times New Roman" w:hAnsi="Times New Roman" w:eastAsia="宋体" w:cs="Times New Roman"/>
              <w:bCs/>
              <w:color w:val="auto"/>
              <w:lang w:val="zh-CN"/>
            </w:rPr>
            <w:fldChar w:fldCharType="end"/>
          </w:r>
        </w:p>
        <w:p w14:paraId="10DE78DA">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_Toc15230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3.9 建设周期</w:t>
          </w:r>
          <w:r>
            <w:rPr>
              <w:color w:val="auto"/>
            </w:rPr>
            <w:tab/>
          </w:r>
          <w:r>
            <w:rPr>
              <w:color w:val="auto"/>
            </w:rPr>
            <w:fldChar w:fldCharType="begin"/>
          </w:r>
          <w:r>
            <w:rPr>
              <w:color w:val="auto"/>
            </w:rPr>
            <w:instrText xml:space="preserve"> PAGEREF _Toc15230 \h </w:instrText>
          </w:r>
          <w:r>
            <w:rPr>
              <w:color w:val="auto"/>
            </w:rPr>
            <w:fldChar w:fldCharType="separate"/>
          </w:r>
          <w:r>
            <w:rPr>
              <w:color w:val="auto"/>
            </w:rPr>
            <w:t>87</w:t>
          </w:r>
          <w:r>
            <w:rPr>
              <w:color w:val="auto"/>
            </w:rPr>
            <w:fldChar w:fldCharType="end"/>
          </w:r>
          <w:r>
            <w:rPr>
              <w:rFonts w:ascii="Times New Roman" w:hAnsi="Times New Roman" w:eastAsia="宋体" w:cs="Times New Roman"/>
              <w:bCs/>
              <w:color w:val="auto"/>
              <w:lang w:val="zh-CN"/>
            </w:rPr>
            <w:fldChar w:fldCharType="end"/>
          </w:r>
        </w:p>
        <w:p w14:paraId="3B910E9E">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_Toc20282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3.10 项目投资估算</w:t>
          </w:r>
          <w:r>
            <w:rPr>
              <w:color w:val="auto"/>
            </w:rPr>
            <w:tab/>
          </w:r>
          <w:r>
            <w:rPr>
              <w:color w:val="auto"/>
            </w:rPr>
            <w:fldChar w:fldCharType="begin"/>
          </w:r>
          <w:r>
            <w:rPr>
              <w:color w:val="auto"/>
            </w:rPr>
            <w:instrText xml:space="preserve"> PAGEREF _Toc20282 \h </w:instrText>
          </w:r>
          <w:r>
            <w:rPr>
              <w:color w:val="auto"/>
            </w:rPr>
            <w:fldChar w:fldCharType="separate"/>
          </w:r>
          <w:r>
            <w:rPr>
              <w:color w:val="auto"/>
            </w:rPr>
            <w:t>87</w:t>
          </w:r>
          <w:r>
            <w:rPr>
              <w:color w:val="auto"/>
            </w:rPr>
            <w:fldChar w:fldCharType="end"/>
          </w:r>
          <w:r>
            <w:rPr>
              <w:rFonts w:ascii="Times New Roman" w:hAnsi="Times New Roman" w:eastAsia="宋体" w:cs="Times New Roman"/>
              <w:bCs/>
              <w:color w:val="auto"/>
              <w:lang w:val="zh-CN"/>
            </w:rPr>
            <w:fldChar w:fldCharType="end"/>
          </w:r>
        </w:p>
        <w:p w14:paraId="76A38542">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_Toc23679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kern w:val="2"/>
              <w:szCs w:val="32"/>
              <w:lang w:val="en-US" w:eastAsia="zh-CN"/>
            </w:rPr>
            <w:t>4、</w:t>
          </w:r>
          <w:r>
            <w:rPr>
              <w:rFonts w:hint="eastAsia" w:ascii="Times New Roman" w:hAnsi="Times New Roman" w:eastAsia="宋体" w:cs="Times New Roman"/>
              <w:bCs/>
              <w:color w:val="auto"/>
              <w:kern w:val="2"/>
              <w:szCs w:val="32"/>
              <w:lang w:val="en-US" w:eastAsia="zh-CN"/>
            </w:rPr>
            <w:t>工程分析</w:t>
          </w:r>
          <w:r>
            <w:rPr>
              <w:color w:val="auto"/>
            </w:rPr>
            <w:tab/>
          </w:r>
          <w:r>
            <w:rPr>
              <w:color w:val="auto"/>
            </w:rPr>
            <w:fldChar w:fldCharType="begin"/>
          </w:r>
          <w:r>
            <w:rPr>
              <w:color w:val="auto"/>
            </w:rPr>
            <w:instrText xml:space="preserve"> PAGEREF _Toc23679 \h </w:instrText>
          </w:r>
          <w:r>
            <w:rPr>
              <w:color w:val="auto"/>
            </w:rPr>
            <w:fldChar w:fldCharType="separate"/>
          </w:r>
          <w:r>
            <w:rPr>
              <w:color w:val="auto"/>
            </w:rPr>
            <w:t>88</w:t>
          </w:r>
          <w:r>
            <w:rPr>
              <w:color w:val="auto"/>
            </w:rPr>
            <w:fldChar w:fldCharType="end"/>
          </w:r>
          <w:r>
            <w:rPr>
              <w:rFonts w:ascii="Times New Roman" w:hAnsi="Times New Roman" w:eastAsia="宋体" w:cs="Times New Roman"/>
              <w:bCs/>
              <w:color w:val="auto"/>
              <w:lang w:val="zh-CN"/>
            </w:rPr>
            <w:fldChar w:fldCharType="end"/>
          </w:r>
        </w:p>
        <w:p w14:paraId="40AC1F07">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_Toc1142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4.1 工艺流程简述</w:t>
          </w:r>
          <w:r>
            <w:rPr>
              <w:color w:val="auto"/>
            </w:rPr>
            <w:tab/>
          </w:r>
          <w:r>
            <w:rPr>
              <w:color w:val="auto"/>
            </w:rPr>
            <w:fldChar w:fldCharType="begin"/>
          </w:r>
          <w:r>
            <w:rPr>
              <w:color w:val="auto"/>
            </w:rPr>
            <w:instrText xml:space="preserve"> PAGEREF _Toc1142 \h </w:instrText>
          </w:r>
          <w:r>
            <w:rPr>
              <w:color w:val="auto"/>
            </w:rPr>
            <w:fldChar w:fldCharType="separate"/>
          </w:r>
          <w:r>
            <w:rPr>
              <w:color w:val="auto"/>
            </w:rPr>
            <w:t>88</w:t>
          </w:r>
          <w:r>
            <w:rPr>
              <w:color w:val="auto"/>
            </w:rPr>
            <w:fldChar w:fldCharType="end"/>
          </w:r>
          <w:r>
            <w:rPr>
              <w:rFonts w:ascii="Times New Roman" w:hAnsi="Times New Roman" w:eastAsia="宋体" w:cs="Times New Roman"/>
              <w:bCs/>
              <w:color w:val="auto"/>
              <w:lang w:val="zh-CN"/>
            </w:rPr>
            <w:fldChar w:fldCharType="end"/>
          </w:r>
        </w:p>
        <w:p w14:paraId="031B9FB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_Toc25006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4.2 污染环节及污染因素分析</w:t>
          </w:r>
          <w:r>
            <w:rPr>
              <w:color w:val="auto"/>
            </w:rPr>
            <w:tab/>
          </w:r>
          <w:r>
            <w:rPr>
              <w:color w:val="auto"/>
            </w:rPr>
            <w:fldChar w:fldCharType="begin"/>
          </w:r>
          <w:r>
            <w:rPr>
              <w:color w:val="auto"/>
            </w:rPr>
            <w:instrText xml:space="preserve"> PAGEREF _Toc25006 \h </w:instrText>
          </w:r>
          <w:r>
            <w:rPr>
              <w:color w:val="auto"/>
            </w:rPr>
            <w:fldChar w:fldCharType="separate"/>
          </w:r>
          <w:r>
            <w:rPr>
              <w:color w:val="auto"/>
            </w:rPr>
            <w:t>88</w:t>
          </w:r>
          <w:r>
            <w:rPr>
              <w:color w:val="auto"/>
            </w:rPr>
            <w:fldChar w:fldCharType="end"/>
          </w:r>
          <w:r>
            <w:rPr>
              <w:rFonts w:ascii="Times New Roman" w:hAnsi="Times New Roman" w:eastAsia="宋体" w:cs="Times New Roman"/>
              <w:bCs/>
              <w:color w:val="auto"/>
              <w:lang w:val="zh-CN"/>
            </w:rPr>
            <w:fldChar w:fldCharType="end"/>
          </w:r>
        </w:p>
        <w:p w14:paraId="66D4D04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_Toc15711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4.3 主要污染环节及污染物分析</w:t>
          </w:r>
          <w:r>
            <w:rPr>
              <w:color w:val="auto"/>
            </w:rPr>
            <w:tab/>
          </w:r>
          <w:r>
            <w:rPr>
              <w:color w:val="auto"/>
            </w:rPr>
            <w:fldChar w:fldCharType="begin"/>
          </w:r>
          <w:r>
            <w:rPr>
              <w:color w:val="auto"/>
            </w:rPr>
            <w:instrText xml:space="preserve"> PAGEREF _Toc15711 \h </w:instrText>
          </w:r>
          <w:r>
            <w:rPr>
              <w:color w:val="auto"/>
            </w:rPr>
            <w:fldChar w:fldCharType="separate"/>
          </w:r>
          <w:r>
            <w:rPr>
              <w:color w:val="auto"/>
            </w:rPr>
            <w:t>91</w:t>
          </w:r>
          <w:r>
            <w:rPr>
              <w:color w:val="auto"/>
            </w:rPr>
            <w:fldChar w:fldCharType="end"/>
          </w:r>
          <w:r>
            <w:rPr>
              <w:rFonts w:ascii="Times New Roman" w:hAnsi="Times New Roman" w:eastAsia="宋体" w:cs="Times New Roman"/>
              <w:bCs/>
              <w:color w:val="auto"/>
              <w:lang w:val="zh-CN"/>
            </w:rPr>
            <w:fldChar w:fldCharType="end"/>
          </w:r>
        </w:p>
        <w:p w14:paraId="7DE80A1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_Toc14385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4.4 运营期污染物源强分析</w:t>
          </w:r>
          <w:r>
            <w:rPr>
              <w:color w:val="auto"/>
            </w:rPr>
            <w:tab/>
          </w:r>
          <w:r>
            <w:rPr>
              <w:color w:val="auto"/>
            </w:rPr>
            <w:fldChar w:fldCharType="begin"/>
          </w:r>
          <w:r>
            <w:rPr>
              <w:color w:val="auto"/>
            </w:rPr>
            <w:instrText xml:space="preserve"> PAGEREF _Toc14385 \h </w:instrText>
          </w:r>
          <w:r>
            <w:rPr>
              <w:color w:val="auto"/>
            </w:rPr>
            <w:fldChar w:fldCharType="separate"/>
          </w:r>
          <w:r>
            <w:rPr>
              <w:color w:val="auto"/>
            </w:rPr>
            <w:t>92</w:t>
          </w:r>
          <w:r>
            <w:rPr>
              <w:color w:val="auto"/>
            </w:rPr>
            <w:fldChar w:fldCharType="end"/>
          </w:r>
          <w:r>
            <w:rPr>
              <w:rFonts w:ascii="Times New Roman" w:hAnsi="Times New Roman" w:eastAsia="宋体" w:cs="Times New Roman"/>
              <w:bCs/>
              <w:color w:val="auto"/>
              <w:lang w:val="zh-CN"/>
            </w:rPr>
            <w:fldChar w:fldCharType="end"/>
          </w:r>
        </w:p>
        <w:p w14:paraId="5C6050B1">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_Toc9789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4.5 </w:t>
          </w:r>
          <w:r>
            <w:rPr>
              <w:rFonts w:hint="default" w:ascii="Times New Roman" w:hAnsi="Times New Roman" w:eastAsia="宋体" w:cs="Times New Roman"/>
              <w:bCs/>
              <w:color w:val="auto"/>
              <w:lang w:val="en-US" w:eastAsia="zh-CN"/>
            </w:rPr>
            <w:t>区域污染物排放总量变化情况</w:t>
          </w:r>
          <w:r>
            <w:rPr>
              <w:color w:val="auto"/>
            </w:rPr>
            <w:tab/>
          </w:r>
          <w:r>
            <w:rPr>
              <w:color w:val="auto"/>
            </w:rPr>
            <w:fldChar w:fldCharType="begin"/>
          </w:r>
          <w:r>
            <w:rPr>
              <w:color w:val="auto"/>
            </w:rPr>
            <w:instrText xml:space="preserve"> PAGEREF _Toc9789 \h </w:instrText>
          </w:r>
          <w:r>
            <w:rPr>
              <w:color w:val="auto"/>
            </w:rPr>
            <w:fldChar w:fldCharType="separate"/>
          </w:r>
          <w:r>
            <w:rPr>
              <w:color w:val="auto"/>
            </w:rPr>
            <w:t>107</w:t>
          </w:r>
          <w:r>
            <w:rPr>
              <w:color w:val="auto"/>
            </w:rPr>
            <w:fldChar w:fldCharType="end"/>
          </w:r>
          <w:r>
            <w:rPr>
              <w:rFonts w:ascii="Times New Roman" w:hAnsi="Times New Roman" w:eastAsia="宋体" w:cs="Times New Roman"/>
              <w:bCs/>
              <w:color w:val="auto"/>
              <w:lang w:val="zh-CN"/>
            </w:rPr>
            <w:fldChar w:fldCharType="end"/>
          </w:r>
        </w:p>
        <w:p w14:paraId="4554E99C">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_Toc26622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4.6 </w:t>
          </w:r>
          <w:r>
            <w:rPr>
              <w:rFonts w:hint="default" w:ascii="Times New Roman" w:hAnsi="Times New Roman" w:eastAsia="宋体" w:cs="Times New Roman"/>
              <w:bCs/>
              <w:color w:val="auto"/>
              <w:lang w:val="en-US" w:eastAsia="zh-CN"/>
            </w:rPr>
            <w:t>清洁生产分析</w:t>
          </w:r>
          <w:r>
            <w:rPr>
              <w:color w:val="auto"/>
            </w:rPr>
            <w:tab/>
          </w:r>
          <w:r>
            <w:rPr>
              <w:color w:val="auto"/>
            </w:rPr>
            <w:fldChar w:fldCharType="begin"/>
          </w:r>
          <w:r>
            <w:rPr>
              <w:color w:val="auto"/>
            </w:rPr>
            <w:instrText xml:space="preserve"> PAGEREF _Toc26622 \h </w:instrText>
          </w:r>
          <w:r>
            <w:rPr>
              <w:color w:val="auto"/>
            </w:rPr>
            <w:fldChar w:fldCharType="separate"/>
          </w:r>
          <w:r>
            <w:rPr>
              <w:color w:val="auto"/>
            </w:rPr>
            <w:t>109</w:t>
          </w:r>
          <w:r>
            <w:rPr>
              <w:color w:val="auto"/>
            </w:rPr>
            <w:fldChar w:fldCharType="end"/>
          </w:r>
          <w:r>
            <w:rPr>
              <w:rFonts w:ascii="Times New Roman" w:hAnsi="Times New Roman" w:eastAsia="宋体" w:cs="Times New Roman"/>
              <w:bCs/>
              <w:color w:val="auto"/>
              <w:lang w:val="zh-CN"/>
            </w:rPr>
            <w:fldChar w:fldCharType="end"/>
          </w:r>
        </w:p>
        <w:p w14:paraId="7D0E3FAF">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_Toc18616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kern w:val="2"/>
              <w:szCs w:val="32"/>
              <w:lang w:val="en-US" w:eastAsia="zh-CN"/>
            </w:rPr>
            <w:t>5、</w:t>
          </w:r>
          <w:r>
            <w:rPr>
              <w:rFonts w:hint="eastAsia" w:ascii="Times New Roman" w:hAnsi="Times New Roman" w:eastAsia="宋体" w:cs="Times New Roman"/>
              <w:bCs/>
              <w:color w:val="auto"/>
              <w:kern w:val="2"/>
              <w:szCs w:val="32"/>
              <w:lang w:val="en-US" w:eastAsia="zh-CN"/>
            </w:rPr>
            <w:t>环境现状调查与评价</w:t>
          </w:r>
          <w:r>
            <w:rPr>
              <w:color w:val="auto"/>
            </w:rPr>
            <w:tab/>
          </w:r>
          <w:r>
            <w:rPr>
              <w:color w:val="auto"/>
            </w:rPr>
            <w:fldChar w:fldCharType="begin"/>
          </w:r>
          <w:r>
            <w:rPr>
              <w:color w:val="auto"/>
            </w:rPr>
            <w:instrText xml:space="preserve"> PAGEREF _Toc18616 \h </w:instrText>
          </w:r>
          <w:r>
            <w:rPr>
              <w:color w:val="auto"/>
            </w:rPr>
            <w:fldChar w:fldCharType="separate"/>
          </w:r>
          <w:r>
            <w:rPr>
              <w:color w:val="auto"/>
            </w:rPr>
            <w:t>114</w:t>
          </w:r>
          <w:r>
            <w:rPr>
              <w:color w:val="auto"/>
            </w:rPr>
            <w:fldChar w:fldCharType="end"/>
          </w:r>
          <w:r>
            <w:rPr>
              <w:rFonts w:ascii="Times New Roman" w:hAnsi="Times New Roman" w:eastAsia="宋体" w:cs="Times New Roman"/>
              <w:bCs/>
              <w:color w:val="auto"/>
              <w:lang w:val="zh-CN"/>
            </w:rPr>
            <w:fldChar w:fldCharType="end"/>
          </w:r>
        </w:p>
        <w:p w14:paraId="2890C607">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_Toc6024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5.1 </w:t>
          </w:r>
          <w:r>
            <w:rPr>
              <w:rFonts w:hint="default" w:ascii="Times New Roman" w:hAnsi="Times New Roman" w:eastAsia="宋体" w:cs="Times New Roman"/>
              <w:bCs/>
              <w:color w:val="auto"/>
            </w:rPr>
            <w:t>自然环境概况</w:t>
          </w:r>
          <w:r>
            <w:rPr>
              <w:color w:val="auto"/>
            </w:rPr>
            <w:tab/>
          </w:r>
          <w:r>
            <w:rPr>
              <w:color w:val="auto"/>
            </w:rPr>
            <w:fldChar w:fldCharType="begin"/>
          </w:r>
          <w:r>
            <w:rPr>
              <w:color w:val="auto"/>
            </w:rPr>
            <w:instrText xml:space="preserve"> PAGEREF _Toc6024 \h </w:instrText>
          </w:r>
          <w:r>
            <w:rPr>
              <w:color w:val="auto"/>
            </w:rPr>
            <w:fldChar w:fldCharType="separate"/>
          </w:r>
          <w:r>
            <w:rPr>
              <w:color w:val="auto"/>
            </w:rPr>
            <w:t>114</w:t>
          </w:r>
          <w:r>
            <w:rPr>
              <w:color w:val="auto"/>
            </w:rPr>
            <w:fldChar w:fldCharType="end"/>
          </w:r>
          <w:r>
            <w:rPr>
              <w:rFonts w:ascii="Times New Roman" w:hAnsi="Times New Roman" w:eastAsia="宋体" w:cs="Times New Roman"/>
              <w:bCs/>
              <w:color w:val="auto"/>
              <w:lang w:val="zh-CN"/>
            </w:rPr>
            <w:fldChar w:fldCharType="end"/>
          </w:r>
        </w:p>
        <w:p w14:paraId="5BCBC8C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_Toc28498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5.2 </w:t>
          </w:r>
          <w:r>
            <w:rPr>
              <w:rFonts w:hint="default" w:ascii="Times New Roman" w:hAnsi="Times New Roman" w:eastAsia="宋体" w:cs="Times New Roman"/>
              <w:bCs/>
              <w:color w:val="auto"/>
            </w:rPr>
            <w:t>环境质量现状调查与评价</w:t>
          </w:r>
          <w:r>
            <w:rPr>
              <w:color w:val="auto"/>
            </w:rPr>
            <w:tab/>
          </w:r>
          <w:r>
            <w:rPr>
              <w:color w:val="auto"/>
            </w:rPr>
            <w:fldChar w:fldCharType="begin"/>
          </w:r>
          <w:r>
            <w:rPr>
              <w:color w:val="auto"/>
            </w:rPr>
            <w:instrText xml:space="preserve"> PAGEREF _Toc28498 \h </w:instrText>
          </w:r>
          <w:r>
            <w:rPr>
              <w:color w:val="auto"/>
            </w:rPr>
            <w:fldChar w:fldCharType="separate"/>
          </w:r>
          <w:r>
            <w:rPr>
              <w:color w:val="auto"/>
            </w:rPr>
            <w:t>128</w:t>
          </w:r>
          <w:r>
            <w:rPr>
              <w:color w:val="auto"/>
            </w:rPr>
            <w:fldChar w:fldCharType="end"/>
          </w:r>
          <w:r>
            <w:rPr>
              <w:rFonts w:ascii="Times New Roman" w:hAnsi="Times New Roman" w:eastAsia="宋体" w:cs="Times New Roman"/>
              <w:bCs/>
              <w:color w:val="auto"/>
              <w:lang w:val="zh-CN"/>
            </w:rPr>
            <w:fldChar w:fldCharType="end"/>
          </w:r>
        </w:p>
        <w:p w14:paraId="5CC23BD8">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_Toc5554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5.3 </w:t>
          </w:r>
          <w:r>
            <w:rPr>
              <w:rFonts w:hint="default" w:ascii="Times New Roman" w:hAnsi="Times New Roman" w:eastAsia="宋体" w:cs="Times New Roman"/>
              <w:bCs/>
              <w:color w:val="auto"/>
            </w:rPr>
            <w:t>区域环境保护目标调查</w:t>
          </w:r>
          <w:r>
            <w:rPr>
              <w:color w:val="auto"/>
            </w:rPr>
            <w:tab/>
          </w:r>
          <w:r>
            <w:rPr>
              <w:color w:val="auto"/>
            </w:rPr>
            <w:fldChar w:fldCharType="begin"/>
          </w:r>
          <w:r>
            <w:rPr>
              <w:color w:val="auto"/>
            </w:rPr>
            <w:instrText xml:space="preserve"> PAGEREF _Toc5554 \h </w:instrText>
          </w:r>
          <w:r>
            <w:rPr>
              <w:color w:val="auto"/>
            </w:rPr>
            <w:fldChar w:fldCharType="separate"/>
          </w:r>
          <w:r>
            <w:rPr>
              <w:color w:val="auto"/>
            </w:rPr>
            <w:t>142</w:t>
          </w:r>
          <w:r>
            <w:rPr>
              <w:color w:val="auto"/>
            </w:rPr>
            <w:fldChar w:fldCharType="end"/>
          </w:r>
          <w:r>
            <w:rPr>
              <w:rFonts w:ascii="Times New Roman" w:hAnsi="Times New Roman" w:eastAsia="宋体" w:cs="Times New Roman"/>
              <w:bCs/>
              <w:color w:val="auto"/>
              <w:lang w:val="zh-CN"/>
            </w:rPr>
            <w:fldChar w:fldCharType="end"/>
          </w:r>
        </w:p>
        <w:p w14:paraId="620EEC2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_Toc27149 </w:instrText>
          </w:r>
          <w:r>
            <w:rPr>
              <w:rFonts w:ascii="Times New Roman" w:hAnsi="Times New Roman" w:eastAsia="宋体" w:cs="Times New Roman"/>
              <w:bCs/>
              <w:color w:val="auto"/>
              <w:lang w:val="zh-CN"/>
            </w:rPr>
            <w:fldChar w:fldCharType="separate"/>
          </w:r>
          <w:r>
            <w:rPr>
              <w:rFonts w:hint="eastAsia" w:ascii="Times New Roman" w:hAnsi="Times New Roman" w:cs="Times New Roman"/>
              <w:bCs/>
              <w:color w:val="auto"/>
              <w:lang w:val="en-US" w:eastAsia="zh-CN"/>
            </w:rPr>
            <w:t xml:space="preserve">5.4 </w:t>
          </w:r>
          <w:r>
            <w:rPr>
              <w:rFonts w:hint="default" w:ascii="Times New Roman" w:hAnsi="Times New Roman" w:eastAsia="宋体" w:cs="Times New Roman"/>
              <w:bCs/>
              <w:color w:val="auto"/>
            </w:rPr>
            <w:t>区域污染源调查</w:t>
          </w:r>
          <w:r>
            <w:rPr>
              <w:color w:val="auto"/>
            </w:rPr>
            <w:tab/>
          </w:r>
          <w:r>
            <w:rPr>
              <w:color w:val="auto"/>
            </w:rPr>
            <w:fldChar w:fldCharType="begin"/>
          </w:r>
          <w:r>
            <w:rPr>
              <w:color w:val="auto"/>
            </w:rPr>
            <w:instrText xml:space="preserve"> PAGEREF _Toc27149 \h </w:instrText>
          </w:r>
          <w:r>
            <w:rPr>
              <w:color w:val="auto"/>
            </w:rPr>
            <w:fldChar w:fldCharType="separate"/>
          </w:r>
          <w:r>
            <w:rPr>
              <w:color w:val="auto"/>
            </w:rPr>
            <w:t>142</w:t>
          </w:r>
          <w:r>
            <w:rPr>
              <w:color w:val="auto"/>
            </w:rPr>
            <w:fldChar w:fldCharType="end"/>
          </w:r>
          <w:r>
            <w:rPr>
              <w:rFonts w:ascii="Times New Roman" w:hAnsi="Times New Roman" w:eastAsia="宋体" w:cs="Times New Roman"/>
              <w:bCs/>
              <w:color w:val="auto"/>
              <w:lang w:val="zh-CN"/>
            </w:rPr>
            <w:fldChar w:fldCharType="end"/>
          </w:r>
        </w:p>
        <w:p w14:paraId="23C0CFBF">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_Toc25723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kern w:val="2"/>
              <w:szCs w:val="32"/>
              <w:lang w:val="en-US"/>
            </w:rPr>
            <w:t>6、</w:t>
          </w:r>
          <w:r>
            <w:rPr>
              <w:rFonts w:hint="default" w:ascii="Times New Roman" w:hAnsi="Times New Roman" w:eastAsia="宋体" w:cs="Times New Roman"/>
              <w:bCs/>
              <w:color w:val="auto"/>
              <w:kern w:val="2"/>
              <w:szCs w:val="32"/>
            </w:rPr>
            <w:t>环境影响预测与评价</w:t>
          </w:r>
          <w:r>
            <w:rPr>
              <w:color w:val="auto"/>
            </w:rPr>
            <w:tab/>
          </w:r>
          <w:r>
            <w:rPr>
              <w:color w:val="auto"/>
            </w:rPr>
            <w:fldChar w:fldCharType="begin"/>
          </w:r>
          <w:r>
            <w:rPr>
              <w:color w:val="auto"/>
            </w:rPr>
            <w:instrText xml:space="preserve"> PAGEREF _Toc25723 \h </w:instrText>
          </w:r>
          <w:r>
            <w:rPr>
              <w:color w:val="auto"/>
            </w:rPr>
            <w:fldChar w:fldCharType="separate"/>
          </w:r>
          <w:r>
            <w:rPr>
              <w:color w:val="auto"/>
            </w:rPr>
            <w:t>144</w:t>
          </w:r>
          <w:r>
            <w:rPr>
              <w:color w:val="auto"/>
            </w:rPr>
            <w:fldChar w:fldCharType="end"/>
          </w:r>
          <w:r>
            <w:rPr>
              <w:rFonts w:ascii="Times New Roman" w:hAnsi="Times New Roman" w:eastAsia="宋体" w:cs="Times New Roman"/>
              <w:bCs/>
              <w:color w:val="auto"/>
              <w:lang w:val="zh-CN"/>
            </w:rPr>
            <w:fldChar w:fldCharType="end"/>
          </w:r>
        </w:p>
        <w:p w14:paraId="5CA19F41">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_Toc25826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6.1 </w:t>
          </w:r>
          <w:r>
            <w:rPr>
              <w:rFonts w:hint="eastAsia" w:ascii="Times New Roman" w:hAnsi="Times New Roman" w:eastAsia="宋体" w:cs="Times New Roman"/>
              <w:bCs/>
              <w:color w:val="auto"/>
            </w:rPr>
            <w:t>施工期环境影响预测</w:t>
          </w:r>
          <w:r>
            <w:rPr>
              <w:color w:val="auto"/>
            </w:rPr>
            <w:tab/>
          </w:r>
          <w:r>
            <w:rPr>
              <w:color w:val="auto"/>
            </w:rPr>
            <w:fldChar w:fldCharType="begin"/>
          </w:r>
          <w:r>
            <w:rPr>
              <w:color w:val="auto"/>
            </w:rPr>
            <w:instrText xml:space="preserve"> PAGEREF _Toc25826 \h </w:instrText>
          </w:r>
          <w:r>
            <w:rPr>
              <w:color w:val="auto"/>
            </w:rPr>
            <w:fldChar w:fldCharType="separate"/>
          </w:r>
          <w:r>
            <w:rPr>
              <w:color w:val="auto"/>
            </w:rPr>
            <w:t>144</w:t>
          </w:r>
          <w:r>
            <w:rPr>
              <w:color w:val="auto"/>
            </w:rPr>
            <w:fldChar w:fldCharType="end"/>
          </w:r>
          <w:r>
            <w:rPr>
              <w:rFonts w:ascii="Times New Roman" w:hAnsi="Times New Roman" w:eastAsia="宋体" w:cs="Times New Roman"/>
              <w:bCs/>
              <w:color w:val="auto"/>
              <w:lang w:val="zh-CN"/>
            </w:rPr>
            <w:fldChar w:fldCharType="end"/>
          </w:r>
        </w:p>
        <w:p w14:paraId="1FD52EB7">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_Toc18218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val="en-US" w:eastAsia="zh-CN"/>
            </w:rPr>
            <w:t xml:space="preserve">6.2 </w:t>
          </w:r>
          <w:r>
            <w:rPr>
              <w:rFonts w:hint="eastAsia" w:ascii="Times New Roman" w:hAnsi="Times New Roman" w:eastAsia="宋体" w:cs="Times New Roman"/>
              <w:bCs/>
              <w:color w:val="auto"/>
            </w:rPr>
            <w:t>运营期环境影响预测</w:t>
          </w:r>
          <w:r>
            <w:rPr>
              <w:color w:val="auto"/>
            </w:rPr>
            <w:tab/>
          </w:r>
          <w:r>
            <w:rPr>
              <w:color w:val="auto"/>
            </w:rPr>
            <w:fldChar w:fldCharType="begin"/>
          </w:r>
          <w:r>
            <w:rPr>
              <w:color w:val="auto"/>
            </w:rPr>
            <w:instrText xml:space="preserve"> PAGEREF _Toc18218 \h </w:instrText>
          </w:r>
          <w:r>
            <w:rPr>
              <w:color w:val="auto"/>
            </w:rPr>
            <w:fldChar w:fldCharType="separate"/>
          </w:r>
          <w:r>
            <w:rPr>
              <w:color w:val="auto"/>
            </w:rPr>
            <w:t>147</w:t>
          </w:r>
          <w:r>
            <w:rPr>
              <w:color w:val="auto"/>
            </w:rPr>
            <w:fldChar w:fldCharType="end"/>
          </w:r>
          <w:r>
            <w:rPr>
              <w:rFonts w:ascii="Times New Roman" w:hAnsi="Times New Roman" w:eastAsia="宋体" w:cs="Times New Roman"/>
              <w:bCs/>
              <w:color w:val="auto"/>
              <w:lang w:val="zh-CN"/>
            </w:rPr>
            <w:fldChar w:fldCharType="end"/>
          </w:r>
        </w:p>
        <w:p w14:paraId="310F5FB0">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_Toc23287 </w:instrText>
          </w:r>
          <w:r>
            <w:rPr>
              <w:rFonts w:ascii="Times New Roman" w:hAnsi="Times New Roman" w:eastAsia="宋体" w:cs="Times New Roman"/>
              <w:bCs/>
              <w:color w:val="auto"/>
              <w:lang w:val="zh-CN"/>
            </w:rPr>
            <w:fldChar w:fldCharType="separate"/>
          </w:r>
          <w:r>
            <w:rPr>
              <w:rFonts w:hint="default" w:ascii="Times New Roman" w:hAnsi="Times New Roman" w:eastAsia="宋体" w:cs="Times New Roman"/>
              <w:bCs/>
              <w:color w:val="auto"/>
              <w:kern w:val="2"/>
              <w:szCs w:val="32"/>
            </w:rPr>
            <w:t>7</w:t>
          </w:r>
          <w:r>
            <w:rPr>
              <w:rFonts w:hint="eastAsia" w:ascii="Times New Roman" w:hAnsi="Times New Roman" w:cs="Times New Roman"/>
              <w:bCs/>
              <w:color w:val="auto"/>
              <w:kern w:val="2"/>
              <w:szCs w:val="32"/>
            </w:rPr>
            <w:t>、</w:t>
          </w:r>
          <w:r>
            <w:rPr>
              <w:rFonts w:hint="default" w:ascii="Times New Roman" w:hAnsi="Times New Roman" w:eastAsia="宋体" w:cs="Times New Roman"/>
              <w:bCs/>
              <w:color w:val="auto"/>
              <w:kern w:val="2"/>
              <w:szCs w:val="32"/>
            </w:rPr>
            <w:t>环境保护措施及其可行性分析</w:t>
          </w:r>
          <w:r>
            <w:rPr>
              <w:color w:val="auto"/>
            </w:rPr>
            <w:tab/>
          </w:r>
          <w:r>
            <w:rPr>
              <w:color w:val="auto"/>
            </w:rPr>
            <w:fldChar w:fldCharType="begin"/>
          </w:r>
          <w:r>
            <w:rPr>
              <w:color w:val="auto"/>
            </w:rPr>
            <w:instrText xml:space="preserve"> PAGEREF _Toc23287 \h </w:instrText>
          </w:r>
          <w:r>
            <w:rPr>
              <w:color w:val="auto"/>
            </w:rPr>
            <w:fldChar w:fldCharType="separate"/>
          </w:r>
          <w:r>
            <w:rPr>
              <w:color w:val="auto"/>
            </w:rPr>
            <w:t>198</w:t>
          </w:r>
          <w:r>
            <w:rPr>
              <w:color w:val="auto"/>
            </w:rPr>
            <w:fldChar w:fldCharType="end"/>
          </w:r>
          <w:r>
            <w:rPr>
              <w:rFonts w:ascii="Times New Roman" w:hAnsi="Times New Roman" w:eastAsia="宋体" w:cs="Times New Roman"/>
              <w:bCs/>
              <w:color w:val="auto"/>
              <w:lang w:val="zh-CN"/>
            </w:rPr>
            <w:fldChar w:fldCharType="end"/>
          </w:r>
        </w:p>
        <w:p w14:paraId="6F9C327A">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_Toc2867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7.1 施工期环境保护措施</w:t>
          </w:r>
          <w:r>
            <w:rPr>
              <w:color w:val="auto"/>
            </w:rPr>
            <w:tab/>
          </w:r>
          <w:r>
            <w:rPr>
              <w:color w:val="auto"/>
            </w:rPr>
            <w:fldChar w:fldCharType="begin"/>
          </w:r>
          <w:r>
            <w:rPr>
              <w:color w:val="auto"/>
            </w:rPr>
            <w:instrText xml:space="preserve"> PAGEREF _Toc2867 \h </w:instrText>
          </w:r>
          <w:r>
            <w:rPr>
              <w:color w:val="auto"/>
            </w:rPr>
            <w:fldChar w:fldCharType="separate"/>
          </w:r>
          <w:r>
            <w:rPr>
              <w:color w:val="auto"/>
            </w:rPr>
            <w:t>198</w:t>
          </w:r>
          <w:r>
            <w:rPr>
              <w:color w:val="auto"/>
            </w:rPr>
            <w:fldChar w:fldCharType="end"/>
          </w:r>
          <w:r>
            <w:rPr>
              <w:rFonts w:ascii="Times New Roman" w:hAnsi="Times New Roman" w:eastAsia="宋体" w:cs="Times New Roman"/>
              <w:bCs/>
              <w:color w:val="auto"/>
              <w:lang w:val="zh-CN"/>
            </w:rPr>
            <w:fldChar w:fldCharType="end"/>
          </w:r>
        </w:p>
        <w:p w14:paraId="7D46DA9F">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_Toc10250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7.2 运营期环境保护措施</w:t>
          </w:r>
          <w:r>
            <w:rPr>
              <w:color w:val="auto"/>
            </w:rPr>
            <w:tab/>
          </w:r>
          <w:r>
            <w:rPr>
              <w:color w:val="auto"/>
            </w:rPr>
            <w:fldChar w:fldCharType="begin"/>
          </w:r>
          <w:r>
            <w:rPr>
              <w:color w:val="auto"/>
            </w:rPr>
            <w:instrText xml:space="preserve"> PAGEREF _Toc10250 \h </w:instrText>
          </w:r>
          <w:r>
            <w:rPr>
              <w:color w:val="auto"/>
            </w:rPr>
            <w:fldChar w:fldCharType="separate"/>
          </w:r>
          <w:r>
            <w:rPr>
              <w:color w:val="auto"/>
            </w:rPr>
            <w:t>200</w:t>
          </w:r>
          <w:r>
            <w:rPr>
              <w:color w:val="auto"/>
            </w:rPr>
            <w:fldChar w:fldCharType="end"/>
          </w:r>
          <w:r>
            <w:rPr>
              <w:rFonts w:ascii="Times New Roman" w:hAnsi="Times New Roman" w:eastAsia="宋体" w:cs="Times New Roman"/>
              <w:bCs/>
              <w:color w:val="auto"/>
              <w:lang w:val="zh-CN"/>
            </w:rPr>
            <w:fldChar w:fldCharType="end"/>
          </w:r>
        </w:p>
        <w:p w14:paraId="440905B4">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_Toc14225 </w:instrText>
          </w:r>
          <w:r>
            <w:rPr>
              <w:rFonts w:ascii="Times New Roman" w:hAnsi="Times New Roman" w:eastAsia="宋体" w:cs="Times New Roman"/>
              <w:bCs/>
              <w:color w:val="auto"/>
              <w:lang w:val="zh-CN"/>
            </w:rPr>
            <w:fldChar w:fldCharType="separate"/>
          </w:r>
          <w:r>
            <w:rPr>
              <w:rFonts w:hint="default" w:ascii="Times New Roman" w:hAnsi="Times New Roman" w:eastAsia="宋体" w:cs="Times New Roman"/>
              <w:bCs/>
              <w:color w:val="auto"/>
              <w:kern w:val="2"/>
              <w:szCs w:val="32"/>
            </w:rPr>
            <w:t>8</w:t>
          </w:r>
          <w:r>
            <w:rPr>
              <w:rFonts w:hint="eastAsia" w:ascii="Times New Roman" w:hAnsi="Times New Roman" w:eastAsia="宋体" w:cs="Times New Roman"/>
              <w:bCs/>
              <w:color w:val="auto"/>
              <w:kern w:val="2"/>
              <w:szCs w:val="32"/>
            </w:rPr>
            <w:t>、</w:t>
          </w:r>
          <w:r>
            <w:rPr>
              <w:rFonts w:hint="default" w:ascii="Times New Roman" w:hAnsi="Times New Roman" w:eastAsia="宋体" w:cs="Times New Roman"/>
              <w:bCs/>
              <w:color w:val="auto"/>
              <w:kern w:val="2"/>
              <w:szCs w:val="32"/>
            </w:rPr>
            <w:t>环境影响经济损益分析</w:t>
          </w:r>
          <w:r>
            <w:rPr>
              <w:color w:val="auto"/>
            </w:rPr>
            <w:tab/>
          </w:r>
          <w:r>
            <w:rPr>
              <w:color w:val="auto"/>
            </w:rPr>
            <w:fldChar w:fldCharType="begin"/>
          </w:r>
          <w:r>
            <w:rPr>
              <w:color w:val="auto"/>
            </w:rPr>
            <w:instrText xml:space="preserve"> PAGEREF _Toc14225 \h </w:instrText>
          </w:r>
          <w:r>
            <w:rPr>
              <w:color w:val="auto"/>
            </w:rPr>
            <w:fldChar w:fldCharType="separate"/>
          </w:r>
          <w:r>
            <w:rPr>
              <w:color w:val="auto"/>
            </w:rPr>
            <w:t>217</w:t>
          </w:r>
          <w:r>
            <w:rPr>
              <w:color w:val="auto"/>
            </w:rPr>
            <w:fldChar w:fldCharType="end"/>
          </w:r>
          <w:r>
            <w:rPr>
              <w:rFonts w:ascii="Times New Roman" w:hAnsi="Times New Roman" w:eastAsia="宋体" w:cs="Times New Roman"/>
              <w:bCs/>
              <w:color w:val="auto"/>
              <w:lang w:val="zh-CN"/>
            </w:rPr>
            <w:fldChar w:fldCharType="end"/>
          </w:r>
        </w:p>
        <w:p w14:paraId="30A9912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_Toc19144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8.1 经济效益</w:t>
          </w:r>
          <w:r>
            <w:rPr>
              <w:color w:val="auto"/>
            </w:rPr>
            <w:tab/>
          </w:r>
          <w:r>
            <w:rPr>
              <w:color w:val="auto"/>
            </w:rPr>
            <w:fldChar w:fldCharType="begin"/>
          </w:r>
          <w:r>
            <w:rPr>
              <w:color w:val="auto"/>
            </w:rPr>
            <w:instrText xml:space="preserve"> PAGEREF _Toc19144 \h </w:instrText>
          </w:r>
          <w:r>
            <w:rPr>
              <w:color w:val="auto"/>
            </w:rPr>
            <w:fldChar w:fldCharType="separate"/>
          </w:r>
          <w:r>
            <w:rPr>
              <w:color w:val="auto"/>
            </w:rPr>
            <w:t>217</w:t>
          </w:r>
          <w:r>
            <w:rPr>
              <w:color w:val="auto"/>
            </w:rPr>
            <w:fldChar w:fldCharType="end"/>
          </w:r>
          <w:r>
            <w:rPr>
              <w:rFonts w:ascii="Times New Roman" w:hAnsi="Times New Roman" w:eastAsia="宋体" w:cs="Times New Roman"/>
              <w:bCs/>
              <w:color w:val="auto"/>
              <w:lang w:val="zh-CN"/>
            </w:rPr>
            <w:fldChar w:fldCharType="end"/>
          </w:r>
        </w:p>
        <w:p w14:paraId="23F0A9ED">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_Toc12271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8.2 环境效益</w:t>
          </w:r>
          <w:r>
            <w:rPr>
              <w:color w:val="auto"/>
            </w:rPr>
            <w:tab/>
          </w:r>
          <w:r>
            <w:rPr>
              <w:color w:val="auto"/>
            </w:rPr>
            <w:fldChar w:fldCharType="begin"/>
          </w:r>
          <w:r>
            <w:rPr>
              <w:color w:val="auto"/>
            </w:rPr>
            <w:instrText xml:space="preserve"> PAGEREF _Toc12271 \h </w:instrText>
          </w:r>
          <w:r>
            <w:rPr>
              <w:color w:val="auto"/>
            </w:rPr>
            <w:fldChar w:fldCharType="separate"/>
          </w:r>
          <w:r>
            <w:rPr>
              <w:color w:val="auto"/>
            </w:rPr>
            <w:t>217</w:t>
          </w:r>
          <w:r>
            <w:rPr>
              <w:color w:val="auto"/>
            </w:rPr>
            <w:fldChar w:fldCharType="end"/>
          </w:r>
          <w:r>
            <w:rPr>
              <w:rFonts w:ascii="Times New Roman" w:hAnsi="Times New Roman" w:eastAsia="宋体" w:cs="Times New Roman"/>
              <w:bCs/>
              <w:color w:val="auto"/>
              <w:lang w:val="zh-CN"/>
            </w:rPr>
            <w:fldChar w:fldCharType="end"/>
          </w:r>
        </w:p>
        <w:p w14:paraId="41126CE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_Toc14208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8.3 社会效益</w:t>
          </w:r>
          <w:r>
            <w:rPr>
              <w:color w:val="auto"/>
            </w:rPr>
            <w:tab/>
          </w:r>
          <w:r>
            <w:rPr>
              <w:color w:val="auto"/>
            </w:rPr>
            <w:fldChar w:fldCharType="begin"/>
          </w:r>
          <w:r>
            <w:rPr>
              <w:color w:val="auto"/>
            </w:rPr>
            <w:instrText xml:space="preserve"> PAGEREF _Toc14208 \h </w:instrText>
          </w:r>
          <w:r>
            <w:rPr>
              <w:color w:val="auto"/>
            </w:rPr>
            <w:fldChar w:fldCharType="separate"/>
          </w:r>
          <w:r>
            <w:rPr>
              <w:color w:val="auto"/>
            </w:rPr>
            <w:t>217</w:t>
          </w:r>
          <w:r>
            <w:rPr>
              <w:color w:val="auto"/>
            </w:rPr>
            <w:fldChar w:fldCharType="end"/>
          </w:r>
          <w:r>
            <w:rPr>
              <w:rFonts w:ascii="Times New Roman" w:hAnsi="Times New Roman" w:eastAsia="宋体" w:cs="Times New Roman"/>
              <w:bCs/>
              <w:color w:val="auto"/>
              <w:lang w:val="zh-CN"/>
            </w:rPr>
            <w:fldChar w:fldCharType="end"/>
          </w:r>
        </w:p>
        <w:p w14:paraId="0AD55A3D">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_Toc364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8.4 结论</w:t>
          </w:r>
          <w:r>
            <w:rPr>
              <w:color w:val="auto"/>
            </w:rPr>
            <w:tab/>
          </w:r>
          <w:r>
            <w:rPr>
              <w:color w:val="auto"/>
            </w:rPr>
            <w:fldChar w:fldCharType="begin"/>
          </w:r>
          <w:r>
            <w:rPr>
              <w:color w:val="auto"/>
            </w:rPr>
            <w:instrText xml:space="preserve"> PAGEREF _Toc364 \h </w:instrText>
          </w:r>
          <w:r>
            <w:rPr>
              <w:color w:val="auto"/>
            </w:rPr>
            <w:fldChar w:fldCharType="separate"/>
          </w:r>
          <w:r>
            <w:rPr>
              <w:color w:val="auto"/>
            </w:rPr>
            <w:t>218</w:t>
          </w:r>
          <w:r>
            <w:rPr>
              <w:color w:val="auto"/>
            </w:rPr>
            <w:fldChar w:fldCharType="end"/>
          </w:r>
          <w:r>
            <w:rPr>
              <w:rFonts w:ascii="Times New Roman" w:hAnsi="Times New Roman" w:eastAsia="宋体" w:cs="Times New Roman"/>
              <w:bCs/>
              <w:color w:val="auto"/>
              <w:lang w:val="zh-CN"/>
            </w:rPr>
            <w:fldChar w:fldCharType="end"/>
          </w:r>
        </w:p>
        <w:p w14:paraId="5ECA380B">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_Toc12477 </w:instrText>
          </w:r>
          <w:r>
            <w:rPr>
              <w:rFonts w:ascii="Times New Roman" w:hAnsi="Times New Roman" w:eastAsia="宋体" w:cs="Times New Roman"/>
              <w:bCs/>
              <w:color w:val="auto"/>
              <w:lang w:val="zh-CN"/>
            </w:rPr>
            <w:fldChar w:fldCharType="separate"/>
          </w:r>
          <w:r>
            <w:rPr>
              <w:rFonts w:hint="default" w:ascii="Times New Roman" w:hAnsi="Times New Roman" w:eastAsia="宋体" w:cs="Times New Roman"/>
              <w:bCs/>
              <w:color w:val="auto"/>
              <w:kern w:val="2"/>
              <w:szCs w:val="32"/>
            </w:rPr>
            <w:t>9</w:t>
          </w:r>
          <w:r>
            <w:rPr>
              <w:rFonts w:hint="eastAsia" w:ascii="Times New Roman" w:hAnsi="Times New Roman" w:eastAsia="宋体" w:cs="Times New Roman"/>
              <w:bCs/>
              <w:color w:val="auto"/>
              <w:kern w:val="2"/>
              <w:szCs w:val="32"/>
            </w:rPr>
            <w:t>、</w:t>
          </w:r>
          <w:r>
            <w:rPr>
              <w:rFonts w:hint="default" w:ascii="Times New Roman" w:hAnsi="Times New Roman" w:eastAsia="宋体" w:cs="Times New Roman"/>
              <w:bCs/>
              <w:color w:val="auto"/>
              <w:kern w:val="2"/>
              <w:szCs w:val="32"/>
            </w:rPr>
            <w:t>环境管理及监测计划</w:t>
          </w:r>
          <w:r>
            <w:rPr>
              <w:color w:val="auto"/>
            </w:rPr>
            <w:tab/>
          </w:r>
          <w:r>
            <w:rPr>
              <w:color w:val="auto"/>
            </w:rPr>
            <w:fldChar w:fldCharType="begin"/>
          </w:r>
          <w:r>
            <w:rPr>
              <w:color w:val="auto"/>
            </w:rPr>
            <w:instrText xml:space="preserve"> PAGEREF _Toc12477 \h </w:instrText>
          </w:r>
          <w:r>
            <w:rPr>
              <w:color w:val="auto"/>
            </w:rPr>
            <w:fldChar w:fldCharType="separate"/>
          </w:r>
          <w:r>
            <w:rPr>
              <w:color w:val="auto"/>
            </w:rPr>
            <w:t>219</w:t>
          </w:r>
          <w:r>
            <w:rPr>
              <w:color w:val="auto"/>
            </w:rPr>
            <w:fldChar w:fldCharType="end"/>
          </w:r>
          <w:r>
            <w:rPr>
              <w:rFonts w:ascii="Times New Roman" w:hAnsi="Times New Roman" w:eastAsia="宋体" w:cs="Times New Roman"/>
              <w:bCs/>
              <w:color w:val="auto"/>
              <w:lang w:val="zh-CN"/>
            </w:rPr>
            <w:fldChar w:fldCharType="end"/>
          </w:r>
        </w:p>
        <w:p w14:paraId="152C66F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_Toc11968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9.1 环境管理</w:t>
          </w:r>
          <w:r>
            <w:rPr>
              <w:color w:val="auto"/>
            </w:rPr>
            <w:tab/>
          </w:r>
          <w:r>
            <w:rPr>
              <w:color w:val="auto"/>
            </w:rPr>
            <w:fldChar w:fldCharType="begin"/>
          </w:r>
          <w:r>
            <w:rPr>
              <w:color w:val="auto"/>
            </w:rPr>
            <w:instrText xml:space="preserve"> PAGEREF _Toc11968 \h </w:instrText>
          </w:r>
          <w:r>
            <w:rPr>
              <w:color w:val="auto"/>
            </w:rPr>
            <w:fldChar w:fldCharType="separate"/>
          </w:r>
          <w:r>
            <w:rPr>
              <w:color w:val="auto"/>
            </w:rPr>
            <w:t>219</w:t>
          </w:r>
          <w:r>
            <w:rPr>
              <w:color w:val="auto"/>
            </w:rPr>
            <w:fldChar w:fldCharType="end"/>
          </w:r>
          <w:r>
            <w:rPr>
              <w:rFonts w:ascii="Times New Roman" w:hAnsi="Times New Roman" w:eastAsia="宋体" w:cs="Times New Roman"/>
              <w:bCs/>
              <w:color w:val="auto"/>
              <w:lang w:val="zh-CN"/>
            </w:rPr>
            <w:fldChar w:fldCharType="end"/>
          </w:r>
        </w:p>
        <w:p w14:paraId="4A820BED">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_Toc14148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9.2 环境监测计划</w:t>
          </w:r>
          <w:r>
            <w:rPr>
              <w:color w:val="auto"/>
            </w:rPr>
            <w:tab/>
          </w:r>
          <w:r>
            <w:rPr>
              <w:color w:val="auto"/>
            </w:rPr>
            <w:fldChar w:fldCharType="begin"/>
          </w:r>
          <w:r>
            <w:rPr>
              <w:color w:val="auto"/>
            </w:rPr>
            <w:instrText xml:space="preserve"> PAGEREF _Toc14148 \h </w:instrText>
          </w:r>
          <w:r>
            <w:rPr>
              <w:color w:val="auto"/>
            </w:rPr>
            <w:fldChar w:fldCharType="separate"/>
          </w:r>
          <w:r>
            <w:rPr>
              <w:color w:val="auto"/>
            </w:rPr>
            <w:t>223</w:t>
          </w:r>
          <w:r>
            <w:rPr>
              <w:color w:val="auto"/>
            </w:rPr>
            <w:fldChar w:fldCharType="end"/>
          </w:r>
          <w:r>
            <w:rPr>
              <w:rFonts w:ascii="Times New Roman" w:hAnsi="Times New Roman" w:eastAsia="宋体" w:cs="Times New Roman"/>
              <w:bCs/>
              <w:color w:val="auto"/>
              <w:lang w:val="zh-CN"/>
            </w:rPr>
            <w:fldChar w:fldCharType="end"/>
          </w:r>
        </w:p>
        <w:p w14:paraId="66F08CC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_Toc25285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9.3 环保设施竣工验收</w:t>
          </w:r>
          <w:r>
            <w:rPr>
              <w:color w:val="auto"/>
            </w:rPr>
            <w:tab/>
          </w:r>
          <w:r>
            <w:rPr>
              <w:color w:val="auto"/>
            </w:rPr>
            <w:fldChar w:fldCharType="begin"/>
          </w:r>
          <w:r>
            <w:rPr>
              <w:color w:val="auto"/>
            </w:rPr>
            <w:instrText xml:space="preserve"> PAGEREF _Toc25285 \h </w:instrText>
          </w:r>
          <w:r>
            <w:rPr>
              <w:color w:val="auto"/>
            </w:rPr>
            <w:fldChar w:fldCharType="separate"/>
          </w:r>
          <w:r>
            <w:rPr>
              <w:color w:val="auto"/>
            </w:rPr>
            <w:t>227</w:t>
          </w:r>
          <w:r>
            <w:rPr>
              <w:color w:val="auto"/>
            </w:rPr>
            <w:fldChar w:fldCharType="end"/>
          </w:r>
          <w:r>
            <w:rPr>
              <w:rFonts w:ascii="Times New Roman" w:hAnsi="Times New Roman" w:eastAsia="宋体" w:cs="Times New Roman"/>
              <w:bCs/>
              <w:color w:val="auto"/>
              <w:lang w:val="zh-CN"/>
            </w:rPr>
            <w:fldChar w:fldCharType="end"/>
          </w:r>
        </w:p>
        <w:p w14:paraId="6BE7B75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_Toc27399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9.4 污染物排放总量控制分析</w:t>
          </w:r>
          <w:r>
            <w:rPr>
              <w:color w:val="auto"/>
            </w:rPr>
            <w:tab/>
          </w:r>
          <w:r>
            <w:rPr>
              <w:color w:val="auto"/>
            </w:rPr>
            <w:fldChar w:fldCharType="begin"/>
          </w:r>
          <w:r>
            <w:rPr>
              <w:color w:val="auto"/>
            </w:rPr>
            <w:instrText xml:space="preserve"> PAGEREF _Toc27399 \h </w:instrText>
          </w:r>
          <w:r>
            <w:rPr>
              <w:color w:val="auto"/>
            </w:rPr>
            <w:fldChar w:fldCharType="separate"/>
          </w:r>
          <w:r>
            <w:rPr>
              <w:color w:val="auto"/>
            </w:rPr>
            <w:t>229</w:t>
          </w:r>
          <w:r>
            <w:rPr>
              <w:color w:val="auto"/>
            </w:rPr>
            <w:fldChar w:fldCharType="end"/>
          </w:r>
          <w:r>
            <w:rPr>
              <w:rFonts w:ascii="Times New Roman" w:hAnsi="Times New Roman" w:eastAsia="宋体" w:cs="Times New Roman"/>
              <w:bCs/>
              <w:color w:val="auto"/>
              <w:lang w:val="zh-CN"/>
            </w:rPr>
            <w:fldChar w:fldCharType="end"/>
          </w:r>
        </w:p>
        <w:p w14:paraId="467A303D">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_Toc25628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kern w:val="2"/>
              <w:szCs w:val="32"/>
              <w:lang w:val="en-US" w:eastAsia="zh-CN"/>
            </w:rPr>
            <w:t>10 环境影响评价的结论</w:t>
          </w:r>
          <w:r>
            <w:rPr>
              <w:color w:val="auto"/>
            </w:rPr>
            <w:tab/>
          </w:r>
          <w:r>
            <w:rPr>
              <w:color w:val="auto"/>
            </w:rPr>
            <w:fldChar w:fldCharType="begin"/>
          </w:r>
          <w:r>
            <w:rPr>
              <w:color w:val="auto"/>
            </w:rPr>
            <w:instrText xml:space="preserve"> PAGEREF _Toc25628 \h </w:instrText>
          </w:r>
          <w:r>
            <w:rPr>
              <w:color w:val="auto"/>
            </w:rPr>
            <w:fldChar w:fldCharType="separate"/>
          </w:r>
          <w:r>
            <w:rPr>
              <w:color w:val="auto"/>
            </w:rPr>
            <w:t>231</w:t>
          </w:r>
          <w:r>
            <w:rPr>
              <w:color w:val="auto"/>
            </w:rPr>
            <w:fldChar w:fldCharType="end"/>
          </w:r>
          <w:r>
            <w:rPr>
              <w:rFonts w:ascii="Times New Roman" w:hAnsi="Times New Roman" w:eastAsia="宋体" w:cs="Times New Roman"/>
              <w:bCs/>
              <w:color w:val="auto"/>
              <w:lang w:val="zh-CN"/>
            </w:rPr>
            <w:fldChar w:fldCharType="end"/>
          </w:r>
        </w:p>
        <w:p w14:paraId="5C7ABB99">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_Toc27834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10.1 项目概况</w:t>
          </w:r>
          <w:r>
            <w:rPr>
              <w:color w:val="auto"/>
            </w:rPr>
            <w:tab/>
          </w:r>
          <w:r>
            <w:rPr>
              <w:color w:val="auto"/>
            </w:rPr>
            <w:fldChar w:fldCharType="begin"/>
          </w:r>
          <w:r>
            <w:rPr>
              <w:color w:val="auto"/>
            </w:rPr>
            <w:instrText xml:space="preserve"> PAGEREF _Toc27834 \h </w:instrText>
          </w:r>
          <w:r>
            <w:rPr>
              <w:color w:val="auto"/>
            </w:rPr>
            <w:fldChar w:fldCharType="separate"/>
          </w:r>
          <w:r>
            <w:rPr>
              <w:color w:val="auto"/>
            </w:rPr>
            <w:t>231</w:t>
          </w:r>
          <w:r>
            <w:rPr>
              <w:color w:val="auto"/>
            </w:rPr>
            <w:fldChar w:fldCharType="end"/>
          </w:r>
          <w:r>
            <w:rPr>
              <w:rFonts w:ascii="Times New Roman" w:hAnsi="Times New Roman" w:eastAsia="宋体" w:cs="Times New Roman"/>
              <w:bCs/>
              <w:color w:val="auto"/>
              <w:lang w:val="zh-CN"/>
            </w:rPr>
            <w:fldChar w:fldCharType="end"/>
          </w:r>
        </w:p>
        <w:p w14:paraId="1B381FF0">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_Toc15097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10.2 产业政策符合性分析结论</w:t>
          </w:r>
          <w:r>
            <w:rPr>
              <w:color w:val="auto"/>
            </w:rPr>
            <w:tab/>
          </w:r>
          <w:r>
            <w:rPr>
              <w:color w:val="auto"/>
            </w:rPr>
            <w:fldChar w:fldCharType="begin"/>
          </w:r>
          <w:r>
            <w:rPr>
              <w:color w:val="auto"/>
            </w:rPr>
            <w:instrText xml:space="preserve"> PAGEREF _Toc15097 \h </w:instrText>
          </w:r>
          <w:r>
            <w:rPr>
              <w:color w:val="auto"/>
            </w:rPr>
            <w:fldChar w:fldCharType="separate"/>
          </w:r>
          <w:r>
            <w:rPr>
              <w:color w:val="auto"/>
            </w:rPr>
            <w:t>231</w:t>
          </w:r>
          <w:r>
            <w:rPr>
              <w:color w:val="auto"/>
            </w:rPr>
            <w:fldChar w:fldCharType="end"/>
          </w:r>
          <w:r>
            <w:rPr>
              <w:rFonts w:ascii="Times New Roman" w:hAnsi="Times New Roman" w:eastAsia="宋体" w:cs="Times New Roman"/>
              <w:bCs/>
              <w:color w:val="auto"/>
              <w:lang w:val="zh-CN"/>
            </w:rPr>
            <w:fldChar w:fldCharType="end"/>
          </w:r>
        </w:p>
        <w:p w14:paraId="10A71280">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_Toc3299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10.3 选址合理性分析结论</w:t>
          </w:r>
          <w:r>
            <w:rPr>
              <w:color w:val="auto"/>
            </w:rPr>
            <w:tab/>
          </w:r>
          <w:r>
            <w:rPr>
              <w:color w:val="auto"/>
            </w:rPr>
            <w:fldChar w:fldCharType="begin"/>
          </w:r>
          <w:r>
            <w:rPr>
              <w:color w:val="auto"/>
            </w:rPr>
            <w:instrText xml:space="preserve"> PAGEREF _Toc3299 \h </w:instrText>
          </w:r>
          <w:r>
            <w:rPr>
              <w:color w:val="auto"/>
            </w:rPr>
            <w:fldChar w:fldCharType="separate"/>
          </w:r>
          <w:r>
            <w:rPr>
              <w:color w:val="auto"/>
            </w:rPr>
            <w:t>231</w:t>
          </w:r>
          <w:r>
            <w:rPr>
              <w:color w:val="auto"/>
            </w:rPr>
            <w:fldChar w:fldCharType="end"/>
          </w:r>
          <w:r>
            <w:rPr>
              <w:rFonts w:ascii="Times New Roman" w:hAnsi="Times New Roman" w:eastAsia="宋体" w:cs="Times New Roman"/>
              <w:bCs/>
              <w:color w:val="auto"/>
              <w:lang w:val="zh-CN"/>
            </w:rPr>
            <w:fldChar w:fldCharType="end"/>
          </w:r>
        </w:p>
        <w:p w14:paraId="19E13B90">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_Toc16995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10.4 工程污染分析结论</w:t>
          </w:r>
          <w:r>
            <w:rPr>
              <w:color w:val="auto"/>
            </w:rPr>
            <w:tab/>
          </w:r>
          <w:r>
            <w:rPr>
              <w:color w:val="auto"/>
            </w:rPr>
            <w:fldChar w:fldCharType="begin"/>
          </w:r>
          <w:r>
            <w:rPr>
              <w:color w:val="auto"/>
            </w:rPr>
            <w:instrText xml:space="preserve"> PAGEREF _Toc16995 \h </w:instrText>
          </w:r>
          <w:r>
            <w:rPr>
              <w:color w:val="auto"/>
            </w:rPr>
            <w:fldChar w:fldCharType="separate"/>
          </w:r>
          <w:r>
            <w:rPr>
              <w:color w:val="auto"/>
            </w:rPr>
            <w:t>232</w:t>
          </w:r>
          <w:r>
            <w:rPr>
              <w:color w:val="auto"/>
            </w:rPr>
            <w:fldChar w:fldCharType="end"/>
          </w:r>
          <w:r>
            <w:rPr>
              <w:rFonts w:ascii="Times New Roman" w:hAnsi="Times New Roman" w:eastAsia="宋体" w:cs="Times New Roman"/>
              <w:bCs/>
              <w:color w:val="auto"/>
              <w:lang w:val="zh-CN"/>
            </w:rPr>
            <w:fldChar w:fldCharType="end"/>
          </w:r>
        </w:p>
        <w:p w14:paraId="186CD336">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_Toc15518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10.5 环境质量现状评价结论</w:t>
          </w:r>
          <w:r>
            <w:rPr>
              <w:color w:val="auto"/>
            </w:rPr>
            <w:tab/>
          </w:r>
          <w:r>
            <w:rPr>
              <w:color w:val="auto"/>
            </w:rPr>
            <w:fldChar w:fldCharType="begin"/>
          </w:r>
          <w:r>
            <w:rPr>
              <w:color w:val="auto"/>
            </w:rPr>
            <w:instrText xml:space="preserve"> PAGEREF _Toc15518 \h </w:instrText>
          </w:r>
          <w:r>
            <w:rPr>
              <w:color w:val="auto"/>
            </w:rPr>
            <w:fldChar w:fldCharType="separate"/>
          </w:r>
          <w:r>
            <w:rPr>
              <w:color w:val="auto"/>
            </w:rPr>
            <w:t>232</w:t>
          </w:r>
          <w:r>
            <w:rPr>
              <w:color w:val="auto"/>
            </w:rPr>
            <w:fldChar w:fldCharType="end"/>
          </w:r>
          <w:r>
            <w:rPr>
              <w:rFonts w:ascii="Times New Roman" w:hAnsi="Times New Roman" w:eastAsia="宋体" w:cs="Times New Roman"/>
              <w:bCs/>
              <w:color w:val="auto"/>
              <w:lang w:val="zh-CN"/>
            </w:rPr>
            <w:fldChar w:fldCharType="end"/>
          </w:r>
        </w:p>
        <w:p w14:paraId="1F998116">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_Toc26730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10.6 环境污染防治措施结论</w:t>
          </w:r>
          <w:r>
            <w:rPr>
              <w:color w:val="auto"/>
            </w:rPr>
            <w:tab/>
          </w:r>
          <w:r>
            <w:rPr>
              <w:color w:val="auto"/>
            </w:rPr>
            <w:fldChar w:fldCharType="begin"/>
          </w:r>
          <w:r>
            <w:rPr>
              <w:color w:val="auto"/>
            </w:rPr>
            <w:instrText xml:space="preserve"> PAGEREF _Toc26730 \h </w:instrText>
          </w:r>
          <w:r>
            <w:rPr>
              <w:color w:val="auto"/>
            </w:rPr>
            <w:fldChar w:fldCharType="separate"/>
          </w:r>
          <w:r>
            <w:rPr>
              <w:color w:val="auto"/>
            </w:rPr>
            <w:t>234</w:t>
          </w:r>
          <w:r>
            <w:rPr>
              <w:color w:val="auto"/>
            </w:rPr>
            <w:fldChar w:fldCharType="end"/>
          </w:r>
          <w:r>
            <w:rPr>
              <w:rFonts w:ascii="Times New Roman" w:hAnsi="Times New Roman" w:eastAsia="宋体" w:cs="Times New Roman"/>
              <w:bCs/>
              <w:color w:val="auto"/>
              <w:lang w:val="zh-CN"/>
            </w:rPr>
            <w:fldChar w:fldCharType="end"/>
          </w:r>
        </w:p>
        <w:p w14:paraId="5DD41DD8">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_Toc5497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10.7 环境影响预测分析结论</w:t>
          </w:r>
          <w:r>
            <w:rPr>
              <w:color w:val="auto"/>
            </w:rPr>
            <w:tab/>
          </w:r>
          <w:r>
            <w:rPr>
              <w:color w:val="auto"/>
            </w:rPr>
            <w:fldChar w:fldCharType="begin"/>
          </w:r>
          <w:r>
            <w:rPr>
              <w:color w:val="auto"/>
            </w:rPr>
            <w:instrText xml:space="preserve"> PAGEREF _Toc5497 \h </w:instrText>
          </w:r>
          <w:r>
            <w:rPr>
              <w:color w:val="auto"/>
            </w:rPr>
            <w:fldChar w:fldCharType="separate"/>
          </w:r>
          <w:r>
            <w:rPr>
              <w:color w:val="auto"/>
            </w:rPr>
            <w:t>235</w:t>
          </w:r>
          <w:r>
            <w:rPr>
              <w:color w:val="auto"/>
            </w:rPr>
            <w:fldChar w:fldCharType="end"/>
          </w:r>
          <w:r>
            <w:rPr>
              <w:rFonts w:ascii="Times New Roman" w:hAnsi="Times New Roman" w:eastAsia="宋体" w:cs="Times New Roman"/>
              <w:bCs/>
              <w:color w:val="auto"/>
              <w:lang w:val="zh-CN"/>
            </w:rPr>
            <w:fldChar w:fldCharType="end"/>
          </w:r>
        </w:p>
        <w:p w14:paraId="6CCACB9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_Toc15655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rPr>
            <w:t>10.8 总量控制结论</w:t>
          </w:r>
          <w:r>
            <w:rPr>
              <w:color w:val="auto"/>
            </w:rPr>
            <w:tab/>
          </w:r>
          <w:r>
            <w:rPr>
              <w:color w:val="auto"/>
            </w:rPr>
            <w:fldChar w:fldCharType="begin"/>
          </w:r>
          <w:r>
            <w:rPr>
              <w:color w:val="auto"/>
            </w:rPr>
            <w:instrText xml:space="preserve"> PAGEREF _Toc15655 \h </w:instrText>
          </w:r>
          <w:r>
            <w:rPr>
              <w:color w:val="auto"/>
            </w:rPr>
            <w:fldChar w:fldCharType="separate"/>
          </w:r>
          <w:r>
            <w:rPr>
              <w:color w:val="auto"/>
            </w:rPr>
            <w:t>237</w:t>
          </w:r>
          <w:r>
            <w:rPr>
              <w:color w:val="auto"/>
            </w:rPr>
            <w:fldChar w:fldCharType="end"/>
          </w:r>
          <w:r>
            <w:rPr>
              <w:rFonts w:ascii="Times New Roman" w:hAnsi="Times New Roman" w:eastAsia="宋体" w:cs="Times New Roman"/>
              <w:bCs/>
              <w:color w:val="auto"/>
              <w:lang w:val="zh-CN"/>
            </w:rPr>
            <w:fldChar w:fldCharType="end"/>
          </w:r>
        </w:p>
        <w:p w14:paraId="02E05FE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_Toc14593 </w:instrText>
          </w:r>
          <w:r>
            <w:rPr>
              <w:rFonts w:ascii="Times New Roman" w:hAnsi="Times New Roman" w:eastAsia="宋体" w:cs="Times New Roman"/>
              <w:bCs/>
              <w:color w:val="auto"/>
              <w:lang w:val="zh-CN"/>
            </w:rPr>
            <w:fldChar w:fldCharType="separate"/>
          </w:r>
          <w:r>
            <w:rPr>
              <w:rFonts w:hint="default" w:ascii="Times New Roman" w:hAnsi="Times New Roman" w:eastAsia="宋体" w:cs="Times New Roman"/>
              <w:bCs/>
              <w:color w:val="auto"/>
            </w:rPr>
            <w:t>10.</w:t>
          </w:r>
          <w:r>
            <w:rPr>
              <w:rFonts w:hint="eastAsia" w:ascii="Times New Roman" w:hAnsi="Times New Roman" w:eastAsia="宋体" w:cs="Times New Roman"/>
              <w:bCs/>
              <w:color w:val="auto"/>
              <w:lang w:val="en-US" w:eastAsia="zh-CN"/>
            </w:rPr>
            <w:t>9</w:t>
          </w:r>
          <w:r>
            <w:rPr>
              <w:rFonts w:hint="eastAsia" w:ascii="Times New Roman" w:hAnsi="Times New Roman" w:eastAsia="宋体" w:cs="Times New Roman"/>
              <w:bCs/>
              <w:color w:val="auto"/>
              <w:lang w:eastAsia="zh-CN"/>
            </w:rPr>
            <w:t>公众参与采纳说明</w:t>
          </w:r>
          <w:r>
            <w:rPr>
              <w:color w:val="auto"/>
            </w:rPr>
            <w:tab/>
          </w:r>
          <w:r>
            <w:rPr>
              <w:color w:val="auto"/>
            </w:rPr>
            <w:fldChar w:fldCharType="begin"/>
          </w:r>
          <w:r>
            <w:rPr>
              <w:color w:val="auto"/>
            </w:rPr>
            <w:instrText xml:space="preserve"> PAGEREF _Toc14593 \h </w:instrText>
          </w:r>
          <w:r>
            <w:rPr>
              <w:color w:val="auto"/>
            </w:rPr>
            <w:fldChar w:fldCharType="separate"/>
          </w:r>
          <w:r>
            <w:rPr>
              <w:color w:val="auto"/>
            </w:rPr>
            <w:t>237</w:t>
          </w:r>
          <w:r>
            <w:rPr>
              <w:color w:val="auto"/>
            </w:rPr>
            <w:fldChar w:fldCharType="end"/>
          </w:r>
          <w:r>
            <w:rPr>
              <w:rFonts w:ascii="Times New Roman" w:hAnsi="Times New Roman" w:eastAsia="宋体" w:cs="Times New Roman"/>
              <w:bCs/>
              <w:color w:val="auto"/>
              <w:lang w:val="zh-CN"/>
            </w:rPr>
            <w:fldChar w:fldCharType="end"/>
          </w:r>
        </w:p>
        <w:p w14:paraId="4B209128">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_Toc11893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color w:val="auto"/>
              <w:lang w:eastAsia="zh-CN"/>
            </w:rPr>
            <w:t>10.</w:t>
          </w:r>
          <w:r>
            <w:rPr>
              <w:rFonts w:hint="eastAsia" w:ascii="Times New Roman" w:hAnsi="Times New Roman" w:eastAsia="宋体" w:cs="Times New Roman"/>
              <w:bCs/>
              <w:color w:val="auto"/>
              <w:lang w:val="en-US" w:eastAsia="zh-CN"/>
            </w:rPr>
            <w:t>10</w:t>
          </w:r>
          <w:r>
            <w:rPr>
              <w:rFonts w:hint="eastAsia" w:ascii="Times New Roman" w:hAnsi="Times New Roman" w:eastAsia="宋体" w:cs="Times New Roman"/>
              <w:bCs/>
              <w:color w:val="auto"/>
              <w:lang w:eastAsia="zh-CN"/>
            </w:rPr>
            <w:t>综合评价结论</w:t>
          </w:r>
          <w:r>
            <w:rPr>
              <w:color w:val="auto"/>
            </w:rPr>
            <w:tab/>
          </w:r>
          <w:r>
            <w:rPr>
              <w:color w:val="auto"/>
            </w:rPr>
            <w:fldChar w:fldCharType="begin"/>
          </w:r>
          <w:r>
            <w:rPr>
              <w:color w:val="auto"/>
            </w:rPr>
            <w:instrText xml:space="preserve"> PAGEREF _Toc11893 \h </w:instrText>
          </w:r>
          <w:r>
            <w:rPr>
              <w:color w:val="auto"/>
            </w:rPr>
            <w:fldChar w:fldCharType="separate"/>
          </w:r>
          <w:r>
            <w:rPr>
              <w:color w:val="auto"/>
            </w:rPr>
            <w:t>238</w:t>
          </w:r>
          <w:r>
            <w:rPr>
              <w:color w:val="auto"/>
            </w:rPr>
            <w:fldChar w:fldCharType="end"/>
          </w:r>
          <w:r>
            <w:rPr>
              <w:rFonts w:ascii="Times New Roman" w:hAnsi="Times New Roman" w:eastAsia="宋体" w:cs="Times New Roman"/>
              <w:bCs/>
              <w:color w:val="auto"/>
              <w:lang w:val="zh-CN"/>
            </w:rPr>
            <w:fldChar w:fldCharType="end"/>
          </w:r>
        </w:p>
        <w:p w14:paraId="0F749DE9">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_Toc3587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color w:val="auto"/>
              <w:szCs w:val="32"/>
              <w:lang w:val="en-US" w:eastAsia="zh-CN"/>
            </w:rPr>
            <w:t>附件</w:t>
          </w:r>
          <w:r>
            <w:rPr>
              <w:color w:val="auto"/>
            </w:rPr>
            <w:tab/>
          </w:r>
          <w:r>
            <w:rPr>
              <w:color w:val="auto"/>
            </w:rPr>
            <w:fldChar w:fldCharType="begin"/>
          </w:r>
          <w:r>
            <w:rPr>
              <w:color w:val="auto"/>
            </w:rPr>
            <w:instrText xml:space="preserve"> PAGEREF _Toc3587 \h </w:instrText>
          </w:r>
          <w:r>
            <w:rPr>
              <w:color w:val="auto"/>
            </w:rPr>
            <w:fldChar w:fldCharType="separate"/>
          </w:r>
          <w:r>
            <w:rPr>
              <w:color w:val="auto"/>
            </w:rPr>
            <w:t>239</w:t>
          </w:r>
          <w:r>
            <w:rPr>
              <w:color w:val="auto"/>
            </w:rPr>
            <w:fldChar w:fldCharType="end"/>
          </w:r>
          <w:r>
            <w:rPr>
              <w:rFonts w:ascii="Times New Roman" w:hAnsi="Times New Roman" w:eastAsia="宋体" w:cs="Times New Roman"/>
              <w:bCs/>
              <w:color w:val="auto"/>
              <w:lang w:val="zh-CN"/>
            </w:rPr>
            <w:fldChar w:fldCharType="end"/>
          </w:r>
        </w:p>
        <w:p w14:paraId="6E8BC778">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_Toc32458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 营业执照</w:t>
          </w:r>
          <w:r>
            <w:rPr>
              <w:color w:val="auto"/>
            </w:rPr>
            <w:tab/>
          </w:r>
          <w:r>
            <w:rPr>
              <w:color w:val="auto"/>
            </w:rPr>
            <w:fldChar w:fldCharType="begin"/>
          </w:r>
          <w:r>
            <w:rPr>
              <w:color w:val="auto"/>
            </w:rPr>
            <w:instrText xml:space="preserve"> PAGEREF _Toc32458 \h </w:instrText>
          </w:r>
          <w:r>
            <w:rPr>
              <w:color w:val="auto"/>
            </w:rPr>
            <w:fldChar w:fldCharType="separate"/>
          </w:r>
          <w:r>
            <w:rPr>
              <w:color w:val="auto"/>
            </w:rPr>
            <w:t>239</w:t>
          </w:r>
          <w:r>
            <w:rPr>
              <w:color w:val="auto"/>
            </w:rPr>
            <w:fldChar w:fldCharType="end"/>
          </w:r>
          <w:r>
            <w:rPr>
              <w:rFonts w:ascii="Times New Roman" w:hAnsi="Times New Roman" w:eastAsia="宋体" w:cs="Times New Roman"/>
              <w:bCs/>
              <w:color w:val="auto"/>
              <w:lang w:val="zh-CN"/>
            </w:rPr>
            <w:fldChar w:fldCharType="end"/>
          </w:r>
        </w:p>
        <w:p w14:paraId="2CCFA38C">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_Toc20622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附件2 备案承诺书</w:t>
          </w:r>
          <w:r>
            <w:rPr>
              <w:color w:val="auto"/>
            </w:rPr>
            <w:tab/>
          </w:r>
          <w:r>
            <w:rPr>
              <w:color w:val="auto"/>
            </w:rPr>
            <w:fldChar w:fldCharType="begin"/>
          </w:r>
          <w:r>
            <w:rPr>
              <w:color w:val="auto"/>
            </w:rPr>
            <w:instrText xml:space="preserve"> PAGEREF _Toc20622 \h </w:instrText>
          </w:r>
          <w:r>
            <w:rPr>
              <w:color w:val="auto"/>
            </w:rPr>
            <w:fldChar w:fldCharType="separate"/>
          </w:r>
          <w:r>
            <w:rPr>
              <w:color w:val="auto"/>
            </w:rPr>
            <w:t>240</w:t>
          </w:r>
          <w:r>
            <w:rPr>
              <w:color w:val="auto"/>
            </w:rPr>
            <w:fldChar w:fldCharType="end"/>
          </w:r>
          <w:r>
            <w:rPr>
              <w:rFonts w:ascii="Times New Roman" w:hAnsi="Times New Roman" w:eastAsia="宋体" w:cs="Times New Roman"/>
              <w:bCs/>
              <w:color w:val="auto"/>
              <w:lang w:val="zh-CN"/>
            </w:rPr>
            <w:fldChar w:fldCharType="end"/>
          </w:r>
        </w:p>
        <w:p w14:paraId="23B32C4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_Toc14244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附件3 不动产权证</w:t>
          </w:r>
          <w:r>
            <w:rPr>
              <w:color w:val="auto"/>
            </w:rPr>
            <w:tab/>
          </w:r>
          <w:r>
            <w:rPr>
              <w:color w:val="auto"/>
            </w:rPr>
            <w:fldChar w:fldCharType="begin"/>
          </w:r>
          <w:r>
            <w:rPr>
              <w:color w:val="auto"/>
            </w:rPr>
            <w:instrText xml:space="preserve"> PAGEREF _Toc14244 \h </w:instrText>
          </w:r>
          <w:r>
            <w:rPr>
              <w:color w:val="auto"/>
            </w:rPr>
            <w:fldChar w:fldCharType="separate"/>
          </w:r>
          <w:r>
            <w:rPr>
              <w:color w:val="auto"/>
            </w:rPr>
            <w:t>241</w:t>
          </w:r>
          <w:r>
            <w:rPr>
              <w:color w:val="auto"/>
            </w:rPr>
            <w:fldChar w:fldCharType="end"/>
          </w:r>
          <w:r>
            <w:rPr>
              <w:rFonts w:ascii="Times New Roman" w:hAnsi="Times New Roman" w:eastAsia="宋体" w:cs="Times New Roman"/>
              <w:bCs/>
              <w:color w:val="auto"/>
              <w:lang w:val="zh-CN"/>
            </w:rPr>
            <w:fldChar w:fldCharType="end"/>
          </w:r>
        </w:p>
        <w:p w14:paraId="1184A096">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_Toc21297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附件4 关于八五二、八五三农场有限公司第二批“两供两治一业”补充项目实施方案的批复</w:t>
          </w:r>
          <w:r>
            <w:rPr>
              <w:color w:val="auto"/>
            </w:rPr>
            <w:tab/>
          </w:r>
          <w:r>
            <w:rPr>
              <w:color w:val="auto"/>
            </w:rPr>
            <w:fldChar w:fldCharType="begin"/>
          </w:r>
          <w:r>
            <w:rPr>
              <w:color w:val="auto"/>
            </w:rPr>
            <w:instrText xml:space="preserve"> PAGEREF _Toc21297 \h </w:instrText>
          </w:r>
          <w:r>
            <w:rPr>
              <w:color w:val="auto"/>
            </w:rPr>
            <w:fldChar w:fldCharType="separate"/>
          </w:r>
          <w:r>
            <w:rPr>
              <w:color w:val="auto"/>
            </w:rPr>
            <w:t>246</w:t>
          </w:r>
          <w:r>
            <w:rPr>
              <w:color w:val="auto"/>
            </w:rPr>
            <w:fldChar w:fldCharType="end"/>
          </w:r>
          <w:r>
            <w:rPr>
              <w:rFonts w:ascii="Times New Roman" w:hAnsi="Times New Roman" w:eastAsia="宋体" w:cs="Times New Roman"/>
              <w:bCs/>
              <w:color w:val="auto"/>
              <w:lang w:val="zh-CN"/>
            </w:rPr>
            <w:fldChar w:fldCharType="end"/>
          </w:r>
        </w:p>
        <w:p w14:paraId="6B92152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_Toc7247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附件5 关于黑龙江省八五二农场保障性安居工程基础设施配套供热建设项目环境影响报告书审批意见的复函</w:t>
          </w:r>
          <w:r>
            <w:rPr>
              <w:color w:val="auto"/>
            </w:rPr>
            <w:tab/>
          </w:r>
          <w:r>
            <w:rPr>
              <w:color w:val="auto"/>
            </w:rPr>
            <w:fldChar w:fldCharType="begin"/>
          </w:r>
          <w:r>
            <w:rPr>
              <w:color w:val="auto"/>
            </w:rPr>
            <w:instrText xml:space="preserve"> PAGEREF _Toc7247 \h </w:instrText>
          </w:r>
          <w:r>
            <w:rPr>
              <w:color w:val="auto"/>
            </w:rPr>
            <w:fldChar w:fldCharType="separate"/>
          </w:r>
          <w:r>
            <w:rPr>
              <w:color w:val="auto"/>
            </w:rPr>
            <w:t>249</w:t>
          </w:r>
          <w:r>
            <w:rPr>
              <w:color w:val="auto"/>
            </w:rPr>
            <w:fldChar w:fldCharType="end"/>
          </w:r>
          <w:r>
            <w:rPr>
              <w:rFonts w:ascii="Times New Roman" w:hAnsi="Times New Roman" w:eastAsia="宋体" w:cs="Times New Roman"/>
              <w:bCs/>
              <w:color w:val="auto"/>
              <w:lang w:val="zh-CN"/>
            </w:rPr>
            <w:fldChar w:fldCharType="end"/>
          </w:r>
        </w:p>
        <w:p w14:paraId="056D4B8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_Toc786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附件6 2021年黑龙江省八五二农场供热中心环保改造项目环境影响登记表</w:t>
          </w:r>
          <w:r>
            <w:rPr>
              <w:color w:val="auto"/>
            </w:rPr>
            <w:tab/>
          </w:r>
          <w:r>
            <w:rPr>
              <w:color w:val="auto"/>
            </w:rPr>
            <w:fldChar w:fldCharType="begin"/>
          </w:r>
          <w:r>
            <w:rPr>
              <w:color w:val="auto"/>
            </w:rPr>
            <w:instrText xml:space="preserve"> PAGEREF _Toc786 \h </w:instrText>
          </w:r>
          <w:r>
            <w:rPr>
              <w:color w:val="auto"/>
            </w:rPr>
            <w:fldChar w:fldCharType="separate"/>
          </w:r>
          <w:r>
            <w:rPr>
              <w:color w:val="auto"/>
            </w:rPr>
            <w:t>252</w:t>
          </w:r>
          <w:r>
            <w:rPr>
              <w:color w:val="auto"/>
            </w:rPr>
            <w:fldChar w:fldCharType="end"/>
          </w:r>
          <w:r>
            <w:rPr>
              <w:rFonts w:ascii="Times New Roman" w:hAnsi="Times New Roman" w:eastAsia="宋体" w:cs="Times New Roman"/>
              <w:bCs/>
              <w:color w:val="auto"/>
              <w:lang w:val="zh-CN"/>
            </w:rPr>
            <w:fldChar w:fldCharType="end"/>
          </w:r>
        </w:p>
        <w:p w14:paraId="3B37F45C">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_Toc2084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附件7 北大荒集团黑龙江八五二农场农垦公用基础设施建设项目环境影响登记表</w:t>
          </w:r>
          <w:r>
            <w:rPr>
              <w:color w:val="auto"/>
            </w:rPr>
            <w:tab/>
          </w:r>
          <w:r>
            <w:rPr>
              <w:color w:val="auto"/>
            </w:rPr>
            <w:fldChar w:fldCharType="begin"/>
          </w:r>
          <w:r>
            <w:rPr>
              <w:color w:val="auto"/>
            </w:rPr>
            <w:instrText xml:space="preserve"> PAGEREF _Toc2084 \h </w:instrText>
          </w:r>
          <w:r>
            <w:rPr>
              <w:color w:val="auto"/>
            </w:rPr>
            <w:fldChar w:fldCharType="separate"/>
          </w:r>
          <w:r>
            <w:rPr>
              <w:color w:val="auto"/>
            </w:rPr>
            <w:t>254</w:t>
          </w:r>
          <w:r>
            <w:rPr>
              <w:color w:val="auto"/>
            </w:rPr>
            <w:fldChar w:fldCharType="end"/>
          </w:r>
          <w:r>
            <w:rPr>
              <w:rFonts w:ascii="Times New Roman" w:hAnsi="Times New Roman" w:eastAsia="宋体" w:cs="Times New Roman"/>
              <w:bCs/>
              <w:color w:val="auto"/>
              <w:lang w:val="zh-CN"/>
            </w:rPr>
            <w:fldChar w:fldCharType="end"/>
          </w:r>
        </w:p>
        <w:p w14:paraId="61B213C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_Toc3532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附件8 北大荒集团黑龙江八五二农场农垦公用基础设施建设项目超低排放技术改造环境影响分析论证报告专家意见</w:t>
          </w:r>
          <w:r>
            <w:rPr>
              <w:color w:val="auto"/>
            </w:rPr>
            <w:tab/>
          </w:r>
          <w:r>
            <w:rPr>
              <w:color w:val="auto"/>
            </w:rPr>
            <w:fldChar w:fldCharType="begin"/>
          </w:r>
          <w:r>
            <w:rPr>
              <w:color w:val="auto"/>
            </w:rPr>
            <w:instrText xml:space="preserve"> PAGEREF _Toc3532 \h </w:instrText>
          </w:r>
          <w:r>
            <w:rPr>
              <w:color w:val="auto"/>
            </w:rPr>
            <w:fldChar w:fldCharType="separate"/>
          </w:r>
          <w:r>
            <w:rPr>
              <w:color w:val="auto"/>
            </w:rPr>
            <w:t>256</w:t>
          </w:r>
          <w:r>
            <w:rPr>
              <w:color w:val="auto"/>
            </w:rPr>
            <w:fldChar w:fldCharType="end"/>
          </w:r>
          <w:r>
            <w:rPr>
              <w:rFonts w:ascii="Times New Roman" w:hAnsi="Times New Roman" w:eastAsia="宋体" w:cs="Times New Roman"/>
              <w:bCs/>
              <w:color w:val="auto"/>
              <w:lang w:val="zh-CN"/>
            </w:rPr>
            <w:fldChar w:fldCharType="end"/>
          </w:r>
        </w:p>
        <w:p w14:paraId="789F74CA">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_Toc15210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附件9 黑龙江省八五二农场保障性安居工程基础设施配套供热建设项目竣工环境保护验收意见</w:t>
          </w:r>
          <w:r>
            <w:rPr>
              <w:color w:val="auto"/>
            </w:rPr>
            <w:tab/>
          </w:r>
          <w:r>
            <w:rPr>
              <w:color w:val="auto"/>
            </w:rPr>
            <w:fldChar w:fldCharType="begin"/>
          </w:r>
          <w:r>
            <w:rPr>
              <w:color w:val="auto"/>
            </w:rPr>
            <w:instrText xml:space="preserve"> PAGEREF _Toc15210 \h </w:instrText>
          </w:r>
          <w:r>
            <w:rPr>
              <w:color w:val="auto"/>
            </w:rPr>
            <w:fldChar w:fldCharType="separate"/>
          </w:r>
          <w:r>
            <w:rPr>
              <w:color w:val="auto"/>
            </w:rPr>
            <w:t>261</w:t>
          </w:r>
          <w:r>
            <w:rPr>
              <w:color w:val="auto"/>
            </w:rPr>
            <w:fldChar w:fldCharType="end"/>
          </w:r>
          <w:r>
            <w:rPr>
              <w:rFonts w:ascii="Times New Roman" w:hAnsi="Times New Roman" w:eastAsia="宋体" w:cs="Times New Roman"/>
              <w:bCs/>
              <w:color w:val="auto"/>
              <w:lang w:val="zh-CN"/>
            </w:rPr>
            <w:fldChar w:fldCharType="end"/>
          </w:r>
        </w:p>
        <w:p w14:paraId="65B7FDFD">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_Toc16188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附件10 排污许可证（项目运营单位：黑龙江省八五二农场横林供热供水管理站）</w:t>
          </w:r>
          <w:r>
            <w:rPr>
              <w:color w:val="auto"/>
            </w:rPr>
            <w:tab/>
          </w:r>
          <w:r>
            <w:rPr>
              <w:color w:val="auto"/>
            </w:rPr>
            <w:fldChar w:fldCharType="begin"/>
          </w:r>
          <w:r>
            <w:rPr>
              <w:color w:val="auto"/>
            </w:rPr>
            <w:instrText xml:space="preserve"> PAGEREF _Toc16188 \h </w:instrText>
          </w:r>
          <w:r>
            <w:rPr>
              <w:color w:val="auto"/>
            </w:rPr>
            <w:fldChar w:fldCharType="separate"/>
          </w:r>
          <w:r>
            <w:rPr>
              <w:color w:val="auto"/>
            </w:rPr>
            <w:t>267</w:t>
          </w:r>
          <w:r>
            <w:rPr>
              <w:color w:val="auto"/>
            </w:rPr>
            <w:fldChar w:fldCharType="end"/>
          </w:r>
          <w:r>
            <w:rPr>
              <w:rFonts w:ascii="Times New Roman" w:hAnsi="Times New Roman" w:eastAsia="宋体" w:cs="Times New Roman"/>
              <w:bCs/>
              <w:color w:val="auto"/>
              <w:lang w:val="zh-CN"/>
            </w:rPr>
            <w:fldChar w:fldCharType="end"/>
          </w:r>
        </w:p>
        <w:p w14:paraId="48DB9EDA">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_Toc29817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附件11 脱硫副产物综合利用协议</w:t>
          </w:r>
          <w:r>
            <w:rPr>
              <w:color w:val="auto"/>
            </w:rPr>
            <w:tab/>
          </w:r>
          <w:r>
            <w:rPr>
              <w:color w:val="auto"/>
            </w:rPr>
            <w:fldChar w:fldCharType="begin"/>
          </w:r>
          <w:r>
            <w:rPr>
              <w:color w:val="auto"/>
            </w:rPr>
            <w:instrText xml:space="preserve"> PAGEREF _Toc29817 \h </w:instrText>
          </w:r>
          <w:r>
            <w:rPr>
              <w:color w:val="auto"/>
            </w:rPr>
            <w:fldChar w:fldCharType="separate"/>
          </w:r>
          <w:r>
            <w:rPr>
              <w:color w:val="auto"/>
            </w:rPr>
            <w:t>268</w:t>
          </w:r>
          <w:r>
            <w:rPr>
              <w:color w:val="auto"/>
            </w:rPr>
            <w:fldChar w:fldCharType="end"/>
          </w:r>
          <w:r>
            <w:rPr>
              <w:rFonts w:ascii="Times New Roman" w:hAnsi="Times New Roman" w:eastAsia="宋体" w:cs="Times New Roman"/>
              <w:bCs/>
              <w:color w:val="auto"/>
              <w:lang w:val="zh-CN"/>
            </w:rPr>
            <w:fldChar w:fldCharType="end"/>
          </w:r>
        </w:p>
        <w:p w14:paraId="2B30CCD5">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_Toc7835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附件12 灰渣及粉煤灰处理协议</w:t>
          </w:r>
          <w:r>
            <w:rPr>
              <w:color w:val="auto"/>
            </w:rPr>
            <w:tab/>
          </w:r>
          <w:r>
            <w:rPr>
              <w:color w:val="auto"/>
            </w:rPr>
            <w:fldChar w:fldCharType="begin"/>
          </w:r>
          <w:r>
            <w:rPr>
              <w:color w:val="auto"/>
            </w:rPr>
            <w:instrText xml:space="preserve"> PAGEREF _Toc7835 \h </w:instrText>
          </w:r>
          <w:r>
            <w:rPr>
              <w:color w:val="auto"/>
            </w:rPr>
            <w:fldChar w:fldCharType="separate"/>
          </w:r>
          <w:r>
            <w:rPr>
              <w:color w:val="auto"/>
            </w:rPr>
            <w:t>269</w:t>
          </w:r>
          <w:r>
            <w:rPr>
              <w:color w:val="auto"/>
            </w:rPr>
            <w:fldChar w:fldCharType="end"/>
          </w:r>
          <w:r>
            <w:rPr>
              <w:rFonts w:ascii="Times New Roman" w:hAnsi="Times New Roman" w:eastAsia="宋体" w:cs="Times New Roman"/>
              <w:bCs/>
              <w:color w:val="auto"/>
              <w:lang w:val="zh-CN"/>
            </w:rPr>
            <w:fldChar w:fldCharType="end"/>
          </w:r>
        </w:p>
        <w:p w14:paraId="2ED0B1B7">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_Toc24281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附件13 危险废物安全处置合同及转移单</w:t>
          </w:r>
          <w:r>
            <w:rPr>
              <w:color w:val="auto"/>
            </w:rPr>
            <w:tab/>
          </w:r>
          <w:r>
            <w:rPr>
              <w:color w:val="auto"/>
            </w:rPr>
            <w:fldChar w:fldCharType="begin"/>
          </w:r>
          <w:r>
            <w:rPr>
              <w:color w:val="auto"/>
            </w:rPr>
            <w:instrText xml:space="preserve"> PAGEREF _Toc24281 \h </w:instrText>
          </w:r>
          <w:r>
            <w:rPr>
              <w:color w:val="auto"/>
            </w:rPr>
            <w:fldChar w:fldCharType="separate"/>
          </w:r>
          <w:r>
            <w:rPr>
              <w:color w:val="auto"/>
            </w:rPr>
            <w:t>270</w:t>
          </w:r>
          <w:r>
            <w:rPr>
              <w:color w:val="auto"/>
            </w:rPr>
            <w:fldChar w:fldCharType="end"/>
          </w:r>
          <w:r>
            <w:rPr>
              <w:rFonts w:ascii="Times New Roman" w:hAnsi="Times New Roman" w:eastAsia="宋体" w:cs="Times New Roman"/>
              <w:bCs/>
              <w:color w:val="auto"/>
              <w:lang w:val="zh-CN"/>
            </w:rPr>
            <w:fldChar w:fldCharType="end"/>
          </w:r>
        </w:p>
        <w:p w14:paraId="5EDDE19A">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_Toc19873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 xml:space="preserve">附件14 </w:t>
          </w:r>
          <w:r>
            <w:rPr>
              <w:rFonts w:hint="eastAsia" w:ascii="Times New Roman" w:hAnsi="Times New Roman" w:eastAsia="宋体" w:cs="Times New Roman"/>
              <w:bCs/>
              <w:snapToGrid/>
              <w:color w:val="auto"/>
              <w:kern w:val="2"/>
              <w:szCs w:val="30"/>
              <w:lang w:val="zh-CN" w:eastAsia="zh-CN"/>
            </w:rPr>
            <w:t>在线监测系统验收及联网情况表</w:t>
          </w:r>
          <w:r>
            <w:rPr>
              <w:color w:val="auto"/>
            </w:rPr>
            <w:tab/>
          </w:r>
          <w:r>
            <w:rPr>
              <w:color w:val="auto"/>
            </w:rPr>
            <w:fldChar w:fldCharType="begin"/>
          </w:r>
          <w:r>
            <w:rPr>
              <w:color w:val="auto"/>
            </w:rPr>
            <w:instrText xml:space="preserve"> PAGEREF _Toc19873 \h </w:instrText>
          </w:r>
          <w:r>
            <w:rPr>
              <w:color w:val="auto"/>
            </w:rPr>
            <w:fldChar w:fldCharType="separate"/>
          </w:r>
          <w:r>
            <w:rPr>
              <w:color w:val="auto"/>
            </w:rPr>
            <w:t>281</w:t>
          </w:r>
          <w:r>
            <w:rPr>
              <w:color w:val="auto"/>
            </w:rPr>
            <w:fldChar w:fldCharType="end"/>
          </w:r>
          <w:r>
            <w:rPr>
              <w:rFonts w:ascii="Times New Roman" w:hAnsi="Times New Roman" w:eastAsia="宋体" w:cs="Times New Roman"/>
              <w:bCs/>
              <w:color w:val="auto"/>
              <w:lang w:val="zh-CN"/>
            </w:rPr>
            <w:fldChar w:fldCharType="end"/>
          </w:r>
        </w:p>
        <w:p w14:paraId="4857273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_Toc28784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附件15 煤质分析报告</w:t>
          </w:r>
          <w:r>
            <w:rPr>
              <w:color w:val="auto"/>
            </w:rPr>
            <w:tab/>
          </w:r>
          <w:r>
            <w:rPr>
              <w:color w:val="auto"/>
            </w:rPr>
            <w:fldChar w:fldCharType="begin"/>
          </w:r>
          <w:r>
            <w:rPr>
              <w:color w:val="auto"/>
            </w:rPr>
            <w:instrText xml:space="preserve"> PAGEREF _Toc28784 \h </w:instrText>
          </w:r>
          <w:r>
            <w:rPr>
              <w:color w:val="auto"/>
            </w:rPr>
            <w:fldChar w:fldCharType="separate"/>
          </w:r>
          <w:r>
            <w:rPr>
              <w:color w:val="auto"/>
            </w:rPr>
            <w:t>283</w:t>
          </w:r>
          <w:r>
            <w:rPr>
              <w:color w:val="auto"/>
            </w:rPr>
            <w:fldChar w:fldCharType="end"/>
          </w:r>
          <w:r>
            <w:rPr>
              <w:rFonts w:ascii="Times New Roman" w:hAnsi="Times New Roman" w:eastAsia="宋体" w:cs="Times New Roman"/>
              <w:bCs/>
              <w:color w:val="auto"/>
              <w:lang w:val="zh-CN"/>
            </w:rPr>
            <w:fldChar w:fldCharType="end"/>
          </w:r>
        </w:p>
        <w:p w14:paraId="46FBDA01">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_Toc387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附件16 验收检测报告</w:t>
          </w:r>
          <w:r>
            <w:rPr>
              <w:color w:val="auto"/>
            </w:rPr>
            <w:tab/>
          </w:r>
          <w:r>
            <w:rPr>
              <w:color w:val="auto"/>
            </w:rPr>
            <w:fldChar w:fldCharType="begin"/>
          </w:r>
          <w:r>
            <w:rPr>
              <w:color w:val="auto"/>
            </w:rPr>
            <w:instrText xml:space="preserve"> PAGEREF _Toc387 \h </w:instrText>
          </w:r>
          <w:r>
            <w:rPr>
              <w:color w:val="auto"/>
            </w:rPr>
            <w:fldChar w:fldCharType="separate"/>
          </w:r>
          <w:r>
            <w:rPr>
              <w:color w:val="auto"/>
            </w:rPr>
            <w:t>288</w:t>
          </w:r>
          <w:r>
            <w:rPr>
              <w:color w:val="auto"/>
            </w:rPr>
            <w:fldChar w:fldCharType="end"/>
          </w:r>
          <w:r>
            <w:rPr>
              <w:rFonts w:ascii="Times New Roman" w:hAnsi="Times New Roman" w:eastAsia="宋体" w:cs="Times New Roman"/>
              <w:bCs/>
              <w:color w:val="auto"/>
              <w:lang w:val="zh-CN"/>
            </w:rPr>
            <w:fldChar w:fldCharType="end"/>
          </w:r>
        </w:p>
        <w:p w14:paraId="3B97679B">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_Toc19703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bCs/>
              <w:snapToGrid/>
              <w:color w:val="auto"/>
              <w:kern w:val="2"/>
              <w:szCs w:val="30"/>
              <w:lang w:val="en-US" w:eastAsia="zh-CN"/>
            </w:rPr>
            <w:t>附件17 本项目现状检测报告</w:t>
          </w:r>
          <w:r>
            <w:rPr>
              <w:color w:val="auto"/>
            </w:rPr>
            <w:tab/>
          </w:r>
          <w:r>
            <w:rPr>
              <w:color w:val="auto"/>
            </w:rPr>
            <w:fldChar w:fldCharType="begin"/>
          </w:r>
          <w:r>
            <w:rPr>
              <w:color w:val="auto"/>
            </w:rPr>
            <w:instrText xml:space="preserve"> PAGEREF _Toc19703 \h </w:instrText>
          </w:r>
          <w:r>
            <w:rPr>
              <w:color w:val="auto"/>
            </w:rPr>
            <w:fldChar w:fldCharType="separate"/>
          </w:r>
          <w:r>
            <w:rPr>
              <w:color w:val="auto"/>
            </w:rPr>
            <w:t>293</w:t>
          </w:r>
          <w:r>
            <w:rPr>
              <w:color w:val="auto"/>
            </w:rPr>
            <w:fldChar w:fldCharType="end"/>
          </w:r>
          <w:r>
            <w:rPr>
              <w:rFonts w:ascii="Times New Roman" w:hAnsi="Times New Roman" w:eastAsia="宋体" w:cs="Times New Roman"/>
              <w:bCs/>
              <w:color w:val="auto"/>
              <w:lang w:val="zh-CN"/>
            </w:rPr>
            <w:fldChar w:fldCharType="end"/>
          </w:r>
        </w:p>
        <w:p w14:paraId="3D173441">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_Toc27906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color w:val="auto"/>
              <w:szCs w:val="32"/>
              <w:lang w:val="en-US" w:eastAsia="zh-CN"/>
            </w:rPr>
            <w:t>附图</w:t>
          </w:r>
          <w:r>
            <w:rPr>
              <w:color w:val="auto"/>
            </w:rPr>
            <w:tab/>
          </w:r>
          <w:r>
            <w:rPr>
              <w:color w:val="auto"/>
            </w:rPr>
            <w:fldChar w:fldCharType="begin"/>
          </w:r>
          <w:r>
            <w:rPr>
              <w:color w:val="auto"/>
            </w:rPr>
            <w:instrText xml:space="preserve"> PAGEREF _Toc27906 \h </w:instrText>
          </w:r>
          <w:r>
            <w:rPr>
              <w:color w:val="auto"/>
            </w:rPr>
            <w:fldChar w:fldCharType="separate"/>
          </w:r>
          <w:r>
            <w:rPr>
              <w:color w:val="auto"/>
            </w:rPr>
            <w:t>301</w:t>
          </w:r>
          <w:r>
            <w:rPr>
              <w:color w:val="auto"/>
            </w:rPr>
            <w:fldChar w:fldCharType="end"/>
          </w:r>
          <w:r>
            <w:rPr>
              <w:rFonts w:ascii="Times New Roman" w:hAnsi="Times New Roman" w:eastAsia="宋体" w:cs="Times New Roman"/>
              <w:bCs/>
              <w:color w:val="auto"/>
              <w:lang w:val="zh-CN"/>
            </w:rPr>
            <w:fldChar w:fldCharType="end"/>
          </w:r>
        </w:p>
        <w:p w14:paraId="01D20F61">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_Toc19029 </w:instrText>
          </w:r>
          <w:r>
            <w:rPr>
              <w:rFonts w:ascii="Times New Roman" w:hAnsi="Times New Roman" w:eastAsia="宋体" w:cs="Times New Roman"/>
              <w:bCs/>
              <w:color w:val="auto"/>
              <w:lang w:val="zh-CN"/>
            </w:rPr>
            <w:fldChar w:fldCharType="separate"/>
          </w:r>
          <w:r>
            <w:rPr>
              <w:rFonts w:hint="eastAsia" w:eastAsia="宋体" w:cs="Times New Roman"/>
              <w:bCs/>
              <w:color w:val="auto"/>
              <w:lang w:val="en-US" w:eastAsia="zh-CN"/>
            </w:rPr>
            <w:t>附图</w:t>
          </w:r>
          <w:r>
            <w:rPr>
              <w:rFonts w:hint="eastAsia" w:cs="Times New Roman"/>
              <w:bCs/>
              <w:color w:val="auto"/>
              <w:lang w:val="en-US" w:eastAsia="zh-CN"/>
            </w:rPr>
            <w:t>1</w:t>
          </w:r>
          <w:r>
            <w:rPr>
              <w:rFonts w:hint="eastAsia" w:eastAsia="宋体" w:cs="Times New Roman"/>
              <w:bCs/>
              <w:color w:val="auto"/>
              <w:lang w:val="en-US" w:eastAsia="zh-CN"/>
            </w:rPr>
            <w:t xml:space="preserve">  项目位置及敏感目标分布图</w:t>
          </w:r>
          <w:r>
            <w:rPr>
              <w:color w:val="auto"/>
            </w:rPr>
            <w:tab/>
          </w:r>
          <w:r>
            <w:rPr>
              <w:color w:val="auto"/>
            </w:rPr>
            <w:fldChar w:fldCharType="begin"/>
          </w:r>
          <w:r>
            <w:rPr>
              <w:color w:val="auto"/>
            </w:rPr>
            <w:instrText xml:space="preserve"> PAGEREF _Toc19029 \h </w:instrText>
          </w:r>
          <w:r>
            <w:rPr>
              <w:color w:val="auto"/>
            </w:rPr>
            <w:fldChar w:fldCharType="separate"/>
          </w:r>
          <w:r>
            <w:rPr>
              <w:color w:val="auto"/>
            </w:rPr>
            <w:t>301</w:t>
          </w:r>
          <w:r>
            <w:rPr>
              <w:color w:val="auto"/>
            </w:rPr>
            <w:fldChar w:fldCharType="end"/>
          </w:r>
          <w:r>
            <w:rPr>
              <w:rFonts w:ascii="Times New Roman" w:hAnsi="Times New Roman" w:eastAsia="宋体" w:cs="Times New Roman"/>
              <w:bCs/>
              <w:color w:val="auto"/>
              <w:lang w:val="zh-CN"/>
            </w:rPr>
            <w:fldChar w:fldCharType="end"/>
          </w:r>
        </w:p>
        <w:p w14:paraId="142E9273">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_Toc27633 </w:instrText>
          </w:r>
          <w:r>
            <w:rPr>
              <w:rFonts w:ascii="Times New Roman" w:hAnsi="Times New Roman" w:eastAsia="宋体" w:cs="Times New Roman"/>
              <w:bCs/>
              <w:color w:val="auto"/>
              <w:lang w:val="zh-CN"/>
            </w:rPr>
            <w:fldChar w:fldCharType="separate"/>
          </w:r>
          <w:r>
            <w:rPr>
              <w:rFonts w:hint="eastAsia" w:eastAsia="宋体" w:cs="Times New Roman"/>
              <w:bCs/>
              <w:color w:val="auto"/>
              <w:lang w:val="en-US" w:eastAsia="zh-CN"/>
            </w:rPr>
            <w:t>附图</w:t>
          </w:r>
          <w:r>
            <w:rPr>
              <w:rFonts w:hint="eastAsia" w:cs="Times New Roman"/>
              <w:bCs/>
              <w:color w:val="auto"/>
              <w:lang w:val="en-US" w:eastAsia="zh-CN"/>
            </w:rPr>
            <w:t>2</w:t>
          </w:r>
          <w:r>
            <w:rPr>
              <w:rFonts w:hint="eastAsia" w:eastAsia="宋体" w:cs="Times New Roman"/>
              <w:bCs/>
              <w:color w:val="auto"/>
              <w:lang w:val="en-US" w:eastAsia="zh-CN"/>
            </w:rPr>
            <w:t xml:space="preserve">  热源厂总平面布置图</w:t>
          </w:r>
          <w:r>
            <w:rPr>
              <w:color w:val="auto"/>
            </w:rPr>
            <w:tab/>
          </w:r>
          <w:r>
            <w:rPr>
              <w:color w:val="auto"/>
            </w:rPr>
            <w:fldChar w:fldCharType="begin"/>
          </w:r>
          <w:r>
            <w:rPr>
              <w:color w:val="auto"/>
            </w:rPr>
            <w:instrText xml:space="preserve"> PAGEREF _Toc27633 \h </w:instrText>
          </w:r>
          <w:r>
            <w:rPr>
              <w:color w:val="auto"/>
            </w:rPr>
            <w:fldChar w:fldCharType="separate"/>
          </w:r>
          <w:r>
            <w:rPr>
              <w:color w:val="auto"/>
            </w:rPr>
            <w:t>302</w:t>
          </w:r>
          <w:r>
            <w:rPr>
              <w:color w:val="auto"/>
            </w:rPr>
            <w:fldChar w:fldCharType="end"/>
          </w:r>
          <w:r>
            <w:rPr>
              <w:rFonts w:ascii="Times New Roman" w:hAnsi="Times New Roman" w:eastAsia="宋体" w:cs="Times New Roman"/>
              <w:bCs/>
              <w:color w:val="auto"/>
              <w:lang w:val="zh-CN"/>
            </w:rPr>
            <w:fldChar w:fldCharType="end"/>
          </w:r>
        </w:p>
        <w:p w14:paraId="3038035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_Toc17551 </w:instrText>
          </w:r>
          <w:r>
            <w:rPr>
              <w:rFonts w:ascii="Times New Roman" w:hAnsi="Times New Roman" w:eastAsia="宋体" w:cs="Times New Roman"/>
              <w:bCs/>
              <w:color w:val="auto"/>
              <w:lang w:val="zh-CN"/>
            </w:rPr>
            <w:fldChar w:fldCharType="separate"/>
          </w:r>
          <w:r>
            <w:rPr>
              <w:rFonts w:hint="eastAsia" w:eastAsia="宋体" w:cs="Times New Roman"/>
              <w:bCs/>
              <w:color w:val="auto"/>
              <w:lang w:val="en-US" w:eastAsia="zh-CN"/>
            </w:rPr>
            <w:t>附图</w:t>
          </w:r>
          <w:r>
            <w:rPr>
              <w:rFonts w:hint="eastAsia" w:cs="Times New Roman"/>
              <w:bCs/>
              <w:color w:val="auto"/>
              <w:lang w:val="en-US" w:eastAsia="zh-CN"/>
            </w:rPr>
            <w:t>3</w:t>
          </w:r>
          <w:r>
            <w:rPr>
              <w:rFonts w:hint="eastAsia" w:eastAsia="宋体" w:cs="Times New Roman"/>
              <w:bCs/>
              <w:color w:val="auto"/>
              <w:lang w:val="en-US" w:eastAsia="zh-CN"/>
            </w:rPr>
            <w:t xml:space="preserve">  维修管线总平面布置图</w:t>
          </w:r>
          <w:r>
            <w:rPr>
              <w:color w:val="auto"/>
            </w:rPr>
            <w:tab/>
          </w:r>
          <w:r>
            <w:rPr>
              <w:color w:val="auto"/>
            </w:rPr>
            <w:fldChar w:fldCharType="begin"/>
          </w:r>
          <w:r>
            <w:rPr>
              <w:color w:val="auto"/>
            </w:rPr>
            <w:instrText xml:space="preserve"> PAGEREF _Toc17551 \h </w:instrText>
          </w:r>
          <w:r>
            <w:rPr>
              <w:color w:val="auto"/>
            </w:rPr>
            <w:fldChar w:fldCharType="separate"/>
          </w:r>
          <w:r>
            <w:rPr>
              <w:color w:val="auto"/>
            </w:rPr>
            <w:t>303</w:t>
          </w:r>
          <w:r>
            <w:rPr>
              <w:color w:val="auto"/>
            </w:rPr>
            <w:fldChar w:fldCharType="end"/>
          </w:r>
          <w:r>
            <w:rPr>
              <w:rFonts w:ascii="Times New Roman" w:hAnsi="Times New Roman" w:eastAsia="宋体" w:cs="Times New Roman"/>
              <w:bCs/>
              <w:color w:val="auto"/>
              <w:lang w:val="zh-CN"/>
            </w:rPr>
            <w:fldChar w:fldCharType="end"/>
          </w:r>
        </w:p>
        <w:p w14:paraId="6CC4F745">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_Toc978 </w:instrText>
          </w:r>
          <w:r>
            <w:rPr>
              <w:rFonts w:ascii="Times New Roman" w:hAnsi="Times New Roman" w:eastAsia="宋体" w:cs="Times New Roman"/>
              <w:bCs/>
              <w:color w:val="auto"/>
              <w:lang w:val="zh-CN"/>
            </w:rPr>
            <w:fldChar w:fldCharType="separate"/>
          </w:r>
          <w:r>
            <w:rPr>
              <w:rFonts w:hint="eastAsia" w:eastAsia="宋体" w:cs="Times New Roman"/>
              <w:bCs/>
              <w:color w:val="auto"/>
              <w:lang w:val="en-US" w:eastAsia="zh-CN"/>
            </w:rPr>
            <w:t>附图</w:t>
          </w:r>
          <w:r>
            <w:rPr>
              <w:rFonts w:hint="eastAsia" w:cs="Times New Roman"/>
              <w:bCs/>
              <w:color w:val="auto"/>
              <w:lang w:val="en-US" w:eastAsia="zh-CN"/>
            </w:rPr>
            <w:t>3-1</w:t>
          </w:r>
          <w:r>
            <w:rPr>
              <w:rFonts w:hint="eastAsia" w:eastAsia="宋体" w:cs="Times New Roman"/>
              <w:bCs/>
              <w:color w:val="auto"/>
              <w:lang w:val="en-US" w:eastAsia="zh-CN"/>
            </w:rPr>
            <w:t xml:space="preserve">  维修管线平面布置图（一）</w:t>
          </w:r>
          <w:r>
            <w:rPr>
              <w:color w:val="auto"/>
            </w:rPr>
            <w:tab/>
          </w:r>
          <w:r>
            <w:rPr>
              <w:color w:val="auto"/>
            </w:rPr>
            <w:fldChar w:fldCharType="begin"/>
          </w:r>
          <w:r>
            <w:rPr>
              <w:color w:val="auto"/>
            </w:rPr>
            <w:instrText xml:space="preserve"> PAGEREF _Toc978 \h </w:instrText>
          </w:r>
          <w:r>
            <w:rPr>
              <w:color w:val="auto"/>
            </w:rPr>
            <w:fldChar w:fldCharType="separate"/>
          </w:r>
          <w:r>
            <w:rPr>
              <w:color w:val="auto"/>
            </w:rPr>
            <w:t>304</w:t>
          </w:r>
          <w:r>
            <w:rPr>
              <w:color w:val="auto"/>
            </w:rPr>
            <w:fldChar w:fldCharType="end"/>
          </w:r>
          <w:r>
            <w:rPr>
              <w:rFonts w:ascii="Times New Roman" w:hAnsi="Times New Roman" w:eastAsia="宋体" w:cs="Times New Roman"/>
              <w:bCs/>
              <w:color w:val="auto"/>
              <w:lang w:val="zh-CN"/>
            </w:rPr>
            <w:fldChar w:fldCharType="end"/>
          </w:r>
        </w:p>
        <w:p w14:paraId="06D3FA2C">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_Toc9831 </w:instrText>
          </w:r>
          <w:r>
            <w:rPr>
              <w:rFonts w:ascii="Times New Roman" w:hAnsi="Times New Roman" w:eastAsia="宋体" w:cs="Times New Roman"/>
              <w:bCs/>
              <w:color w:val="auto"/>
              <w:lang w:val="zh-CN"/>
            </w:rPr>
            <w:fldChar w:fldCharType="separate"/>
          </w:r>
          <w:r>
            <w:rPr>
              <w:rFonts w:hint="eastAsia" w:eastAsia="宋体" w:cs="Times New Roman"/>
              <w:bCs/>
              <w:color w:val="auto"/>
              <w:lang w:val="en-US" w:eastAsia="zh-CN"/>
            </w:rPr>
            <w:t>附图</w:t>
          </w:r>
          <w:r>
            <w:rPr>
              <w:rFonts w:hint="eastAsia" w:cs="Times New Roman"/>
              <w:bCs/>
              <w:color w:val="auto"/>
              <w:lang w:val="en-US" w:eastAsia="zh-CN"/>
            </w:rPr>
            <w:t>3-2</w:t>
          </w:r>
          <w:r>
            <w:rPr>
              <w:rFonts w:hint="eastAsia" w:eastAsia="宋体" w:cs="Times New Roman"/>
              <w:bCs/>
              <w:color w:val="auto"/>
              <w:lang w:val="en-US" w:eastAsia="zh-CN"/>
            </w:rPr>
            <w:t xml:space="preserve">  维修管线平面布置图（二）</w:t>
          </w:r>
          <w:r>
            <w:rPr>
              <w:color w:val="auto"/>
            </w:rPr>
            <w:tab/>
          </w:r>
          <w:r>
            <w:rPr>
              <w:color w:val="auto"/>
            </w:rPr>
            <w:fldChar w:fldCharType="begin"/>
          </w:r>
          <w:r>
            <w:rPr>
              <w:color w:val="auto"/>
            </w:rPr>
            <w:instrText xml:space="preserve"> PAGEREF _Toc9831 \h </w:instrText>
          </w:r>
          <w:r>
            <w:rPr>
              <w:color w:val="auto"/>
            </w:rPr>
            <w:fldChar w:fldCharType="separate"/>
          </w:r>
          <w:r>
            <w:rPr>
              <w:color w:val="auto"/>
            </w:rPr>
            <w:t>305</w:t>
          </w:r>
          <w:r>
            <w:rPr>
              <w:color w:val="auto"/>
            </w:rPr>
            <w:fldChar w:fldCharType="end"/>
          </w:r>
          <w:r>
            <w:rPr>
              <w:rFonts w:ascii="Times New Roman" w:hAnsi="Times New Roman" w:eastAsia="宋体" w:cs="Times New Roman"/>
              <w:bCs/>
              <w:color w:val="auto"/>
              <w:lang w:val="zh-CN"/>
            </w:rPr>
            <w:fldChar w:fldCharType="end"/>
          </w:r>
        </w:p>
        <w:p w14:paraId="252FC35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_Toc10877 </w:instrText>
          </w:r>
          <w:r>
            <w:rPr>
              <w:rFonts w:ascii="Times New Roman" w:hAnsi="Times New Roman" w:eastAsia="宋体" w:cs="Times New Roman"/>
              <w:bCs/>
              <w:color w:val="auto"/>
              <w:lang w:val="zh-CN"/>
            </w:rPr>
            <w:fldChar w:fldCharType="separate"/>
          </w:r>
          <w:r>
            <w:rPr>
              <w:rFonts w:hint="eastAsia" w:eastAsia="宋体" w:cs="Times New Roman"/>
              <w:bCs/>
              <w:color w:val="auto"/>
              <w:lang w:val="en-US" w:eastAsia="zh-CN"/>
            </w:rPr>
            <w:t>附图</w:t>
          </w:r>
          <w:r>
            <w:rPr>
              <w:rFonts w:hint="eastAsia" w:cs="Times New Roman"/>
              <w:bCs/>
              <w:color w:val="auto"/>
              <w:lang w:val="en-US" w:eastAsia="zh-CN"/>
            </w:rPr>
            <w:t>3-3</w:t>
          </w:r>
          <w:r>
            <w:rPr>
              <w:rFonts w:hint="eastAsia" w:eastAsia="宋体" w:cs="Times New Roman"/>
              <w:bCs/>
              <w:color w:val="auto"/>
              <w:lang w:val="en-US" w:eastAsia="zh-CN"/>
            </w:rPr>
            <w:t xml:space="preserve">  维修管线平面布置图（三）</w:t>
          </w:r>
          <w:r>
            <w:rPr>
              <w:color w:val="auto"/>
            </w:rPr>
            <w:tab/>
          </w:r>
          <w:r>
            <w:rPr>
              <w:color w:val="auto"/>
            </w:rPr>
            <w:fldChar w:fldCharType="begin"/>
          </w:r>
          <w:r>
            <w:rPr>
              <w:color w:val="auto"/>
            </w:rPr>
            <w:instrText xml:space="preserve"> PAGEREF _Toc10877 \h </w:instrText>
          </w:r>
          <w:r>
            <w:rPr>
              <w:color w:val="auto"/>
            </w:rPr>
            <w:fldChar w:fldCharType="separate"/>
          </w:r>
          <w:r>
            <w:rPr>
              <w:color w:val="auto"/>
            </w:rPr>
            <w:t>306</w:t>
          </w:r>
          <w:r>
            <w:rPr>
              <w:color w:val="auto"/>
            </w:rPr>
            <w:fldChar w:fldCharType="end"/>
          </w:r>
          <w:r>
            <w:rPr>
              <w:rFonts w:ascii="Times New Roman" w:hAnsi="Times New Roman" w:eastAsia="宋体" w:cs="Times New Roman"/>
              <w:bCs/>
              <w:color w:val="auto"/>
              <w:lang w:val="zh-CN"/>
            </w:rPr>
            <w:fldChar w:fldCharType="end"/>
          </w:r>
        </w:p>
        <w:p w14:paraId="29CE31AB">
          <w:pPr>
            <w:pStyle w:val="18"/>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_Toc29678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color w:val="auto"/>
              <w:szCs w:val="32"/>
              <w:lang w:val="en-US" w:eastAsia="zh-CN"/>
            </w:rPr>
            <w:t>附表</w:t>
          </w:r>
          <w:r>
            <w:rPr>
              <w:color w:val="auto"/>
            </w:rPr>
            <w:tab/>
          </w:r>
          <w:r>
            <w:rPr>
              <w:color w:val="auto"/>
            </w:rPr>
            <w:fldChar w:fldCharType="begin"/>
          </w:r>
          <w:r>
            <w:rPr>
              <w:color w:val="auto"/>
            </w:rPr>
            <w:instrText xml:space="preserve"> PAGEREF _Toc29678 \h </w:instrText>
          </w:r>
          <w:r>
            <w:rPr>
              <w:color w:val="auto"/>
            </w:rPr>
            <w:fldChar w:fldCharType="separate"/>
          </w:r>
          <w:r>
            <w:rPr>
              <w:color w:val="auto"/>
            </w:rPr>
            <w:t>307</w:t>
          </w:r>
          <w:r>
            <w:rPr>
              <w:color w:val="auto"/>
            </w:rPr>
            <w:fldChar w:fldCharType="end"/>
          </w:r>
          <w:r>
            <w:rPr>
              <w:rFonts w:ascii="Times New Roman" w:hAnsi="Times New Roman" w:eastAsia="宋体" w:cs="Times New Roman"/>
              <w:bCs/>
              <w:color w:val="auto"/>
              <w:lang w:val="zh-CN"/>
            </w:rPr>
            <w:fldChar w:fldCharType="end"/>
          </w:r>
        </w:p>
        <w:p w14:paraId="12DC1494">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_Toc2803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color w:val="auto"/>
              <w:szCs w:val="24"/>
              <w:lang w:val="en-US" w:eastAsia="zh-CN"/>
            </w:rPr>
            <w:t>附表1</w:t>
          </w:r>
          <w:r>
            <w:rPr>
              <w:rFonts w:hint="default" w:ascii="Times New Roman" w:hAnsi="Times New Roman" w:eastAsia="宋体" w:cs="Times New Roman"/>
              <w:color w:val="auto"/>
              <w:szCs w:val="24"/>
              <w:lang w:val="en-US" w:eastAsia="zh-CN"/>
            </w:rPr>
            <w:t xml:space="preserve">  建设项目大气环境影响评价自查表</w:t>
          </w:r>
          <w:r>
            <w:rPr>
              <w:color w:val="auto"/>
            </w:rPr>
            <w:tab/>
          </w:r>
          <w:r>
            <w:rPr>
              <w:color w:val="auto"/>
            </w:rPr>
            <w:fldChar w:fldCharType="begin"/>
          </w:r>
          <w:r>
            <w:rPr>
              <w:color w:val="auto"/>
            </w:rPr>
            <w:instrText xml:space="preserve"> PAGEREF _Toc2803 \h </w:instrText>
          </w:r>
          <w:r>
            <w:rPr>
              <w:color w:val="auto"/>
            </w:rPr>
            <w:fldChar w:fldCharType="separate"/>
          </w:r>
          <w:r>
            <w:rPr>
              <w:color w:val="auto"/>
            </w:rPr>
            <w:t>307</w:t>
          </w:r>
          <w:r>
            <w:rPr>
              <w:color w:val="auto"/>
            </w:rPr>
            <w:fldChar w:fldCharType="end"/>
          </w:r>
          <w:r>
            <w:rPr>
              <w:rFonts w:ascii="Times New Roman" w:hAnsi="Times New Roman" w:eastAsia="宋体" w:cs="Times New Roman"/>
              <w:bCs/>
              <w:color w:val="auto"/>
              <w:lang w:val="zh-CN"/>
            </w:rPr>
            <w:fldChar w:fldCharType="end"/>
          </w:r>
        </w:p>
        <w:p w14:paraId="00FDCE25">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_Toc20105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color w:val="auto"/>
              <w:szCs w:val="24"/>
              <w:lang w:val="en-US" w:eastAsia="zh-CN"/>
            </w:rPr>
            <w:t>附</w:t>
          </w:r>
          <w:r>
            <w:rPr>
              <w:rFonts w:hint="default" w:ascii="Times New Roman" w:hAnsi="Times New Roman" w:eastAsia="宋体" w:cs="Times New Roman"/>
              <w:color w:val="auto"/>
              <w:szCs w:val="24"/>
              <w:lang w:val="en-US" w:eastAsia="zh-CN"/>
            </w:rPr>
            <w:t>表</w:t>
          </w:r>
          <w:r>
            <w:rPr>
              <w:rFonts w:hint="eastAsia" w:ascii="Times New Roman" w:hAnsi="Times New Roman" w:eastAsia="宋体" w:cs="Times New Roman"/>
              <w:color w:val="auto"/>
              <w:szCs w:val="24"/>
              <w:lang w:val="en-US" w:eastAsia="zh-CN"/>
            </w:rPr>
            <w:t>2</w:t>
          </w:r>
          <w:r>
            <w:rPr>
              <w:rFonts w:hint="default" w:ascii="Times New Roman" w:hAnsi="Times New Roman" w:eastAsia="宋体" w:cs="Times New Roman"/>
              <w:color w:val="auto"/>
              <w:szCs w:val="24"/>
              <w:lang w:val="en-US" w:eastAsia="zh-CN"/>
            </w:rPr>
            <w:t xml:space="preserve">  建设项目</w:t>
          </w:r>
          <w:r>
            <w:rPr>
              <w:rFonts w:hint="eastAsia" w:ascii="Times New Roman" w:hAnsi="Times New Roman" w:eastAsia="宋体" w:cs="Times New Roman"/>
              <w:color w:val="auto"/>
              <w:szCs w:val="24"/>
              <w:lang w:val="en-US" w:eastAsia="zh-CN"/>
            </w:rPr>
            <w:t>地表水</w:t>
          </w:r>
          <w:r>
            <w:rPr>
              <w:rFonts w:hint="default" w:ascii="Times New Roman" w:hAnsi="Times New Roman" w:eastAsia="宋体" w:cs="Times New Roman"/>
              <w:color w:val="auto"/>
              <w:szCs w:val="24"/>
              <w:lang w:val="en-US" w:eastAsia="zh-CN"/>
            </w:rPr>
            <w:t>环境影响评价自查表</w:t>
          </w:r>
          <w:r>
            <w:rPr>
              <w:color w:val="auto"/>
            </w:rPr>
            <w:tab/>
          </w:r>
          <w:r>
            <w:rPr>
              <w:color w:val="auto"/>
            </w:rPr>
            <w:fldChar w:fldCharType="begin"/>
          </w:r>
          <w:r>
            <w:rPr>
              <w:color w:val="auto"/>
            </w:rPr>
            <w:instrText xml:space="preserve"> PAGEREF _Toc20105 \h </w:instrText>
          </w:r>
          <w:r>
            <w:rPr>
              <w:color w:val="auto"/>
            </w:rPr>
            <w:fldChar w:fldCharType="separate"/>
          </w:r>
          <w:r>
            <w:rPr>
              <w:color w:val="auto"/>
            </w:rPr>
            <w:t>309</w:t>
          </w:r>
          <w:r>
            <w:rPr>
              <w:color w:val="auto"/>
            </w:rPr>
            <w:fldChar w:fldCharType="end"/>
          </w:r>
          <w:r>
            <w:rPr>
              <w:rFonts w:ascii="Times New Roman" w:hAnsi="Times New Roman" w:eastAsia="宋体" w:cs="Times New Roman"/>
              <w:bCs/>
              <w:color w:val="auto"/>
              <w:lang w:val="zh-CN"/>
            </w:rPr>
            <w:fldChar w:fldCharType="end"/>
          </w:r>
        </w:p>
        <w:p w14:paraId="09A9A8C0">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_Toc455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color w:val="auto"/>
              <w:szCs w:val="24"/>
              <w:lang w:val="en-US" w:eastAsia="zh-CN"/>
            </w:rPr>
            <w:t>附表3  声环境影响评价自查表</w:t>
          </w:r>
          <w:r>
            <w:rPr>
              <w:color w:val="auto"/>
            </w:rPr>
            <w:tab/>
          </w:r>
          <w:r>
            <w:rPr>
              <w:color w:val="auto"/>
            </w:rPr>
            <w:fldChar w:fldCharType="begin"/>
          </w:r>
          <w:r>
            <w:rPr>
              <w:color w:val="auto"/>
            </w:rPr>
            <w:instrText xml:space="preserve"> PAGEREF _Toc455 \h </w:instrText>
          </w:r>
          <w:r>
            <w:rPr>
              <w:color w:val="auto"/>
            </w:rPr>
            <w:fldChar w:fldCharType="separate"/>
          </w:r>
          <w:r>
            <w:rPr>
              <w:color w:val="auto"/>
            </w:rPr>
            <w:t>312</w:t>
          </w:r>
          <w:r>
            <w:rPr>
              <w:color w:val="auto"/>
            </w:rPr>
            <w:fldChar w:fldCharType="end"/>
          </w:r>
          <w:r>
            <w:rPr>
              <w:rFonts w:ascii="Times New Roman" w:hAnsi="Times New Roman" w:eastAsia="宋体" w:cs="Times New Roman"/>
              <w:bCs/>
              <w:color w:val="auto"/>
              <w:lang w:val="zh-CN"/>
            </w:rPr>
            <w:fldChar w:fldCharType="end"/>
          </w:r>
        </w:p>
        <w:p w14:paraId="0B69CFD2">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_Toc26172 </w:instrText>
          </w:r>
          <w:r>
            <w:rPr>
              <w:rFonts w:ascii="Times New Roman" w:hAnsi="Times New Roman" w:eastAsia="宋体" w:cs="Times New Roman"/>
              <w:bCs/>
              <w:color w:val="auto"/>
              <w:lang w:val="zh-CN"/>
            </w:rPr>
            <w:fldChar w:fldCharType="separate"/>
          </w:r>
          <w:r>
            <w:rPr>
              <w:rFonts w:hint="default" w:ascii="Times New Roman" w:hAnsi="Times New Roman" w:eastAsia="宋体" w:cs="Times New Roman"/>
              <w:color w:val="auto"/>
              <w:szCs w:val="24"/>
              <w:lang w:val="en-US" w:eastAsia="zh-CN"/>
            </w:rPr>
            <w:t>附表</w:t>
          </w:r>
          <w:r>
            <w:rPr>
              <w:rFonts w:hint="eastAsia" w:ascii="Times New Roman" w:hAnsi="Times New Roman" w:eastAsia="宋体" w:cs="Times New Roman"/>
              <w:color w:val="auto"/>
              <w:szCs w:val="24"/>
              <w:lang w:val="en-US" w:eastAsia="zh-CN"/>
            </w:rPr>
            <w:t xml:space="preserve">4 </w:t>
          </w:r>
          <w:r>
            <w:rPr>
              <w:rFonts w:hint="default" w:ascii="Times New Roman" w:hAnsi="Times New Roman" w:eastAsia="宋体" w:cs="Times New Roman"/>
              <w:color w:val="auto"/>
              <w:szCs w:val="24"/>
              <w:lang w:val="en-US" w:eastAsia="zh-CN"/>
            </w:rPr>
            <w:t xml:space="preserve"> 生态影响评价自查表</w:t>
          </w:r>
          <w:r>
            <w:rPr>
              <w:color w:val="auto"/>
            </w:rPr>
            <w:tab/>
          </w:r>
          <w:r>
            <w:rPr>
              <w:color w:val="auto"/>
            </w:rPr>
            <w:fldChar w:fldCharType="begin"/>
          </w:r>
          <w:r>
            <w:rPr>
              <w:color w:val="auto"/>
            </w:rPr>
            <w:instrText xml:space="preserve"> PAGEREF _Toc26172 \h </w:instrText>
          </w:r>
          <w:r>
            <w:rPr>
              <w:color w:val="auto"/>
            </w:rPr>
            <w:fldChar w:fldCharType="separate"/>
          </w:r>
          <w:r>
            <w:rPr>
              <w:color w:val="auto"/>
            </w:rPr>
            <w:t>313</w:t>
          </w:r>
          <w:r>
            <w:rPr>
              <w:color w:val="auto"/>
            </w:rPr>
            <w:fldChar w:fldCharType="end"/>
          </w:r>
          <w:r>
            <w:rPr>
              <w:rFonts w:ascii="Times New Roman" w:hAnsi="Times New Roman" w:eastAsia="宋体" w:cs="Times New Roman"/>
              <w:bCs/>
              <w:color w:val="auto"/>
              <w:lang w:val="zh-CN"/>
            </w:rPr>
            <w:fldChar w:fldCharType="end"/>
          </w:r>
        </w:p>
        <w:p w14:paraId="75664849">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_Toc5569 </w:instrText>
          </w:r>
          <w:r>
            <w:rPr>
              <w:rFonts w:ascii="Times New Roman" w:hAnsi="Times New Roman" w:eastAsia="宋体" w:cs="Times New Roman"/>
              <w:bCs/>
              <w:color w:val="auto"/>
              <w:lang w:val="zh-CN"/>
            </w:rPr>
            <w:fldChar w:fldCharType="separate"/>
          </w:r>
          <w:r>
            <w:rPr>
              <w:rFonts w:hint="default" w:ascii="Times New Roman" w:hAnsi="Times New Roman" w:eastAsia="宋体" w:cs="Times New Roman"/>
              <w:color w:val="auto"/>
              <w:szCs w:val="24"/>
              <w:lang w:val="en-US" w:eastAsia="zh-CN"/>
            </w:rPr>
            <w:t>附表</w:t>
          </w:r>
          <w:r>
            <w:rPr>
              <w:rFonts w:hint="eastAsia" w:ascii="Times New Roman" w:hAnsi="Times New Roman" w:eastAsia="宋体" w:cs="Times New Roman"/>
              <w:color w:val="auto"/>
              <w:szCs w:val="24"/>
              <w:lang w:val="en-US" w:eastAsia="zh-CN"/>
            </w:rPr>
            <w:t>5</w:t>
          </w:r>
          <w:r>
            <w:rPr>
              <w:rFonts w:hint="default" w:ascii="Times New Roman" w:hAnsi="Times New Roman" w:eastAsia="宋体" w:cs="Times New Roman"/>
              <w:color w:val="auto"/>
              <w:szCs w:val="24"/>
              <w:lang w:val="en-US" w:eastAsia="zh-CN"/>
            </w:rPr>
            <w:t xml:space="preserve"> </w:t>
          </w:r>
          <w:r>
            <w:rPr>
              <w:rFonts w:hint="eastAsia" w:ascii="Times New Roman" w:hAnsi="Times New Roman" w:eastAsia="宋体" w:cs="Times New Roman"/>
              <w:color w:val="auto"/>
              <w:szCs w:val="24"/>
              <w:lang w:val="en-US" w:eastAsia="zh-CN"/>
            </w:rPr>
            <w:t xml:space="preserve"> </w:t>
          </w:r>
          <w:r>
            <w:rPr>
              <w:rFonts w:hint="default" w:ascii="Times New Roman" w:hAnsi="Times New Roman" w:eastAsia="宋体" w:cs="Times New Roman"/>
              <w:color w:val="auto"/>
              <w:szCs w:val="24"/>
              <w:lang w:val="en-US" w:eastAsia="zh-CN"/>
            </w:rPr>
            <w:t>环境风险自查表</w:t>
          </w:r>
          <w:r>
            <w:rPr>
              <w:color w:val="auto"/>
            </w:rPr>
            <w:tab/>
          </w:r>
          <w:r>
            <w:rPr>
              <w:color w:val="auto"/>
            </w:rPr>
            <w:fldChar w:fldCharType="begin"/>
          </w:r>
          <w:r>
            <w:rPr>
              <w:color w:val="auto"/>
            </w:rPr>
            <w:instrText xml:space="preserve"> PAGEREF _Toc5569 \h </w:instrText>
          </w:r>
          <w:r>
            <w:rPr>
              <w:color w:val="auto"/>
            </w:rPr>
            <w:fldChar w:fldCharType="separate"/>
          </w:r>
          <w:r>
            <w:rPr>
              <w:color w:val="auto"/>
            </w:rPr>
            <w:t>314</w:t>
          </w:r>
          <w:r>
            <w:rPr>
              <w:color w:val="auto"/>
            </w:rPr>
            <w:fldChar w:fldCharType="end"/>
          </w:r>
          <w:r>
            <w:rPr>
              <w:rFonts w:ascii="Times New Roman" w:hAnsi="Times New Roman" w:eastAsia="宋体" w:cs="Times New Roman"/>
              <w:bCs/>
              <w:color w:val="auto"/>
              <w:lang w:val="zh-CN"/>
            </w:rPr>
            <w:fldChar w:fldCharType="end"/>
          </w:r>
        </w:p>
        <w:p w14:paraId="17D643E6">
          <w:pPr>
            <w:pStyle w:val="34"/>
            <w:tabs>
              <w:tab w:val="right" w:leader="dot" w:pos="8306"/>
            </w:tabs>
            <w:rPr>
              <w:color w:val="auto"/>
            </w:rPr>
          </w:pPr>
          <w:r>
            <w:rPr>
              <w:rFonts w:ascii="Times New Roman" w:hAnsi="Times New Roman" w:eastAsia="宋体" w:cs="Times New Roman"/>
              <w:bCs/>
              <w:color w:val="auto"/>
              <w:lang w:val="zh-CN"/>
            </w:rPr>
            <w:fldChar w:fldCharType="begin"/>
          </w:r>
          <w:r>
            <w:rPr>
              <w:rFonts w:ascii="Times New Roman" w:hAnsi="Times New Roman" w:eastAsia="宋体" w:cs="Times New Roman"/>
              <w:bCs/>
              <w:color w:val="auto"/>
              <w:lang w:val="zh-CN"/>
            </w:rPr>
            <w:instrText xml:space="preserve"> HYPERLINK \l _Toc10810 </w:instrText>
          </w:r>
          <w:r>
            <w:rPr>
              <w:rFonts w:ascii="Times New Roman" w:hAnsi="Times New Roman" w:eastAsia="宋体" w:cs="Times New Roman"/>
              <w:bCs/>
              <w:color w:val="auto"/>
              <w:lang w:val="zh-CN"/>
            </w:rPr>
            <w:fldChar w:fldCharType="separate"/>
          </w:r>
          <w:r>
            <w:rPr>
              <w:rFonts w:hint="eastAsia" w:ascii="Times New Roman" w:hAnsi="Times New Roman" w:eastAsia="宋体" w:cs="Times New Roman"/>
              <w:color w:val="auto"/>
              <w:szCs w:val="24"/>
              <w:lang w:val="en-US" w:eastAsia="zh-CN"/>
            </w:rPr>
            <w:t>附表6 土壤</w:t>
          </w:r>
          <w:r>
            <w:rPr>
              <w:rFonts w:hint="default" w:ascii="Times New Roman" w:hAnsi="Times New Roman" w:eastAsia="宋体" w:cs="Times New Roman"/>
              <w:color w:val="auto"/>
              <w:szCs w:val="24"/>
              <w:lang w:val="en-US" w:eastAsia="zh-CN"/>
            </w:rPr>
            <w:t>环境影响评价自查表</w:t>
          </w:r>
          <w:r>
            <w:rPr>
              <w:color w:val="auto"/>
            </w:rPr>
            <w:tab/>
          </w:r>
          <w:r>
            <w:rPr>
              <w:color w:val="auto"/>
            </w:rPr>
            <w:fldChar w:fldCharType="begin"/>
          </w:r>
          <w:r>
            <w:rPr>
              <w:color w:val="auto"/>
            </w:rPr>
            <w:instrText xml:space="preserve"> PAGEREF _Toc10810 \h </w:instrText>
          </w:r>
          <w:r>
            <w:rPr>
              <w:color w:val="auto"/>
            </w:rPr>
            <w:fldChar w:fldCharType="separate"/>
          </w:r>
          <w:r>
            <w:rPr>
              <w:color w:val="auto"/>
            </w:rPr>
            <w:t>315</w:t>
          </w:r>
          <w:r>
            <w:rPr>
              <w:color w:val="auto"/>
            </w:rPr>
            <w:fldChar w:fldCharType="end"/>
          </w:r>
          <w:r>
            <w:rPr>
              <w:rFonts w:ascii="Times New Roman" w:hAnsi="Times New Roman" w:eastAsia="宋体" w:cs="Times New Roman"/>
              <w:bCs/>
              <w:color w:val="auto"/>
              <w:lang w:val="zh-CN"/>
            </w:rPr>
            <w:fldChar w:fldCharType="end"/>
          </w:r>
        </w:p>
        <w:p w14:paraId="40D30766">
          <w:pPr>
            <w:pStyle w:val="18"/>
            <w:tabs>
              <w:tab w:val="right" w:leader="dot" w:pos="8306"/>
            </w:tabs>
            <w:ind w:firstLine="482"/>
            <w:rPr>
              <w:rFonts w:ascii="Times New Roman" w:hAnsi="Times New Roman" w:eastAsia="宋体" w:cs="Times New Roman"/>
              <w:color w:val="auto"/>
            </w:rPr>
          </w:pPr>
          <w:r>
            <w:rPr>
              <w:rFonts w:ascii="Times New Roman" w:hAnsi="Times New Roman" w:eastAsia="宋体" w:cs="Times New Roman"/>
              <w:bCs/>
              <w:color w:val="auto"/>
              <w:lang w:val="zh-CN"/>
            </w:rPr>
            <w:fldChar w:fldCharType="end"/>
          </w:r>
        </w:p>
      </w:sdtContent>
    </w:sdt>
    <w:p w14:paraId="54FBCEA9">
      <w:pPr>
        <w:ind w:firstLine="880"/>
        <w:rPr>
          <w:rFonts w:ascii="Times New Roman" w:hAnsi="Times New Roman" w:eastAsia="宋体" w:cs="Times New Roman"/>
          <w:color w:val="auto"/>
          <w:kern w:val="44"/>
          <w:sz w:val="44"/>
          <w:szCs w:val="44"/>
        </w:rPr>
        <w:sectPr>
          <w:headerReference r:id="rId11" w:type="default"/>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630CA066">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default" w:ascii="Times New Roman" w:hAnsi="Times New Roman" w:eastAsia="宋体" w:cs="Times New Roman"/>
          <w:b/>
          <w:bCs/>
          <w:color w:val="auto"/>
          <w:kern w:val="2"/>
          <w:sz w:val="32"/>
          <w:szCs w:val="32"/>
        </w:rPr>
      </w:pPr>
      <w:bookmarkStart w:id="0" w:name="_Toc9965"/>
      <w:bookmarkStart w:id="1" w:name="_Toc16513"/>
      <w:r>
        <w:rPr>
          <w:rStyle w:val="164"/>
          <w:rFonts w:hint="eastAsia" w:ascii="Times New Roman" w:hAnsi="Times New Roman" w:cs="Times New Roman"/>
          <w:b/>
          <w:bCs/>
          <w:color w:val="auto"/>
          <w:kern w:val="2"/>
          <w:sz w:val="32"/>
          <w:szCs w:val="32"/>
          <w:lang w:val="en-US"/>
        </w:rPr>
        <w:t>1、</w:t>
      </w:r>
      <w:r>
        <w:rPr>
          <w:rStyle w:val="164"/>
          <w:rFonts w:hint="default" w:ascii="Times New Roman" w:hAnsi="Times New Roman" w:eastAsia="宋体" w:cs="Times New Roman"/>
          <w:b/>
          <w:bCs/>
          <w:color w:val="auto"/>
          <w:kern w:val="2"/>
          <w:sz w:val="32"/>
          <w:szCs w:val="32"/>
        </w:rPr>
        <w:t>概述</w:t>
      </w:r>
      <w:bookmarkEnd w:id="0"/>
      <w:bookmarkEnd w:id="1"/>
    </w:p>
    <w:p w14:paraId="23B3A68D">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2" w:name="_Toc12666"/>
      <w:bookmarkStart w:id="3" w:name="_Toc10421"/>
      <w:r>
        <w:rPr>
          <w:rFonts w:hint="eastAsia" w:ascii="Times New Roman" w:hAnsi="Times New Roman" w:cs="Times New Roman"/>
          <w:b/>
          <w:bCs/>
          <w:color w:val="auto"/>
          <w:lang w:val="en-US" w:eastAsia="zh-CN"/>
        </w:rPr>
        <w:t xml:space="preserve">1.1 </w:t>
      </w:r>
      <w:r>
        <w:rPr>
          <w:rFonts w:hint="default" w:ascii="Times New Roman" w:hAnsi="Times New Roman" w:eastAsia="宋体" w:cs="Times New Roman"/>
          <w:b/>
          <w:bCs/>
          <w:color w:val="auto"/>
        </w:rPr>
        <w:t>建设项目由来</w:t>
      </w:r>
      <w:bookmarkEnd w:id="2"/>
      <w:bookmarkEnd w:id="3"/>
    </w:p>
    <w:p w14:paraId="32141AEE">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两供两治一业</w:t>
      </w:r>
      <w:r>
        <w:rPr>
          <w:rFonts w:hint="default" w:ascii="Times New Roman" w:hAnsi="Times New Roman" w:eastAsia="宋体" w:cs="Times New Roman"/>
          <w:color w:val="auto"/>
        </w:rPr>
        <w:t>改造项目是政策刚性要求，根据中央深化农垦改革的部署，农垦系统需剥离非经营性社会职能，聚焦农业生产经营主责主业。各分公司明确将移交工作列为落实国务院及省委专题会议精神的</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rPr>
        <w:t>硬任务</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rPr>
        <w:t>，通过属地化管理实现公共服务均等化。</w:t>
      </w:r>
    </w:p>
    <w:p w14:paraId="4192FA6E">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两供两治一业</w:t>
      </w:r>
      <w:r>
        <w:rPr>
          <w:rFonts w:hint="default" w:ascii="Times New Roman" w:hAnsi="Times New Roman" w:eastAsia="宋体" w:cs="Times New Roman"/>
          <w:color w:val="auto"/>
        </w:rPr>
        <w:t>改造项目是减轻企业负担的需要，农垦系统长期承担</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rPr>
        <w:t>企业办社会</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rPr>
        <w:t>职能，导致资金、管理资源分散。移交后，地方政府可通过财政统筹（如一事一议奖补政策）和专业团队接管，降低农垦企业的运营压力。</w:t>
      </w:r>
    </w:p>
    <w:p w14:paraId="20D0AEF7">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两供两治一业</w:t>
      </w:r>
      <w:r>
        <w:rPr>
          <w:rFonts w:hint="default" w:ascii="Times New Roman" w:hAnsi="Times New Roman" w:eastAsia="宋体" w:cs="Times New Roman"/>
          <w:color w:val="auto"/>
        </w:rPr>
        <w:t>移交是黑龙江农垦系统深化改革的关键环节，其必要性既源于国家政策的外在要求，也包含垦地协同发展的内生需求。通过剥离社会职能、整合资源、提升民生保障，最终实现</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rPr>
        <w:t>交得稳、接得住、管得好</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rPr>
        <w:t>的改革目标，为区域经济社会全面升级提供制度保障。</w:t>
      </w:r>
    </w:p>
    <w:p w14:paraId="29FB8FB0">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供热</w:t>
      </w:r>
      <w:r>
        <w:rPr>
          <w:rFonts w:hint="eastAsia" w:ascii="Times New Roman" w:hAnsi="Times New Roman" w:eastAsia="宋体" w:cs="Times New Roman"/>
          <w:color w:val="auto"/>
          <w:lang w:val="en-US" w:eastAsia="zh-CN"/>
        </w:rPr>
        <w:t>系统</w:t>
      </w:r>
      <w:r>
        <w:rPr>
          <w:rFonts w:hint="default" w:ascii="Times New Roman" w:hAnsi="Times New Roman" w:eastAsia="宋体" w:cs="Times New Roman"/>
          <w:color w:val="auto"/>
        </w:rPr>
        <w:t>是城镇重要的基础设施，完善共用基础设施的建设为构建和谐社会、农场的综合开发、建设及招商引资等项目的实施都将起着极为重要的作用，对农场经济和社会的可持续发展具有重要意义。</w:t>
      </w:r>
    </w:p>
    <w:p w14:paraId="219A2D09">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八五二农场现状</w:t>
      </w:r>
      <w:r>
        <w:rPr>
          <w:rFonts w:hint="eastAsia" w:ascii="Times New Roman" w:hAnsi="Times New Roman" w:eastAsia="宋体" w:cs="Times New Roman"/>
          <w:color w:val="auto"/>
          <w:lang w:val="en-US" w:eastAsia="zh-CN"/>
        </w:rPr>
        <w:t>供热中心</w:t>
      </w:r>
      <w:r>
        <w:rPr>
          <w:rFonts w:hint="default" w:ascii="Times New Roman" w:hAnsi="Times New Roman" w:eastAsia="宋体" w:cs="Times New Roman"/>
          <w:color w:val="auto"/>
          <w:lang w:val="en-US" w:eastAsia="zh-CN"/>
        </w:rPr>
        <w:t>2台热水锅炉已运行10年有余，经常出现故障。现有2台锅炉在长期使用过程中可能会出现磨损、腐蚀等安全隐患。供热中心厂区未建设专用消防水池，</w:t>
      </w:r>
      <w:r>
        <w:rPr>
          <w:rFonts w:hint="eastAsia" w:ascii="Times New Roman" w:hAnsi="Times New Roman" w:eastAsia="宋体" w:cs="Times New Roman"/>
          <w:color w:val="auto"/>
          <w:lang w:val="en-US" w:eastAsia="zh-CN"/>
        </w:rPr>
        <w:t>市政水无法满足室内外消防水要求，</w:t>
      </w:r>
      <w:r>
        <w:rPr>
          <w:rFonts w:hint="default" w:ascii="Times New Roman" w:hAnsi="Times New Roman" w:eastAsia="宋体" w:cs="Times New Roman"/>
          <w:color w:val="auto"/>
          <w:lang w:val="en-US" w:eastAsia="zh-CN"/>
        </w:rPr>
        <w:t>缺乏固定消防给水系统配套，无法满足火灾扑救所需的最低限度水源储备要求，消防供水体系基础架构未建立。</w:t>
      </w:r>
      <w:r>
        <w:rPr>
          <w:rFonts w:hint="eastAsia" w:ascii="Times New Roman" w:hAnsi="Times New Roman" w:eastAsia="宋体" w:cs="Times New Roman"/>
          <w:color w:val="auto"/>
          <w:lang w:val="en-US" w:eastAsia="zh-CN"/>
        </w:rPr>
        <w:t>供热管道跑冒滴漏现象严重。</w:t>
      </w:r>
      <w:r>
        <w:rPr>
          <w:rFonts w:hint="default" w:ascii="Times New Roman" w:hAnsi="Times New Roman" w:eastAsia="宋体" w:cs="Times New Roman"/>
          <w:color w:val="auto"/>
          <w:lang w:val="en-US" w:eastAsia="zh-CN"/>
        </w:rPr>
        <w:t>因此决定对存在问题的基础设施部分进行维修改造、更换。</w:t>
      </w:r>
    </w:p>
    <w:p w14:paraId="3FF935B4">
      <w:pPr>
        <w:keepNext w:val="0"/>
        <w:keepLines w:val="0"/>
        <w:pageBreakBefore w:val="0"/>
        <w:widowControl w:val="0"/>
        <w:kinsoku/>
        <w:wordWrap/>
        <w:overflowPunct/>
        <w:topLinePunct w:val="0"/>
        <w:autoSpaceDE/>
        <w:autoSpaceDN/>
        <w:bidi w:val="0"/>
        <w:adjustRightInd/>
        <w:snapToGrid w:val="0"/>
        <w:spacing w:line="500" w:lineRule="exact"/>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FF0000"/>
          <w:lang w:val="en-US" w:eastAsia="zh-CN"/>
        </w:rPr>
        <w:t>根据</w:t>
      </w:r>
      <w:r>
        <w:rPr>
          <w:rFonts w:hint="eastAsia" w:ascii="Times New Roman" w:hAnsi="Times New Roman" w:eastAsia="宋体" w:cs="Times New Roman"/>
          <w:color w:val="FF0000"/>
          <w:lang w:val="en-US" w:eastAsia="zh-CN"/>
        </w:rPr>
        <w:t>《关于北大荒集团黑龙江八五二农场有限公司两供两治一业移交供热设备维修改造标准的函》：“1、热源厂（锅炉房等）及供热设备设施。10年以上的锅炉房及供热设备进行更新改造，10年以下的设施确认无法正常使用的纳入在更新改造范围内。2、换热站。10年以上的进行更新改造，10年以下的设施确认无法正常使用的在更新改造范围内。10年以下的按使用年限计提折旧费用用于热力站内设备的维修。3、一、二级管网。使用10年以上管线应进行更新，10年以下的设施确认已无法正常使用的在更新改造范围内”</w:t>
      </w:r>
      <w:r>
        <w:rPr>
          <w:rFonts w:hint="default" w:ascii="Times New Roman" w:hAnsi="Times New Roman" w:eastAsia="宋体" w:cs="Times New Roman"/>
          <w:color w:val="FF0000"/>
          <w:lang w:val="en-US" w:eastAsia="zh-CN"/>
        </w:rPr>
        <w:t>，</w:t>
      </w:r>
      <w:r>
        <w:rPr>
          <w:rFonts w:hint="eastAsia" w:ascii="Times New Roman" w:hAnsi="Times New Roman" w:eastAsia="宋体" w:cs="Times New Roman"/>
          <w:color w:val="FF0000"/>
          <w:lang w:val="en-US" w:eastAsia="zh-CN"/>
        </w:rPr>
        <w:t>本项目涉及内容包括锅炉及管线工程。本项目锅炉运行超过10年，属于更新改造范围。因此，</w:t>
      </w:r>
      <w:r>
        <w:rPr>
          <w:rFonts w:hint="default" w:ascii="Times New Roman" w:hAnsi="Times New Roman" w:eastAsia="宋体" w:cs="Times New Roman"/>
          <w:color w:val="FF0000"/>
          <w:lang w:val="en-US" w:eastAsia="zh-CN"/>
        </w:rPr>
        <w:t>本项目的具体建设内容如下：维修</w:t>
      </w:r>
      <w:r>
        <w:rPr>
          <w:rFonts w:hint="eastAsia" w:ascii="Times New Roman" w:hAnsi="Times New Roman" w:eastAsia="宋体" w:cs="Times New Roman"/>
          <w:color w:val="FF0000"/>
          <w:lang w:val="en-US" w:eastAsia="zh-CN"/>
        </w:rPr>
        <w:t>更换</w:t>
      </w:r>
      <w:r>
        <w:rPr>
          <w:rFonts w:hint="default" w:ascii="Times New Roman" w:hAnsi="Times New Roman" w:eastAsia="宋体" w:cs="Times New Roman"/>
          <w:color w:val="FF0000"/>
          <w:lang w:val="en-US" w:eastAsia="zh-CN"/>
        </w:rPr>
        <w:t>两台</w:t>
      </w:r>
      <w:r>
        <w:rPr>
          <w:rFonts w:hint="eastAsia" w:ascii="Times New Roman" w:hAnsi="Times New Roman" w:eastAsia="宋体" w:cs="Times New Roman"/>
          <w:color w:val="FF0000"/>
          <w:lang w:val="en-US" w:eastAsia="zh-CN"/>
        </w:rPr>
        <w:t>42MW</w:t>
      </w:r>
      <w:r>
        <w:rPr>
          <w:rFonts w:hint="default" w:ascii="Times New Roman" w:hAnsi="Times New Roman" w:eastAsia="宋体" w:cs="Times New Roman"/>
          <w:color w:val="FF0000"/>
          <w:lang w:val="en-US" w:eastAsia="zh-CN"/>
        </w:rPr>
        <w:t>锅炉及白钢水箱、循环泵等附属设施，改造供热中心一座及配套附属设施，改造市政供热管道4.15公里（管道长度）等。</w:t>
      </w:r>
    </w:p>
    <w:p w14:paraId="2B3E026B">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eastAsia" w:ascii="Times New Roman" w:hAnsi="Times New Roman" w:eastAsia="宋体" w:cs="Times New Roman"/>
          <w:color w:val="auto"/>
        </w:rPr>
      </w:pPr>
      <w:r>
        <w:rPr>
          <w:rFonts w:hint="default" w:ascii="Times New Roman" w:hAnsi="Times New Roman" w:eastAsia="宋体" w:cs="Times New Roman"/>
          <w:color w:val="auto"/>
          <w:lang w:val="en-US" w:eastAsia="zh-CN"/>
        </w:rPr>
        <w:t>本项目的建设对于提升当地居民生活环境及生活质量有着十分重要的作用，对于当地的经济发展也起到至关重要的作用，因此本项目的建设需求是非常迫切的。</w:t>
      </w:r>
    </w:p>
    <w:p w14:paraId="3205A009">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建设项目环境影响评价分类管理名录》((部令第16号)2021.1.1起实施)四十一、电力、热力生产和供应业中第91条，热力生产和供应工程(包括建设单位自建自用的供热工程)，燃煤、燃油锅炉总容量65t/h(45.5兆瓦)以上的，本项目应编制环境影响报告书。本项目为改扩建项目，北大荒集团黑龙江八五二农场有限公司</w:t>
      </w:r>
      <w:r>
        <w:rPr>
          <w:rFonts w:hint="default" w:ascii="Times New Roman" w:hAnsi="Times New Roman" w:eastAsia="宋体" w:cs="Times New Roman"/>
          <w:color w:val="auto"/>
          <w:lang w:val="en-US" w:eastAsia="zh-CN"/>
        </w:rPr>
        <w:t>委托我单位就“</w:t>
      </w:r>
      <w:r>
        <w:rPr>
          <w:rFonts w:hint="eastAsia" w:ascii="Times New Roman" w:hAnsi="Times New Roman" w:eastAsia="宋体" w:cs="Times New Roman"/>
          <w:color w:val="auto"/>
          <w:lang w:val="en-US" w:eastAsia="zh-CN"/>
        </w:rPr>
        <w:t>北大荒集团八五二农场两供两治一业供热改造项目</w:t>
      </w:r>
      <w:r>
        <w:rPr>
          <w:rFonts w:hint="default" w:ascii="Times New Roman" w:hAnsi="Times New Roman" w:eastAsia="宋体" w:cs="Times New Roman"/>
          <w:color w:val="auto"/>
          <w:lang w:val="en-US" w:eastAsia="zh-CN"/>
        </w:rPr>
        <w:t>”开展环境影响评价工作。接受委托后，我单位技术人员收集有关资料，了解厂区附近的环境概况，进一步对环境特征进行了分析，对环境影响评价因子进行了识别和筛选，根据国家有关规定，确定评价标准、评价等级和评价范围，编制完成了《</w:t>
      </w:r>
      <w:r>
        <w:rPr>
          <w:rFonts w:hint="eastAsia" w:ascii="Times New Roman" w:hAnsi="Times New Roman" w:eastAsia="宋体" w:cs="Times New Roman"/>
          <w:color w:val="auto"/>
          <w:lang w:val="en-US" w:eastAsia="zh-CN"/>
        </w:rPr>
        <w:t>北大荒集团八五二农场两供两治一业供热改造项目环境影响报告书</w:t>
      </w:r>
      <w:r>
        <w:rPr>
          <w:rFonts w:hint="default" w:ascii="Times New Roman" w:hAnsi="Times New Roman" w:eastAsia="宋体" w:cs="Times New Roman"/>
          <w:color w:val="auto"/>
          <w:lang w:val="en-US" w:eastAsia="zh-CN"/>
        </w:rPr>
        <w:t>》。</w:t>
      </w:r>
    </w:p>
    <w:p w14:paraId="150AC337">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4" w:name="_Toc15411"/>
      <w:bookmarkStart w:id="5" w:name="_Toc10517"/>
      <w:r>
        <w:rPr>
          <w:rFonts w:hint="eastAsia" w:ascii="Times New Roman" w:hAnsi="Times New Roman" w:eastAsia="宋体" w:cs="Times New Roman"/>
          <w:b/>
          <w:bCs/>
          <w:color w:val="auto"/>
          <w:lang w:val="en-US" w:eastAsia="zh-CN"/>
        </w:rPr>
        <w:t xml:space="preserve">1.2 </w:t>
      </w:r>
      <w:r>
        <w:rPr>
          <w:rFonts w:hint="default" w:ascii="Times New Roman" w:hAnsi="Times New Roman" w:eastAsia="宋体" w:cs="Times New Roman"/>
          <w:b/>
          <w:bCs/>
          <w:color w:val="auto"/>
        </w:rPr>
        <w:t>建设项目的特点</w:t>
      </w:r>
      <w:bookmarkEnd w:id="4"/>
      <w:bookmarkEnd w:id="5"/>
    </w:p>
    <w:p w14:paraId="6C4C480C">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1.本项目位于</w:t>
      </w:r>
      <w:r>
        <w:rPr>
          <w:rFonts w:hint="default" w:ascii="Times New Roman" w:hAnsi="Times New Roman" w:eastAsia="宋体" w:cs="Times New Roman"/>
          <w:color w:val="auto"/>
          <w:lang w:val="zh-CN" w:eastAsia="zh-CN"/>
        </w:rPr>
        <w:t>黑龙江省宝清县红兴隆管理局八五二农场场部</w:t>
      </w:r>
      <w:r>
        <w:rPr>
          <w:rFonts w:hint="default" w:ascii="Times New Roman" w:hAnsi="Times New Roman" w:eastAsia="宋体" w:cs="Times New Roman"/>
          <w:color w:val="auto"/>
          <w:lang w:val="en-US" w:eastAsia="zh-CN"/>
        </w:rPr>
        <w:t>，其中锅炉改造工程位于北大荒集团黑龙江八五二农场有限公司热源厂现有厂区内，管线维修位于</w:t>
      </w:r>
      <w:r>
        <w:rPr>
          <w:rFonts w:hint="default" w:ascii="Times New Roman" w:hAnsi="Times New Roman" w:eastAsia="宋体" w:cs="Times New Roman"/>
          <w:color w:val="auto"/>
          <w:lang w:val="zh-CN" w:eastAsia="zh-CN"/>
        </w:rPr>
        <w:t>八五二农场场部</w:t>
      </w:r>
      <w:r>
        <w:rPr>
          <w:rFonts w:hint="default" w:ascii="Times New Roman" w:hAnsi="Times New Roman" w:eastAsia="宋体" w:cs="Times New Roman"/>
          <w:color w:val="auto"/>
          <w:lang w:val="en-US" w:eastAsia="zh-CN"/>
        </w:rPr>
        <w:t>，本项目属于改扩建项目</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FF0000"/>
          <w:lang w:val="en-US" w:eastAsia="zh-CN"/>
        </w:rPr>
        <w:t>工程内容主要包括</w:t>
      </w:r>
      <w:r>
        <w:rPr>
          <w:rFonts w:hint="default" w:ascii="Times New Roman" w:hAnsi="Times New Roman" w:eastAsia="宋体" w:cs="Times New Roman"/>
          <w:color w:val="FF0000"/>
          <w:sz w:val="24"/>
          <w:szCs w:val="24"/>
          <w:highlight w:val="none"/>
          <w:lang w:val="en-US" w:eastAsia="zh-CN"/>
        </w:rPr>
        <w:t>拆除淘汰原有的2台46MW锅炉，在原址现有锅炉房建设2台42MW锅炉</w:t>
      </w:r>
      <w:r>
        <w:rPr>
          <w:rFonts w:hint="default" w:ascii="Times New Roman" w:hAnsi="Times New Roman" w:eastAsia="宋体" w:cs="Times New Roman"/>
          <w:color w:val="FF0000"/>
          <w:lang w:val="en-US" w:eastAsia="zh-CN"/>
        </w:rPr>
        <w:t>，</w:t>
      </w:r>
      <w:r>
        <w:rPr>
          <w:rFonts w:hint="default" w:ascii="Times New Roman" w:hAnsi="Times New Roman" w:eastAsia="宋体" w:cs="Times New Roman"/>
          <w:color w:val="FF0000"/>
          <w:sz w:val="24"/>
          <w:szCs w:val="24"/>
          <w:highlight w:val="none"/>
          <w:lang w:val="en-US" w:eastAsia="zh-CN"/>
        </w:rPr>
        <w:t>新建脱硫副产品间</w:t>
      </w:r>
      <w:r>
        <w:rPr>
          <w:rFonts w:hint="eastAsia" w:ascii="Times New Roman" w:hAnsi="Times New Roman" w:eastAsia="宋体" w:cs="Times New Roman"/>
          <w:color w:val="FF0000"/>
          <w:sz w:val="24"/>
          <w:szCs w:val="24"/>
          <w:highlight w:val="none"/>
          <w:lang w:val="en-US" w:eastAsia="zh-CN"/>
        </w:rPr>
        <w:t>、</w:t>
      </w:r>
      <w:r>
        <w:rPr>
          <w:rFonts w:hint="default" w:ascii="Times New Roman" w:hAnsi="Times New Roman" w:eastAsia="宋体" w:cs="Times New Roman"/>
          <w:color w:val="FF0000"/>
          <w:sz w:val="24"/>
          <w:szCs w:val="24"/>
          <w:highlight w:val="none"/>
          <w:lang w:val="en-US" w:eastAsia="zh-CN"/>
        </w:rPr>
        <w:t>消防泵房及消防水池</w:t>
      </w:r>
      <w:r>
        <w:rPr>
          <w:rFonts w:hint="eastAsia" w:ascii="Times New Roman" w:hAnsi="Times New Roman" w:eastAsia="宋体" w:cs="Times New Roman"/>
          <w:color w:val="FF0000"/>
          <w:sz w:val="24"/>
          <w:szCs w:val="24"/>
          <w:highlight w:val="none"/>
          <w:lang w:val="en-US" w:eastAsia="zh-CN"/>
        </w:rPr>
        <w:t>、</w:t>
      </w:r>
      <w:r>
        <w:rPr>
          <w:rFonts w:hint="default" w:ascii="Times New Roman" w:hAnsi="Times New Roman" w:eastAsia="宋体" w:cs="Times New Roman"/>
          <w:color w:val="FF0000"/>
          <w:sz w:val="24"/>
          <w:szCs w:val="24"/>
          <w:highlight w:val="none"/>
          <w:lang w:val="en-US" w:eastAsia="zh-CN"/>
        </w:rPr>
        <w:t>围墙（</w:t>
      </w:r>
      <w:r>
        <w:rPr>
          <w:rFonts w:hint="eastAsia" w:ascii="Times New Roman" w:hAnsi="Times New Roman" w:eastAsia="宋体" w:cs="Times New Roman"/>
          <w:color w:val="FF0000"/>
          <w:sz w:val="24"/>
          <w:szCs w:val="24"/>
          <w:highlight w:val="none"/>
          <w:lang w:val="en-US" w:eastAsia="zh-CN"/>
        </w:rPr>
        <w:t>300</w:t>
      </w:r>
      <w:r>
        <w:rPr>
          <w:rFonts w:hint="default" w:ascii="Times New Roman" w:hAnsi="Times New Roman" w:eastAsia="宋体" w:cs="Times New Roman"/>
          <w:color w:val="FF0000"/>
          <w:sz w:val="24"/>
          <w:szCs w:val="24"/>
          <w:highlight w:val="none"/>
          <w:lang w:val="en-US" w:eastAsia="zh-CN"/>
        </w:rPr>
        <w:t>m）及电动大门门库</w:t>
      </w:r>
      <w:r>
        <w:rPr>
          <w:rFonts w:hint="eastAsia" w:ascii="Times New Roman" w:hAnsi="Times New Roman" w:eastAsia="宋体" w:cs="Times New Roman"/>
          <w:color w:val="FF0000"/>
          <w:sz w:val="24"/>
          <w:szCs w:val="24"/>
          <w:highlight w:val="none"/>
          <w:lang w:val="en-US" w:eastAsia="zh-CN"/>
        </w:rPr>
        <w:t>，</w:t>
      </w:r>
      <w:r>
        <w:rPr>
          <w:rFonts w:hint="default" w:ascii="Times New Roman" w:hAnsi="Times New Roman" w:eastAsia="宋体" w:cs="Times New Roman"/>
          <w:color w:val="FF0000"/>
          <w:sz w:val="24"/>
          <w:szCs w:val="24"/>
          <w:highlight w:val="none"/>
          <w:lang w:val="en-US" w:eastAsia="zh-CN"/>
        </w:rPr>
        <w:t>对市政供热管线4.15km进行维修更换</w:t>
      </w:r>
      <w:r>
        <w:rPr>
          <w:rFonts w:hint="eastAsia" w:ascii="Times New Roman" w:hAnsi="Times New Roman" w:eastAsia="宋体" w:cs="Times New Roman"/>
          <w:color w:val="FF0000"/>
          <w:sz w:val="24"/>
          <w:szCs w:val="24"/>
          <w:highlight w:val="none"/>
          <w:lang w:val="en-US" w:eastAsia="zh-CN"/>
        </w:rPr>
        <w:t>。项目</w:t>
      </w:r>
      <w:r>
        <w:rPr>
          <w:rFonts w:hint="default" w:ascii="Times New Roman" w:hAnsi="Times New Roman" w:eastAsia="宋体" w:cs="Times New Roman"/>
          <w:color w:val="auto"/>
          <w:lang w:val="en-US" w:eastAsia="zh-CN"/>
        </w:rPr>
        <w:t>不新增永久占地，管线维修更换过程有少量临时占地，施工结束后恢复原有路面。</w:t>
      </w:r>
    </w:p>
    <w:p w14:paraId="73884D51">
      <w:pPr>
        <w:keepNext w:val="0"/>
        <w:keepLines w:val="0"/>
        <w:pageBreakBefore w:val="0"/>
        <w:widowControl w:val="0"/>
        <w:kinsoku/>
        <w:wordWrap/>
        <w:overflowPunct/>
        <w:topLinePunct w:val="0"/>
        <w:autoSpaceDE/>
        <w:autoSpaceDN/>
        <w:bidi w:val="0"/>
        <w:adjustRightInd/>
        <w:snapToGrid w:val="0"/>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FF0000"/>
          <w:lang w:val="en-US" w:eastAsia="zh-CN"/>
        </w:rPr>
        <w:t>2.厂区现有2×46MW燃煤热水锅炉年运行时间为4320小时，锅炉满负荷年利用小时数2880小时，日利用小时数16小时</w:t>
      </w:r>
      <w:r>
        <w:rPr>
          <w:rFonts w:hint="default" w:ascii="Times New Roman" w:hAnsi="Times New Roman" w:eastAsia="宋体" w:cs="Times New Roman"/>
          <w:color w:val="auto"/>
          <w:lang w:val="en-US" w:eastAsia="zh-CN"/>
        </w:rPr>
        <w:t>，供暖期为每年10月15日—4月15日。现有实现集中供热建筑面积约100万平方米</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目前厂区内锅炉烟气经“SNCR-SCR联合脱硝+布袋除尘器除尘+氧化镁法脱硫”处理后由58m高烟囱排放。</w:t>
      </w:r>
      <w:r>
        <w:rPr>
          <w:rFonts w:hint="eastAsia" w:ascii="Times New Roman" w:hAnsi="Times New Roman" w:eastAsia="宋体" w:cs="Times New Roman"/>
          <w:color w:val="auto"/>
          <w:lang w:val="en-US" w:eastAsia="zh-CN"/>
        </w:rPr>
        <w:t>本次改建后，</w:t>
      </w:r>
      <w:r>
        <w:rPr>
          <w:rFonts w:hint="default" w:ascii="Times New Roman" w:hAnsi="Times New Roman" w:eastAsia="宋体" w:cs="Times New Roman"/>
          <w:color w:val="FF0000"/>
        </w:rPr>
        <w:t>运行</w:t>
      </w:r>
      <w:r>
        <w:rPr>
          <w:rFonts w:hint="eastAsia" w:ascii="Times New Roman" w:hAnsi="Times New Roman" w:eastAsia="宋体" w:cs="Times New Roman"/>
          <w:color w:val="FF0000"/>
          <w:lang w:val="en-US" w:eastAsia="zh-CN"/>
        </w:rPr>
        <w:t>时间不变</w:t>
      </w:r>
      <w:r>
        <w:rPr>
          <w:rFonts w:hint="default" w:ascii="Times New Roman" w:hAnsi="Times New Roman" w:eastAsia="宋体" w:cs="Times New Roman"/>
          <w:color w:val="FF0000"/>
          <w:lang w:val="en-US" w:eastAsia="zh-CN"/>
        </w:rPr>
        <w:t>。本工程建成后</w:t>
      </w:r>
      <w:r>
        <w:rPr>
          <w:rFonts w:hint="eastAsia" w:ascii="Times New Roman" w:hAnsi="Times New Roman" w:eastAsia="宋体" w:cs="Times New Roman"/>
          <w:color w:val="FF0000"/>
          <w:lang w:val="en-US" w:eastAsia="zh-CN"/>
        </w:rPr>
        <w:t>根据</w:t>
      </w:r>
      <w:r>
        <w:rPr>
          <w:rFonts w:hint="default" w:ascii="Times New Roman" w:hAnsi="Times New Roman" w:eastAsia="宋体" w:cs="Times New Roman"/>
          <w:color w:val="FF0000"/>
          <w:lang w:val="en-US" w:eastAsia="zh-CN"/>
        </w:rPr>
        <w:t>《北大荒集团八五二农场两供两治一业供热改造项目实施方案》，现有实现集中供热建筑面积约100万平方米</w:t>
      </w:r>
      <w:r>
        <w:rPr>
          <w:rFonts w:hint="eastAsia" w:ascii="Times New Roman" w:hAnsi="Times New Roman" w:eastAsia="宋体" w:cs="Times New Roman"/>
          <w:color w:val="FF0000"/>
          <w:lang w:val="en-US" w:eastAsia="zh-CN"/>
        </w:rPr>
        <w:t>，最大热负荷43.5MW，年总耗热量为450203.62GJ。</w:t>
      </w:r>
      <w:r>
        <w:rPr>
          <w:rFonts w:hint="default" w:ascii="Times New Roman" w:hAnsi="Times New Roman" w:eastAsia="宋体" w:cs="Times New Roman"/>
          <w:color w:val="FF0000"/>
          <w:lang w:val="en-US" w:eastAsia="zh-CN"/>
        </w:rPr>
        <w:t>本次</w:t>
      </w:r>
      <w:r>
        <w:rPr>
          <w:rFonts w:hint="eastAsia" w:ascii="Times New Roman" w:hAnsi="Times New Roman" w:eastAsia="宋体" w:cs="Times New Roman"/>
          <w:color w:val="FF0000"/>
          <w:lang w:val="en-US" w:eastAsia="zh-CN"/>
        </w:rPr>
        <w:t>建设</w:t>
      </w:r>
      <w:r>
        <w:rPr>
          <w:rFonts w:hint="default" w:ascii="Times New Roman" w:hAnsi="Times New Roman" w:eastAsia="宋体" w:cs="Times New Roman"/>
          <w:color w:val="FF0000"/>
          <w:lang w:val="en-US" w:eastAsia="zh-CN"/>
        </w:rPr>
        <w:t>两台42MW锅炉运行可满足供热需要。</w:t>
      </w:r>
    </w:p>
    <w:p w14:paraId="36511A39">
      <w:pPr>
        <w:keepNext w:val="0"/>
        <w:keepLines w:val="0"/>
        <w:pageBreakBefore w:val="0"/>
        <w:widowControl w:val="0"/>
        <w:kinsoku/>
        <w:wordWrap/>
        <w:overflowPunct/>
        <w:topLinePunct w:val="0"/>
        <w:bidi w:val="0"/>
        <w:adjustRightIn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w:t>
      </w:r>
      <w:r>
        <w:rPr>
          <w:rFonts w:hint="default" w:ascii="Times New Roman" w:hAnsi="Times New Roman" w:eastAsia="宋体" w:cs="Times New Roman"/>
          <w:color w:val="auto"/>
        </w:rPr>
        <w:t>本项目</w:t>
      </w:r>
      <w:r>
        <w:rPr>
          <w:rFonts w:hint="default" w:ascii="Times New Roman" w:hAnsi="Times New Roman" w:eastAsia="宋体" w:cs="Times New Roman"/>
          <w:color w:val="auto"/>
          <w:lang w:val="en-US" w:eastAsia="zh-CN"/>
        </w:rPr>
        <w:t>锅炉改造</w:t>
      </w:r>
      <w:r>
        <w:rPr>
          <w:rFonts w:hint="default" w:ascii="Times New Roman" w:hAnsi="Times New Roman" w:eastAsia="宋体" w:cs="Times New Roman"/>
          <w:color w:val="auto"/>
        </w:rPr>
        <w:t>在现有厂区内建设，建设内容是：</w:t>
      </w:r>
      <w:r>
        <w:rPr>
          <w:rFonts w:hint="default" w:ascii="Times New Roman" w:hAnsi="Times New Roman" w:eastAsia="宋体" w:cs="Times New Roman"/>
          <w:color w:val="auto"/>
          <w:lang w:eastAsia="zh-CN"/>
        </w:rPr>
        <w:t>拆除淘汰原有</w:t>
      </w:r>
      <w:r>
        <w:rPr>
          <w:rFonts w:hint="default" w:ascii="Times New Roman" w:hAnsi="Times New Roman" w:eastAsia="宋体" w:cs="Times New Roman"/>
          <w:color w:val="auto"/>
        </w:rPr>
        <w:t>的</w:t>
      </w:r>
      <w:r>
        <w:rPr>
          <w:rFonts w:hint="default" w:ascii="Times New Roman" w:hAnsi="Times New Roman" w:eastAsia="宋体" w:cs="Times New Roman"/>
          <w:color w:val="auto"/>
          <w:lang w:val="en-US" w:eastAsia="zh-CN"/>
        </w:rPr>
        <w:t>2台46</w:t>
      </w:r>
      <w:r>
        <w:rPr>
          <w:rFonts w:hint="default" w:ascii="Times New Roman" w:hAnsi="Times New Roman" w:eastAsia="宋体" w:cs="Times New Roman"/>
          <w:color w:val="auto"/>
        </w:rPr>
        <w:t>MW锅炉，在原址</w:t>
      </w:r>
      <w:r>
        <w:rPr>
          <w:rFonts w:hint="default" w:ascii="Times New Roman" w:hAnsi="Times New Roman" w:eastAsia="宋体" w:cs="Times New Roman"/>
          <w:color w:val="auto"/>
          <w:lang w:val="en-US" w:eastAsia="zh-CN"/>
        </w:rPr>
        <w:t>现有锅炉房</w:t>
      </w:r>
      <w:r>
        <w:rPr>
          <w:rFonts w:hint="default" w:ascii="Times New Roman" w:hAnsi="Times New Roman" w:eastAsia="宋体" w:cs="Times New Roman"/>
          <w:color w:val="auto"/>
        </w:rPr>
        <w:t>建设</w:t>
      </w:r>
      <w:r>
        <w:rPr>
          <w:rFonts w:hint="default" w:ascii="Times New Roman" w:hAnsi="Times New Roman" w:eastAsia="宋体" w:cs="Times New Roman"/>
          <w:color w:val="auto"/>
          <w:lang w:val="en-US" w:eastAsia="zh-CN"/>
        </w:rPr>
        <w:t>2</w:t>
      </w:r>
      <w:r>
        <w:rPr>
          <w:rFonts w:hint="default" w:ascii="Times New Roman" w:hAnsi="Times New Roman" w:eastAsia="宋体" w:cs="Times New Roman"/>
          <w:color w:val="auto"/>
        </w:rPr>
        <w:t>台4</w:t>
      </w:r>
      <w:r>
        <w:rPr>
          <w:rFonts w:hint="default" w:ascii="Times New Roman" w:hAnsi="Times New Roman" w:eastAsia="宋体" w:cs="Times New Roman"/>
          <w:color w:val="auto"/>
          <w:lang w:val="en-US" w:eastAsia="zh-CN"/>
        </w:rPr>
        <w:t>2</w:t>
      </w:r>
      <w:r>
        <w:rPr>
          <w:rFonts w:hint="default" w:ascii="Times New Roman" w:hAnsi="Times New Roman" w:eastAsia="宋体" w:cs="Times New Roman"/>
          <w:color w:val="auto"/>
        </w:rPr>
        <w:t>MW锅炉</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lang w:val="en-US" w:eastAsia="zh-CN"/>
        </w:rPr>
        <w:t>锅炉配套布袋除尘器</w:t>
      </w:r>
      <w:r>
        <w:rPr>
          <w:rFonts w:hint="default" w:ascii="Times New Roman" w:hAnsi="Times New Roman" w:eastAsia="宋体" w:cs="Times New Roman"/>
          <w:color w:val="auto"/>
          <w:sz w:val="24"/>
          <w:szCs w:val="24"/>
          <w:highlight w:val="none"/>
          <w:lang w:val="en-US" w:eastAsia="zh-CN"/>
        </w:rPr>
        <w:t>+氧化镁法</w:t>
      </w:r>
      <w:r>
        <w:rPr>
          <w:rFonts w:hint="default" w:ascii="Times New Roman" w:hAnsi="Times New Roman" w:eastAsia="宋体" w:cs="Times New Roman"/>
          <w:color w:val="auto"/>
          <w:sz w:val="24"/>
          <w:szCs w:val="24"/>
          <w:highlight w:val="none"/>
        </w:rPr>
        <w:t>脱硫</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依托</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SNCR</w:t>
      </w:r>
      <w:r>
        <w:rPr>
          <w:rFonts w:hint="default" w:ascii="Times New Roman" w:hAnsi="Times New Roman" w:eastAsia="宋体" w:cs="Times New Roman"/>
          <w:color w:val="auto"/>
          <w:sz w:val="24"/>
          <w:szCs w:val="24"/>
          <w:highlight w:val="none"/>
          <w:lang w:val="en-US" w:eastAsia="zh-CN"/>
        </w:rPr>
        <w:t>-SCR联合</w:t>
      </w:r>
      <w:r>
        <w:rPr>
          <w:rFonts w:hint="default" w:ascii="Times New Roman" w:hAnsi="Times New Roman" w:eastAsia="宋体" w:cs="Times New Roman"/>
          <w:color w:val="auto"/>
          <w:sz w:val="24"/>
          <w:szCs w:val="24"/>
          <w:highlight w:val="none"/>
        </w:rPr>
        <w:t>脱硝</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100</w:t>
      </w:r>
      <w:r>
        <w:rPr>
          <w:rFonts w:hint="default" w:ascii="Times New Roman" w:hAnsi="Times New Roman" w:eastAsia="宋体" w:cs="Times New Roman"/>
          <w:color w:val="auto"/>
          <w:sz w:val="24"/>
          <w:szCs w:val="24"/>
          <w:highlight w:val="none"/>
          <w:lang w:val="en-US" w:eastAsia="zh-CN"/>
        </w:rPr>
        <w:t>m烟囱排放（通过改造烟气走向，由原58m烟塔合一改为依托厂内现有100m砖结构烟囱</w:t>
      </w:r>
      <w:r>
        <w:rPr>
          <w:rFonts w:hint="eastAsia" w:ascii="Times New Roman" w:hAnsi="Times New Roman" w:eastAsia="宋体" w:cs="Times New Roman"/>
          <w:color w:val="auto"/>
          <w:sz w:val="24"/>
          <w:szCs w:val="24"/>
          <w:highlight w:val="none"/>
          <w:lang w:val="en-US" w:eastAsia="zh-CN"/>
        </w:rPr>
        <w:t>，原58m烟囱闲置</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lang w:val="en-US" w:eastAsia="zh-CN"/>
        </w:rPr>
        <w:t>新建脱硫副产品间（7.2m×4m×9.3m）；新建消防泵房及消防水池，</w:t>
      </w:r>
      <w:r>
        <w:rPr>
          <w:rFonts w:hint="default" w:ascii="Times New Roman" w:hAnsi="Times New Roman" w:eastAsia="宋体" w:cs="Times New Roman"/>
          <w:color w:val="auto"/>
          <w:highlight w:val="none"/>
          <w:lang w:val="en-US" w:eastAsia="zh-CN"/>
        </w:rPr>
        <w:t>建筑面积238.9</w:t>
      </w:r>
      <w:r>
        <w:rPr>
          <w:rFonts w:hint="default" w:ascii="Times New Roman" w:hAnsi="Times New Roman" w:eastAsia="宋体" w:cs="Times New Roman"/>
          <w:color w:val="auto"/>
          <w:highlight w:val="none"/>
        </w:rPr>
        <w:t>m</w:t>
      </w:r>
      <w:r>
        <w:rPr>
          <w:rFonts w:hint="default" w:ascii="Times New Roman" w:hAnsi="Times New Roman" w:eastAsia="宋体" w:cs="Times New Roman"/>
          <w:color w:val="auto"/>
          <w:highlight w:val="none"/>
          <w:vertAlign w:val="superscript"/>
        </w:rPr>
        <w:t>2</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地下占地面积207.4</w:t>
      </w:r>
      <w:r>
        <w:rPr>
          <w:rFonts w:hint="default" w:ascii="Times New Roman" w:hAnsi="Times New Roman" w:eastAsia="宋体" w:cs="Times New Roman"/>
          <w:color w:val="auto"/>
          <w:highlight w:val="none"/>
        </w:rPr>
        <w:t>m</w:t>
      </w:r>
      <w:r>
        <w:rPr>
          <w:rFonts w:hint="default" w:ascii="Times New Roman" w:hAnsi="Times New Roman" w:eastAsia="宋体" w:cs="Times New Roman"/>
          <w:color w:val="auto"/>
          <w:highlight w:val="none"/>
          <w:vertAlign w:val="superscript"/>
        </w:rPr>
        <w:t>2</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地上建筑面积31.5</w:t>
      </w:r>
      <w:r>
        <w:rPr>
          <w:rFonts w:hint="default" w:ascii="Times New Roman" w:hAnsi="Times New Roman" w:eastAsia="宋体" w:cs="Times New Roman"/>
          <w:color w:val="auto"/>
          <w:highlight w:val="none"/>
        </w:rPr>
        <w:t>m</w:t>
      </w:r>
      <w:r>
        <w:rPr>
          <w:rFonts w:hint="default" w:ascii="Times New Roman" w:hAnsi="Times New Roman" w:eastAsia="宋体" w:cs="Times New Roman"/>
          <w:color w:val="auto"/>
          <w:highlight w:val="none"/>
          <w:vertAlign w:val="superscript"/>
        </w:rPr>
        <w:t>2</w:t>
      </w:r>
      <w:r>
        <w:rPr>
          <w:rFonts w:hint="default" w:ascii="Times New Roman" w:hAnsi="Times New Roman" w:eastAsia="宋体" w:cs="Times New Roman"/>
          <w:color w:val="auto"/>
        </w:rPr>
        <w:t>，</w:t>
      </w:r>
      <w:r>
        <w:rPr>
          <w:rFonts w:hint="default" w:ascii="Times New Roman" w:hAnsi="Times New Roman" w:eastAsia="宋体" w:cs="Times New Roman"/>
          <w:color w:val="auto"/>
          <w:lang w:val="en-US" w:eastAsia="zh-CN"/>
        </w:rPr>
        <w:t>新建</w:t>
      </w:r>
      <w:r>
        <w:rPr>
          <w:rFonts w:hint="default" w:ascii="Times New Roman" w:hAnsi="Times New Roman" w:eastAsia="宋体" w:cs="Times New Roman"/>
          <w:color w:val="auto"/>
          <w:highlight w:val="none"/>
          <w:lang w:val="en-US" w:eastAsia="zh-CN"/>
        </w:rPr>
        <w:t>部分围墙（</w:t>
      </w:r>
      <w:r>
        <w:rPr>
          <w:rFonts w:hint="eastAsia" w:ascii="Times New Roman" w:hAnsi="Times New Roman" w:eastAsia="宋体" w:cs="Times New Roman"/>
          <w:color w:val="auto"/>
          <w:highlight w:val="none"/>
          <w:lang w:val="en-US" w:eastAsia="zh-CN"/>
        </w:rPr>
        <w:t>300</w:t>
      </w:r>
      <w:r>
        <w:rPr>
          <w:rFonts w:hint="default" w:ascii="Times New Roman" w:hAnsi="Times New Roman" w:eastAsia="宋体" w:cs="Times New Roman"/>
          <w:color w:val="auto"/>
          <w:highlight w:val="none"/>
          <w:lang w:val="en-US" w:eastAsia="zh-CN"/>
        </w:rPr>
        <w:t>m）及电动大门门库，对市政供热管线4.15km进行维修更换</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rPr>
        <w:t>依托厂区现有煤库</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rPr>
        <w:t>锅炉房</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lang w:val="en-US" w:eastAsia="zh-CN"/>
        </w:rPr>
        <w:t>渣仓和库房等</w:t>
      </w:r>
      <w:r>
        <w:rPr>
          <w:rFonts w:hint="default" w:ascii="Times New Roman" w:hAnsi="Times New Roman" w:eastAsia="宋体" w:cs="Times New Roman"/>
          <w:color w:val="auto"/>
        </w:rPr>
        <w:t>。</w:t>
      </w:r>
      <w:r>
        <w:rPr>
          <w:rFonts w:hint="eastAsia" w:ascii="Times New Roman" w:hAnsi="Times New Roman" w:eastAsia="宋体" w:cs="Times New Roman"/>
          <w:color w:val="FF0000"/>
          <w:lang w:val="en-US" w:eastAsia="zh-CN"/>
        </w:rPr>
        <w:t>现有煤库已全封闭设置，本次改建后燃煤量不增加，完全利用现有煤库。现有灰渣仓长10m、宽7m、高10m，目前门窗有破损等，本次利旧同时进行封闭处理。</w:t>
      </w:r>
    </w:p>
    <w:p w14:paraId="6260F94B">
      <w:pPr>
        <w:keepNext w:val="0"/>
        <w:keepLines w:val="0"/>
        <w:pageBreakBefore w:val="0"/>
        <w:widowControl w:val="0"/>
        <w:kinsoku/>
        <w:wordWrap/>
        <w:overflowPunct/>
        <w:topLinePunct w:val="0"/>
        <w:bidi w:val="0"/>
        <w:adjustRightInd/>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本项目不新增工作人员，工作人员由厂区人员内部调配等。</w:t>
      </w:r>
    </w:p>
    <w:p w14:paraId="4DC4E73F">
      <w:pPr>
        <w:pStyle w:val="53"/>
        <w:keepNext w:val="0"/>
        <w:keepLines w:val="0"/>
        <w:pageBreakBefore w:val="0"/>
        <w:widowControl w:val="0"/>
        <w:kinsoku/>
        <w:wordWrap/>
        <w:overflowPunct/>
        <w:topLinePunct w:val="0"/>
        <w:bidi w:val="0"/>
        <w:adjustRightInd/>
        <w:spacing w:line="500" w:lineRule="exact"/>
        <w:ind w:firstLine="480"/>
        <w:textAlignment w:val="auto"/>
        <w:rPr>
          <w:rFonts w:hint="default" w:ascii="Times New Roman" w:hAnsi="Times New Roman" w:eastAsia="宋体" w:cs="Times New Roman"/>
          <w:bCs/>
          <w:color w:val="auto"/>
        </w:rPr>
      </w:pPr>
      <w:r>
        <w:rPr>
          <w:rFonts w:hint="eastAsia" w:ascii="Times New Roman" w:hAnsi="Times New Roman" w:eastAsia="宋体" w:cs="Times New Roman"/>
          <w:bCs/>
          <w:color w:val="auto"/>
          <w:lang w:val="en-US" w:eastAsia="zh-CN"/>
        </w:rPr>
        <w:t>4</w:t>
      </w:r>
      <w:r>
        <w:rPr>
          <w:rFonts w:hint="default" w:ascii="Times New Roman" w:hAnsi="Times New Roman" w:eastAsia="宋体" w:cs="Times New Roman"/>
          <w:bCs/>
          <w:color w:val="auto"/>
        </w:rPr>
        <w:t>.本项目运营期产生的有组织废气主要是锅炉产生的锅炉烟气，污染物包括颗粒物、SO</w:t>
      </w:r>
      <w:r>
        <w:rPr>
          <w:rFonts w:hint="default" w:ascii="Times New Roman" w:hAnsi="Times New Roman" w:eastAsia="宋体" w:cs="Times New Roman"/>
          <w:bCs/>
          <w:color w:val="auto"/>
          <w:vertAlign w:val="subscript"/>
        </w:rPr>
        <w:t>2</w:t>
      </w:r>
      <w:r>
        <w:rPr>
          <w:rFonts w:hint="default" w:ascii="Times New Roman" w:hAnsi="Times New Roman" w:eastAsia="宋体" w:cs="Times New Roman"/>
          <w:bCs/>
          <w:color w:val="auto"/>
        </w:rPr>
        <w:t>、NO</w:t>
      </w:r>
      <w:r>
        <w:rPr>
          <w:rFonts w:hint="default" w:ascii="Times New Roman" w:hAnsi="Times New Roman" w:eastAsia="宋体" w:cs="Times New Roman"/>
          <w:bCs/>
          <w:color w:val="auto"/>
          <w:vertAlign w:val="subscript"/>
          <w:lang w:val="en-US" w:eastAsia="zh-CN"/>
        </w:rPr>
        <w:t>x</w:t>
      </w:r>
      <w:r>
        <w:rPr>
          <w:rFonts w:hint="default" w:ascii="Times New Roman" w:hAnsi="Times New Roman" w:eastAsia="宋体" w:cs="Times New Roman"/>
          <w:bCs/>
          <w:color w:val="auto"/>
        </w:rPr>
        <w:t>、汞及其化合物，脱硝过程中的氨逃逸；</w:t>
      </w:r>
      <w:r>
        <w:rPr>
          <w:rFonts w:hint="default" w:ascii="Times New Roman" w:hAnsi="Times New Roman" w:eastAsia="宋体" w:cs="Times New Roman"/>
          <w:bCs/>
          <w:color w:val="FF0000"/>
        </w:rPr>
        <w:t>无组织废气主要包括</w:t>
      </w:r>
      <w:r>
        <w:rPr>
          <w:rFonts w:hint="default" w:ascii="Times New Roman" w:hAnsi="Times New Roman" w:eastAsia="宋体" w:cs="Times New Roman"/>
          <w:bCs/>
          <w:color w:val="FF0000"/>
          <w:lang w:val="en-US" w:eastAsia="zh-CN"/>
        </w:rPr>
        <w:t>煤库</w:t>
      </w:r>
      <w:r>
        <w:rPr>
          <w:rFonts w:hint="default" w:ascii="Times New Roman" w:hAnsi="Times New Roman" w:eastAsia="宋体" w:cs="Times New Roman"/>
          <w:bCs/>
          <w:color w:val="FF0000"/>
        </w:rPr>
        <w:t>、碎煤机室产生的</w:t>
      </w:r>
      <w:r>
        <w:rPr>
          <w:rFonts w:hint="default" w:ascii="Times New Roman" w:hAnsi="Times New Roman" w:eastAsia="宋体" w:cs="Times New Roman"/>
          <w:bCs/>
          <w:color w:val="FF0000"/>
          <w:lang w:val="en-US" w:eastAsia="zh-CN"/>
        </w:rPr>
        <w:t>TSP</w:t>
      </w:r>
      <w:r>
        <w:rPr>
          <w:rFonts w:hint="default" w:ascii="Times New Roman" w:hAnsi="Times New Roman" w:eastAsia="宋体" w:cs="Times New Roman"/>
          <w:color w:val="FF0000"/>
          <w:szCs w:val="24"/>
          <w:lang w:val="en-US" w:eastAsia="zh-CN"/>
        </w:rPr>
        <w:t>等</w:t>
      </w:r>
      <w:r>
        <w:rPr>
          <w:rFonts w:hint="default" w:ascii="Times New Roman" w:hAnsi="Times New Roman" w:eastAsia="宋体" w:cs="Times New Roman"/>
          <w:bCs/>
          <w:color w:val="auto"/>
        </w:rPr>
        <w:t>；本项目不新增生活污水，</w:t>
      </w:r>
      <w:r>
        <w:rPr>
          <w:rFonts w:hint="default" w:ascii="Times New Roman" w:hAnsi="Times New Roman" w:eastAsia="宋体" w:cs="Times New Roman"/>
          <w:color w:val="auto"/>
          <w:lang w:eastAsia="zh-CN"/>
        </w:rPr>
        <w:t>脱硫废水经循环池沉淀处理后冲渣使用，不外排</w:t>
      </w:r>
      <w:r>
        <w:rPr>
          <w:rFonts w:hint="default" w:ascii="Times New Roman" w:hAnsi="Times New Roman" w:eastAsia="宋体" w:cs="Times New Roman"/>
          <w:color w:val="auto"/>
        </w:rPr>
        <w:t>，</w:t>
      </w:r>
      <w:r>
        <w:rPr>
          <w:rFonts w:hint="default" w:ascii="Times New Roman" w:hAnsi="Times New Roman" w:eastAsia="宋体" w:cs="Times New Roman"/>
          <w:bCs/>
          <w:color w:val="auto"/>
        </w:rPr>
        <w:t>生产废水经处理后回用厂区不外排；噪声主要来自风机、水泵等设备产生的噪声；固体废物有生活垃圾、锅炉飞灰、炉渣、废布袋、</w:t>
      </w:r>
      <w:r>
        <w:rPr>
          <w:rFonts w:hint="default" w:ascii="Times New Roman" w:hAnsi="Times New Roman" w:eastAsia="宋体" w:cs="Times New Roman"/>
          <w:bCs/>
          <w:color w:val="auto"/>
          <w:lang w:val="en-US" w:eastAsia="zh-CN"/>
        </w:rPr>
        <w:t>脱硫副产物、</w:t>
      </w:r>
      <w:r>
        <w:rPr>
          <w:rFonts w:hint="default" w:ascii="Times New Roman" w:hAnsi="Times New Roman" w:eastAsia="宋体" w:cs="Times New Roman"/>
          <w:bCs/>
          <w:color w:val="auto"/>
        </w:rPr>
        <w:t>初期雨水收集池沉渣，危险废物为废脱硝催化剂</w:t>
      </w:r>
      <w:r>
        <w:rPr>
          <w:rFonts w:hint="default" w:ascii="Times New Roman" w:hAnsi="Times New Roman" w:eastAsia="宋体" w:cs="Times New Roman"/>
          <w:bCs/>
          <w:color w:val="auto"/>
          <w:lang w:eastAsia="zh-CN"/>
        </w:rPr>
        <w:t>、</w:t>
      </w:r>
      <w:r>
        <w:rPr>
          <w:rFonts w:hint="default" w:ascii="Times New Roman" w:hAnsi="Times New Roman" w:eastAsia="宋体" w:cs="Times New Roman"/>
          <w:bCs/>
          <w:color w:val="auto"/>
          <w:lang w:val="en-US" w:eastAsia="zh-CN"/>
        </w:rPr>
        <w:t>废矿物油</w:t>
      </w:r>
      <w:r>
        <w:rPr>
          <w:rFonts w:hint="default" w:ascii="Times New Roman" w:hAnsi="Times New Roman" w:eastAsia="宋体" w:cs="Times New Roman"/>
          <w:bCs/>
          <w:color w:val="auto"/>
        </w:rPr>
        <w:t>。</w:t>
      </w:r>
    </w:p>
    <w:p w14:paraId="229B3D2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rPr>
      </w:pPr>
      <w:r>
        <w:rPr>
          <w:rFonts w:hint="eastAsia" w:ascii="Times New Roman" w:hAnsi="Times New Roman" w:eastAsia="宋体" w:cs="Times New Roman"/>
          <w:color w:val="FF0000"/>
          <w:lang w:val="en-US" w:eastAsia="zh-CN"/>
        </w:rPr>
        <w:t>5</w:t>
      </w:r>
      <w:r>
        <w:rPr>
          <w:rFonts w:hint="default" w:ascii="Times New Roman" w:hAnsi="Times New Roman" w:eastAsia="宋体" w:cs="Times New Roman"/>
          <w:color w:val="FF0000"/>
        </w:rPr>
        <w:t>.本项目锅炉</w:t>
      </w:r>
      <w:r>
        <w:rPr>
          <w:rFonts w:hint="default" w:ascii="Times New Roman" w:hAnsi="Times New Roman" w:eastAsia="宋体" w:cs="Times New Roman"/>
          <w:color w:val="FF0000"/>
          <w:szCs w:val="24"/>
        </w:rPr>
        <w:t>烟气治理措施采用“</w:t>
      </w:r>
      <w:r>
        <w:rPr>
          <w:rFonts w:hint="default" w:ascii="Times New Roman" w:hAnsi="Times New Roman" w:eastAsia="宋体" w:cs="Times New Roman"/>
          <w:color w:val="FF0000"/>
          <w:sz w:val="24"/>
          <w:szCs w:val="24"/>
          <w:highlight w:val="none"/>
        </w:rPr>
        <w:t>SNCR</w:t>
      </w:r>
      <w:r>
        <w:rPr>
          <w:rFonts w:hint="default" w:ascii="Times New Roman" w:hAnsi="Times New Roman" w:eastAsia="宋体" w:cs="Times New Roman"/>
          <w:color w:val="FF0000"/>
          <w:sz w:val="24"/>
          <w:szCs w:val="24"/>
          <w:highlight w:val="none"/>
          <w:lang w:val="en-US" w:eastAsia="zh-CN"/>
        </w:rPr>
        <w:t>-SCR联合</w:t>
      </w:r>
      <w:r>
        <w:rPr>
          <w:rFonts w:hint="default" w:ascii="Times New Roman" w:hAnsi="Times New Roman" w:eastAsia="宋体" w:cs="Times New Roman"/>
          <w:color w:val="FF0000"/>
          <w:sz w:val="24"/>
          <w:szCs w:val="24"/>
          <w:highlight w:val="none"/>
        </w:rPr>
        <w:t>脱硝</w:t>
      </w:r>
      <w:r>
        <w:rPr>
          <w:rFonts w:hint="default" w:ascii="Times New Roman" w:hAnsi="Times New Roman" w:eastAsia="宋体" w:cs="Times New Roman"/>
          <w:color w:val="FF0000"/>
          <w:sz w:val="24"/>
          <w:szCs w:val="24"/>
          <w:highlight w:val="none"/>
          <w:lang w:val="en-US" w:eastAsia="zh-CN"/>
        </w:rPr>
        <w:t>+布袋</w:t>
      </w:r>
      <w:r>
        <w:rPr>
          <w:rFonts w:hint="default" w:ascii="Times New Roman" w:hAnsi="Times New Roman" w:eastAsia="宋体" w:cs="Times New Roman"/>
          <w:color w:val="FF0000"/>
          <w:sz w:val="24"/>
          <w:szCs w:val="24"/>
          <w:highlight w:val="none"/>
        </w:rPr>
        <w:t>除尘器除尘</w:t>
      </w:r>
      <w:r>
        <w:rPr>
          <w:rFonts w:hint="default" w:ascii="Times New Roman" w:hAnsi="Times New Roman" w:eastAsia="宋体" w:cs="Times New Roman"/>
          <w:color w:val="FF0000"/>
          <w:sz w:val="24"/>
          <w:szCs w:val="24"/>
          <w:highlight w:val="none"/>
          <w:lang w:val="en-US" w:eastAsia="zh-CN"/>
        </w:rPr>
        <w:t>+氧化镁法</w:t>
      </w:r>
      <w:r>
        <w:rPr>
          <w:rFonts w:hint="default" w:ascii="Times New Roman" w:hAnsi="Times New Roman" w:eastAsia="宋体" w:cs="Times New Roman"/>
          <w:color w:val="FF0000"/>
          <w:sz w:val="24"/>
          <w:szCs w:val="24"/>
          <w:highlight w:val="none"/>
        </w:rPr>
        <w:t>脱硫</w:t>
      </w:r>
      <w:r>
        <w:rPr>
          <w:rFonts w:hint="default" w:ascii="Times New Roman" w:hAnsi="Times New Roman" w:eastAsia="宋体" w:cs="Times New Roman"/>
          <w:color w:val="FF0000"/>
          <w:szCs w:val="24"/>
        </w:rPr>
        <w:t>”，</w:t>
      </w:r>
      <w:r>
        <w:rPr>
          <w:rFonts w:hint="eastAsia" w:ascii="Times New Roman" w:hAnsi="Times New Roman" w:eastAsia="宋体" w:cs="Times New Roman"/>
          <w:color w:val="FF0000"/>
          <w:szCs w:val="24"/>
          <w:lang w:val="en-US" w:eastAsia="zh-CN"/>
        </w:rPr>
        <w:t>脱硝剂为尿素。</w:t>
      </w:r>
      <w:r>
        <w:rPr>
          <w:rFonts w:hint="eastAsia" w:ascii="Times New Roman" w:hAnsi="Times New Roman" w:eastAsia="宋体" w:cs="Times New Roman"/>
          <w:color w:val="FF0000"/>
          <w:lang w:val="en-US" w:eastAsia="zh-CN"/>
        </w:rPr>
        <w:t>本项目锅炉烟气烟尘、SO</w:t>
      </w:r>
      <w:r>
        <w:rPr>
          <w:rFonts w:hint="eastAsia" w:ascii="Times New Roman" w:hAnsi="Times New Roman" w:eastAsia="宋体" w:cs="Times New Roman"/>
          <w:color w:val="FF0000"/>
          <w:vertAlign w:val="subscript"/>
          <w:lang w:val="en-US" w:eastAsia="zh-CN"/>
        </w:rPr>
        <w:t>2</w:t>
      </w:r>
      <w:r>
        <w:rPr>
          <w:rFonts w:hint="eastAsia" w:ascii="Times New Roman" w:hAnsi="Times New Roman" w:eastAsia="宋体" w:cs="Times New Roman"/>
          <w:color w:val="FF0000"/>
          <w:lang w:val="en-US" w:eastAsia="zh-CN"/>
        </w:rPr>
        <w:t>、NO</w:t>
      </w:r>
      <w:r>
        <w:rPr>
          <w:rFonts w:hint="eastAsia" w:ascii="Times New Roman" w:hAnsi="Times New Roman" w:eastAsia="宋体" w:cs="Times New Roman"/>
          <w:color w:val="FF0000"/>
          <w:vertAlign w:val="subscript"/>
          <w:lang w:val="en-US" w:eastAsia="zh-CN"/>
        </w:rPr>
        <w:t>x</w:t>
      </w:r>
      <w:r>
        <w:rPr>
          <w:rFonts w:hint="eastAsia" w:ascii="Times New Roman" w:hAnsi="Times New Roman" w:eastAsia="宋体" w:cs="Times New Roman"/>
          <w:color w:val="FF0000"/>
          <w:vertAlign w:val="baseline"/>
          <w:lang w:val="en-US" w:eastAsia="zh-CN"/>
        </w:rPr>
        <w:t>、</w:t>
      </w:r>
      <w:r>
        <w:rPr>
          <w:rFonts w:hint="eastAsia" w:ascii="Times New Roman" w:hAnsi="Times New Roman" w:eastAsia="宋体" w:cs="Times New Roman"/>
          <w:color w:val="FF0000"/>
          <w:lang w:val="en-US" w:eastAsia="zh-CN"/>
        </w:rPr>
        <w:t>烟气黑度、汞及其化合物执行《锅炉大气污染物排放标准》（GB13271-2014）表2标准限值。厂界颗粒物执行《大气污染物综合排放标准》（GB16297-1996）表2无组织排放监控浓度限值；NH</w:t>
      </w:r>
      <w:r>
        <w:rPr>
          <w:rFonts w:hint="eastAsia" w:ascii="Times New Roman" w:hAnsi="Times New Roman" w:eastAsia="宋体" w:cs="Times New Roman"/>
          <w:color w:val="FF0000"/>
          <w:vertAlign w:val="subscript"/>
          <w:lang w:val="en-US" w:eastAsia="zh-CN"/>
        </w:rPr>
        <w:t>3</w:t>
      </w:r>
      <w:r>
        <w:rPr>
          <w:rFonts w:hint="eastAsia" w:ascii="Times New Roman" w:hAnsi="Times New Roman" w:eastAsia="宋体" w:cs="Times New Roman"/>
          <w:color w:val="FF0000"/>
          <w:lang w:val="en-US" w:eastAsia="zh-CN"/>
        </w:rPr>
        <w:t>排放执行《恶臭污染物排放标准》（GB14554-93）表2标准限值。本项目锅炉烟气现有措施处理能力优越，预留执行超低排放要求的升级空间。即</w:t>
      </w:r>
      <w:r>
        <w:rPr>
          <w:rFonts w:hint="default" w:ascii="Times New Roman" w:hAnsi="Times New Roman" w:eastAsia="宋体" w:cs="Times New Roman"/>
          <w:color w:val="FF0000"/>
          <w:szCs w:val="24"/>
        </w:rPr>
        <w:t>执行《关于印发&lt;全面实施燃煤电厂超低排放和节能改造工作方案&gt;的通知》（环发〔2015〕164号）要求，达到超低排放（在基准氧含量</w:t>
      </w:r>
      <w:r>
        <w:rPr>
          <w:rFonts w:hint="eastAsia" w:ascii="Times New Roman" w:hAnsi="Times New Roman" w:eastAsia="宋体" w:cs="Times New Roman"/>
          <w:color w:val="FF0000"/>
          <w:szCs w:val="24"/>
          <w:lang w:val="en-US" w:eastAsia="zh-CN"/>
        </w:rPr>
        <w:t>9</w:t>
      </w:r>
      <w:r>
        <w:rPr>
          <w:rFonts w:hint="default" w:ascii="Times New Roman" w:hAnsi="Times New Roman" w:eastAsia="宋体" w:cs="Times New Roman"/>
          <w:color w:val="FF0000"/>
          <w:szCs w:val="24"/>
        </w:rPr>
        <w:t>%条件下，烟尘、SO</w:t>
      </w:r>
      <w:r>
        <w:rPr>
          <w:rFonts w:hint="default" w:ascii="Times New Roman" w:hAnsi="Times New Roman" w:eastAsia="宋体" w:cs="Times New Roman"/>
          <w:color w:val="FF0000"/>
          <w:szCs w:val="24"/>
          <w:vertAlign w:val="subscript"/>
        </w:rPr>
        <w:t>2</w:t>
      </w:r>
      <w:r>
        <w:rPr>
          <w:rFonts w:hint="default" w:ascii="Times New Roman" w:hAnsi="Times New Roman" w:eastAsia="宋体" w:cs="Times New Roman"/>
          <w:color w:val="FF0000"/>
          <w:szCs w:val="24"/>
        </w:rPr>
        <w:t>、NO</w:t>
      </w:r>
      <w:r>
        <w:rPr>
          <w:rFonts w:hint="default" w:ascii="Times New Roman" w:hAnsi="Times New Roman" w:eastAsia="宋体" w:cs="Times New Roman"/>
          <w:color w:val="FF0000"/>
          <w:szCs w:val="24"/>
          <w:vertAlign w:val="subscript"/>
        </w:rPr>
        <w:t>X</w:t>
      </w:r>
      <w:r>
        <w:rPr>
          <w:rFonts w:hint="default" w:ascii="Times New Roman" w:hAnsi="Times New Roman" w:eastAsia="宋体" w:cs="Times New Roman"/>
          <w:color w:val="FF0000"/>
          <w:szCs w:val="24"/>
        </w:rPr>
        <w:t>排放浓度分别不高于10mg/m</w:t>
      </w:r>
      <w:r>
        <w:rPr>
          <w:rFonts w:hint="default" w:ascii="Times New Roman" w:hAnsi="Times New Roman" w:eastAsia="宋体" w:cs="Times New Roman"/>
          <w:color w:val="FF0000"/>
          <w:szCs w:val="24"/>
          <w:vertAlign w:val="superscript"/>
        </w:rPr>
        <w:t>3</w:t>
      </w:r>
      <w:r>
        <w:rPr>
          <w:rFonts w:hint="default" w:ascii="Times New Roman" w:hAnsi="Times New Roman" w:eastAsia="宋体" w:cs="Times New Roman"/>
          <w:color w:val="FF0000"/>
          <w:szCs w:val="24"/>
        </w:rPr>
        <w:t>、35mg/m</w:t>
      </w:r>
      <w:r>
        <w:rPr>
          <w:rFonts w:hint="default" w:ascii="Times New Roman" w:hAnsi="Times New Roman" w:eastAsia="宋体" w:cs="Times New Roman"/>
          <w:color w:val="FF0000"/>
          <w:szCs w:val="24"/>
          <w:vertAlign w:val="superscript"/>
        </w:rPr>
        <w:t>3</w:t>
      </w:r>
      <w:r>
        <w:rPr>
          <w:rFonts w:hint="default" w:ascii="Times New Roman" w:hAnsi="Times New Roman" w:eastAsia="宋体" w:cs="Times New Roman"/>
          <w:color w:val="FF0000"/>
          <w:szCs w:val="24"/>
        </w:rPr>
        <w:t>、50mg/m</w:t>
      </w:r>
      <w:r>
        <w:rPr>
          <w:rFonts w:hint="default" w:ascii="Times New Roman" w:hAnsi="Times New Roman" w:eastAsia="宋体" w:cs="Times New Roman"/>
          <w:color w:val="FF0000"/>
          <w:szCs w:val="24"/>
          <w:vertAlign w:val="superscript"/>
        </w:rPr>
        <w:t>3</w:t>
      </w:r>
      <w:r>
        <w:rPr>
          <w:rFonts w:hint="default" w:ascii="Times New Roman" w:hAnsi="Times New Roman" w:eastAsia="宋体" w:cs="Times New Roman"/>
          <w:color w:val="FF0000"/>
          <w:szCs w:val="24"/>
        </w:rPr>
        <w:t>），汞及其化合物、林格曼黑度执行《锅炉大气污染物排放标准》（GB13271-2014）表2中新建燃煤锅炉大气污染物排放限值。</w:t>
      </w:r>
    </w:p>
    <w:p w14:paraId="4CAF280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zCs w:val="24"/>
        </w:rPr>
      </w:pPr>
      <w:r>
        <w:rPr>
          <w:rFonts w:hint="eastAsia" w:ascii="Times New Roman" w:hAnsi="Times New Roman" w:eastAsia="宋体" w:cs="Times New Roman"/>
          <w:color w:val="auto"/>
          <w:szCs w:val="24"/>
          <w:lang w:val="en-US" w:eastAsia="zh-CN"/>
        </w:rPr>
        <w:t>6</w:t>
      </w:r>
      <w:r>
        <w:rPr>
          <w:rFonts w:hint="eastAsia" w:ascii="Times New Roman" w:hAnsi="Times New Roman" w:eastAsia="宋体" w:cs="Times New Roman"/>
          <w:color w:val="auto"/>
          <w:szCs w:val="24"/>
        </w:rPr>
        <w:t>.</w:t>
      </w:r>
      <w:r>
        <w:rPr>
          <w:rFonts w:hint="default" w:ascii="Times New Roman" w:hAnsi="Times New Roman" w:eastAsia="宋体" w:cs="Times New Roman"/>
          <w:color w:val="auto"/>
          <w:szCs w:val="24"/>
        </w:rPr>
        <w:t>本项目生产废水全部回用</w:t>
      </w:r>
      <w:r>
        <w:rPr>
          <w:rFonts w:hint="eastAsia" w:ascii="Times New Roman" w:hAnsi="Times New Roman" w:eastAsia="宋体" w:cs="Times New Roman"/>
          <w:color w:val="auto"/>
          <w:szCs w:val="24"/>
        </w:rPr>
        <w:t>，</w:t>
      </w:r>
      <w:r>
        <w:rPr>
          <w:rFonts w:hint="default" w:ascii="Times New Roman" w:hAnsi="Times New Roman" w:eastAsia="宋体" w:cs="Times New Roman"/>
          <w:color w:val="auto"/>
          <w:szCs w:val="24"/>
        </w:rPr>
        <w:t>锅炉用水来自</w:t>
      </w:r>
      <w:r>
        <w:rPr>
          <w:rFonts w:hint="eastAsia" w:ascii="Times New Roman" w:hAnsi="Times New Roman" w:eastAsia="宋体" w:cs="Times New Roman"/>
          <w:color w:val="auto"/>
          <w:szCs w:val="24"/>
        </w:rPr>
        <w:t>市政管网自来水，</w:t>
      </w:r>
      <w:r>
        <w:rPr>
          <w:rFonts w:hint="default" w:ascii="Times New Roman" w:hAnsi="Times New Roman" w:eastAsia="宋体" w:cs="Times New Roman"/>
          <w:color w:val="auto"/>
          <w:szCs w:val="24"/>
        </w:rPr>
        <w:t>锅炉排污水</w:t>
      </w:r>
      <w:r>
        <w:rPr>
          <w:rFonts w:hint="eastAsia" w:ascii="Times New Roman" w:hAnsi="Times New Roman" w:eastAsia="宋体" w:cs="Times New Roman"/>
          <w:color w:val="auto"/>
          <w:szCs w:val="24"/>
          <w:lang w:val="en-US" w:eastAsia="zh-CN"/>
        </w:rPr>
        <w:t>风机冷却水等工业废水</w:t>
      </w:r>
      <w:r>
        <w:rPr>
          <w:rFonts w:hint="eastAsia" w:ascii="Times New Roman" w:hAnsi="Times New Roman" w:eastAsia="宋体" w:cs="Times New Roman"/>
          <w:color w:val="auto"/>
          <w:szCs w:val="24"/>
        </w:rPr>
        <w:t>排入</w:t>
      </w:r>
      <w:r>
        <w:rPr>
          <w:rFonts w:hint="eastAsia" w:ascii="Times New Roman" w:hAnsi="Times New Roman" w:eastAsia="宋体" w:cs="Times New Roman"/>
          <w:color w:val="auto"/>
          <w:szCs w:val="24"/>
          <w:lang w:eastAsia="zh-CN"/>
        </w:rPr>
        <w:t>地下沉淀池</w:t>
      </w:r>
      <w:r>
        <w:rPr>
          <w:rFonts w:hint="eastAsia" w:ascii="Times New Roman" w:hAnsi="Times New Roman" w:eastAsia="宋体" w:cs="Times New Roman"/>
          <w:color w:val="auto"/>
          <w:szCs w:val="24"/>
        </w:rPr>
        <w:t>后用于</w:t>
      </w:r>
      <w:r>
        <w:rPr>
          <w:rFonts w:hint="default" w:ascii="Times New Roman" w:hAnsi="Times New Roman" w:eastAsia="宋体" w:cs="Times New Roman"/>
          <w:color w:val="auto"/>
          <w:szCs w:val="24"/>
        </w:rPr>
        <w:t>输煤系统除尘、</w:t>
      </w:r>
      <w:r>
        <w:rPr>
          <w:rFonts w:hint="eastAsia" w:ascii="Times New Roman" w:hAnsi="Times New Roman" w:eastAsia="宋体" w:cs="Times New Roman"/>
          <w:color w:val="auto"/>
          <w:szCs w:val="24"/>
          <w:lang w:val="en-US" w:eastAsia="zh-CN"/>
        </w:rPr>
        <w:t>脱硫用水、</w:t>
      </w:r>
      <w:r>
        <w:rPr>
          <w:rFonts w:hint="default" w:ascii="Times New Roman" w:hAnsi="Times New Roman" w:eastAsia="宋体" w:cs="Times New Roman"/>
          <w:color w:val="auto"/>
          <w:szCs w:val="24"/>
        </w:rPr>
        <w:t>冷渣机用水、灰渣降尘，</w:t>
      </w:r>
      <w:r>
        <w:rPr>
          <w:rFonts w:hint="eastAsia" w:ascii="Times New Roman" w:hAnsi="Times New Roman" w:eastAsia="宋体" w:cs="Times New Roman"/>
          <w:color w:val="auto"/>
          <w:szCs w:val="24"/>
          <w:lang w:eastAsia="zh-CN"/>
        </w:rPr>
        <w:t>脱硫废水</w:t>
      </w:r>
      <w:r>
        <w:rPr>
          <w:rFonts w:hint="default" w:ascii="Times New Roman" w:hAnsi="Times New Roman" w:eastAsia="宋体" w:cs="Times New Roman"/>
          <w:color w:val="auto"/>
          <w:lang w:eastAsia="zh-CN"/>
        </w:rPr>
        <w:t>经循环池沉淀处理后冲渣使用</w:t>
      </w:r>
      <w:r>
        <w:rPr>
          <w:rFonts w:hint="eastAsia" w:ascii="Times New Roman" w:hAnsi="Times New Roman" w:eastAsia="宋体" w:cs="Times New Roman"/>
          <w:color w:val="auto"/>
          <w:szCs w:val="24"/>
          <w:lang w:eastAsia="zh-CN"/>
        </w:rPr>
        <w:t>，不外排</w:t>
      </w:r>
      <w:r>
        <w:rPr>
          <w:rFonts w:hint="default" w:ascii="Times New Roman" w:hAnsi="Times New Roman" w:eastAsia="宋体" w:cs="Times New Roman"/>
          <w:color w:val="auto"/>
          <w:szCs w:val="24"/>
        </w:rPr>
        <w:t>。</w:t>
      </w:r>
      <w:r>
        <w:rPr>
          <w:rFonts w:hint="eastAsia" w:ascii="Times New Roman" w:hAnsi="Times New Roman" w:eastAsia="宋体" w:cs="Times New Roman"/>
          <w:color w:val="auto"/>
          <w:szCs w:val="24"/>
        </w:rPr>
        <w:t>本项目不新增工作人员，现有</w:t>
      </w:r>
      <w:r>
        <w:rPr>
          <w:rFonts w:hint="default" w:ascii="Times New Roman" w:hAnsi="Times New Roman" w:eastAsia="宋体" w:cs="Times New Roman"/>
          <w:color w:val="auto"/>
          <w:szCs w:val="24"/>
        </w:rPr>
        <w:t>生活污水</w:t>
      </w:r>
      <w:r>
        <w:rPr>
          <w:rFonts w:hint="eastAsia" w:ascii="Times New Roman" w:hAnsi="Times New Roman" w:eastAsia="宋体" w:cs="Times New Roman"/>
          <w:color w:val="auto"/>
          <w:szCs w:val="24"/>
        </w:rPr>
        <w:t>满足《污水综合排放标准》（GB8978-1996）</w:t>
      </w:r>
      <w:r>
        <w:rPr>
          <w:rFonts w:hint="eastAsia" w:ascii="Times New Roman" w:hAnsi="Times New Roman" w:eastAsia="宋体" w:cs="Times New Roman"/>
          <w:color w:val="auto"/>
          <w:szCs w:val="24"/>
          <w:lang w:val="en-US" w:eastAsia="zh-CN"/>
        </w:rPr>
        <w:t>三级标准，</w:t>
      </w:r>
      <w:r>
        <w:rPr>
          <w:rFonts w:hint="eastAsia" w:ascii="Times New Roman" w:hAnsi="Times New Roman" w:eastAsia="宋体" w:cs="Times New Roman"/>
          <w:color w:val="auto"/>
          <w:szCs w:val="24"/>
        </w:rPr>
        <w:t>通过</w:t>
      </w:r>
      <w:r>
        <w:rPr>
          <w:rFonts w:hint="default" w:ascii="Times New Roman" w:hAnsi="Times New Roman" w:eastAsia="宋体" w:cs="Times New Roman"/>
          <w:color w:val="auto"/>
          <w:szCs w:val="24"/>
        </w:rPr>
        <w:t>市政污水管网进入</w:t>
      </w:r>
      <w:r>
        <w:rPr>
          <w:rFonts w:hint="eastAsia" w:ascii="Times New Roman" w:hAnsi="Times New Roman" w:eastAsia="宋体" w:cs="Times New Roman"/>
          <w:color w:val="auto"/>
          <w:szCs w:val="24"/>
        </w:rPr>
        <w:t>八五二农场污水处理厂进行处理</w:t>
      </w:r>
      <w:r>
        <w:rPr>
          <w:rFonts w:hint="default" w:ascii="Times New Roman" w:hAnsi="Times New Roman" w:eastAsia="宋体" w:cs="Times New Roman"/>
          <w:color w:val="auto"/>
          <w:szCs w:val="24"/>
        </w:rPr>
        <w:t>，达到《城镇污水处理厂污染物排放标准》（GB18918-2002）中的一级A标准后，排水进入蛤蟆通河。</w:t>
      </w:r>
    </w:p>
    <w:p w14:paraId="4F90CF1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zCs w:val="24"/>
        </w:rPr>
      </w:pPr>
      <w:r>
        <w:rPr>
          <w:rFonts w:hint="eastAsia" w:ascii="Times New Roman" w:hAnsi="Times New Roman" w:eastAsia="宋体" w:cs="Times New Roman"/>
          <w:color w:val="auto"/>
          <w:szCs w:val="24"/>
        </w:rPr>
        <w:t>7.</w:t>
      </w:r>
      <w:r>
        <w:rPr>
          <w:rFonts w:hint="default" w:ascii="Times New Roman" w:hAnsi="Times New Roman" w:eastAsia="宋体" w:cs="Times New Roman"/>
          <w:color w:val="auto"/>
          <w:szCs w:val="24"/>
        </w:rPr>
        <w:t>本项目各类设备噪声均得到有效控制，治理措施得当，从而使得厂界噪声符合相关标准要求。本项目</w:t>
      </w:r>
      <w:r>
        <w:rPr>
          <w:rFonts w:hint="eastAsia" w:ascii="Times New Roman" w:hAnsi="Times New Roman" w:eastAsia="宋体" w:cs="Times New Roman"/>
          <w:color w:val="auto"/>
          <w:szCs w:val="24"/>
        </w:rPr>
        <w:t>厂址位于声环境</w:t>
      </w:r>
      <w:r>
        <w:rPr>
          <w:rFonts w:hint="eastAsia" w:ascii="Times New Roman" w:hAnsi="Times New Roman" w:eastAsia="宋体" w:cs="Times New Roman"/>
          <w:color w:val="auto"/>
          <w:szCs w:val="24"/>
          <w:lang w:val="en-US" w:eastAsia="zh-CN"/>
        </w:rPr>
        <w:t>2</w:t>
      </w:r>
      <w:r>
        <w:rPr>
          <w:rFonts w:hint="eastAsia" w:ascii="Times New Roman" w:hAnsi="Times New Roman" w:eastAsia="宋体" w:cs="Times New Roman"/>
          <w:color w:val="auto"/>
          <w:szCs w:val="24"/>
        </w:rPr>
        <w:t>类功能区，</w:t>
      </w:r>
      <w:r>
        <w:rPr>
          <w:rFonts w:hint="default" w:ascii="Times New Roman" w:hAnsi="Times New Roman" w:eastAsia="宋体" w:cs="Times New Roman"/>
          <w:color w:val="auto"/>
          <w:szCs w:val="24"/>
        </w:rPr>
        <w:t>投产后厂界昼夜间噪声满足《工业企业厂界环境噪声排放标准》（GB12348-2008）表1工业企业厂界环境噪声排放限值中</w:t>
      </w:r>
      <w:r>
        <w:rPr>
          <w:rFonts w:hint="eastAsia" w:ascii="Times New Roman" w:hAnsi="Times New Roman" w:eastAsia="宋体" w:cs="Times New Roman"/>
          <w:color w:val="auto"/>
          <w:szCs w:val="24"/>
          <w:lang w:val="en-US" w:eastAsia="zh-CN"/>
        </w:rPr>
        <w:t>2</w:t>
      </w:r>
      <w:r>
        <w:rPr>
          <w:rFonts w:hint="default" w:ascii="Times New Roman" w:hAnsi="Times New Roman" w:eastAsia="宋体" w:cs="Times New Roman"/>
          <w:color w:val="auto"/>
          <w:szCs w:val="24"/>
        </w:rPr>
        <w:t>类声环境功能区标准</w:t>
      </w:r>
      <w:r>
        <w:rPr>
          <w:rFonts w:hint="eastAsia" w:ascii="Times New Roman" w:hAnsi="Times New Roman" w:eastAsia="宋体" w:cs="Times New Roman"/>
          <w:color w:val="auto"/>
          <w:szCs w:val="24"/>
        </w:rPr>
        <w:t>。</w:t>
      </w:r>
      <w:r>
        <w:rPr>
          <w:rFonts w:hint="default" w:ascii="Times New Roman" w:hAnsi="Times New Roman" w:eastAsia="宋体" w:cs="Times New Roman"/>
          <w:color w:val="auto"/>
          <w:szCs w:val="24"/>
        </w:rPr>
        <w:t>声环境保护目标</w:t>
      </w:r>
      <w:r>
        <w:rPr>
          <w:rFonts w:hint="eastAsia" w:ascii="Times New Roman" w:hAnsi="Times New Roman" w:eastAsia="宋体" w:cs="Times New Roman"/>
          <w:color w:val="auto"/>
          <w:szCs w:val="24"/>
        </w:rPr>
        <w:t>处</w:t>
      </w:r>
      <w:r>
        <w:rPr>
          <w:rFonts w:hint="default" w:ascii="Times New Roman" w:hAnsi="Times New Roman" w:eastAsia="宋体" w:cs="Times New Roman"/>
          <w:color w:val="auto"/>
          <w:szCs w:val="24"/>
        </w:rPr>
        <w:t>昼夜间噪声满足《声环境质量标准》表1环境噪声限值中的</w:t>
      </w:r>
      <w:r>
        <w:rPr>
          <w:rFonts w:hint="eastAsia" w:ascii="Times New Roman" w:hAnsi="Times New Roman" w:eastAsia="宋体" w:cs="Times New Roman"/>
          <w:color w:val="auto"/>
          <w:szCs w:val="24"/>
          <w:lang w:val="en-US" w:eastAsia="zh-CN"/>
        </w:rPr>
        <w:t>2</w:t>
      </w:r>
      <w:r>
        <w:rPr>
          <w:rFonts w:hint="default" w:ascii="Times New Roman" w:hAnsi="Times New Roman" w:eastAsia="宋体" w:cs="Times New Roman"/>
          <w:color w:val="auto"/>
          <w:szCs w:val="24"/>
        </w:rPr>
        <w:t>类标准。</w:t>
      </w:r>
    </w:p>
    <w:p w14:paraId="5E6A446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zCs w:val="24"/>
        </w:rPr>
      </w:pPr>
      <w:r>
        <w:rPr>
          <w:rFonts w:hint="eastAsia" w:ascii="Times New Roman" w:hAnsi="Times New Roman" w:eastAsia="宋体" w:cs="Times New Roman"/>
          <w:color w:val="auto"/>
          <w:szCs w:val="24"/>
        </w:rPr>
        <w:t>8.</w:t>
      </w:r>
      <w:r>
        <w:rPr>
          <w:rFonts w:hint="default" w:ascii="Times New Roman" w:hAnsi="Times New Roman" w:eastAsia="宋体" w:cs="Times New Roman"/>
          <w:color w:val="auto"/>
          <w:szCs w:val="24"/>
        </w:rPr>
        <w:t>本次不新增工作人员，不新增生活垃圾。锅炉</w:t>
      </w:r>
      <w:r>
        <w:rPr>
          <w:rFonts w:hint="eastAsia" w:ascii="Times New Roman" w:hAnsi="Times New Roman" w:eastAsia="宋体" w:cs="Times New Roman"/>
          <w:color w:val="auto"/>
          <w:szCs w:val="24"/>
          <w:lang w:val="en-US" w:eastAsia="zh-CN"/>
        </w:rPr>
        <w:t>灰渣由虎林市源泽永固水泥制品销售有限公司负责处理利用</w:t>
      </w:r>
      <w:r>
        <w:rPr>
          <w:rFonts w:hint="eastAsia" w:ascii="Times New Roman" w:hAnsi="Times New Roman" w:eastAsia="宋体" w:cs="Times New Roman"/>
          <w:color w:val="FF0000"/>
          <w:szCs w:val="24"/>
          <w:lang w:val="en-US" w:eastAsia="zh-CN"/>
        </w:rPr>
        <w:t>（同时，建设单位与宝清县焱顺煤炭经销有限公司作签订协议，锅炉灰渣处置行程综合利用双保险）</w:t>
      </w:r>
      <w:r>
        <w:rPr>
          <w:rFonts w:hint="eastAsia" w:ascii="Times New Roman" w:hAnsi="Times New Roman" w:eastAsia="宋体" w:cs="Times New Roman"/>
          <w:color w:val="auto"/>
          <w:szCs w:val="24"/>
          <w:lang w:eastAsia="zh-CN"/>
        </w:rPr>
        <w:t>、</w:t>
      </w:r>
      <w:r>
        <w:rPr>
          <w:rFonts w:hint="eastAsia" w:ascii="Times New Roman" w:hAnsi="Times New Roman" w:eastAsia="宋体" w:cs="Times New Roman"/>
          <w:color w:val="auto"/>
          <w:szCs w:val="24"/>
        </w:rPr>
        <w:t>脱硫</w:t>
      </w:r>
      <w:r>
        <w:rPr>
          <w:rFonts w:hint="eastAsia" w:ascii="Times New Roman" w:hAnsi="Times New Roman" w:eastAsia="宋体" w:cs="Times New Roman"/>
          <w:color w:val="auto"/>
          <w:szCs w:val="24"/>
          <w:lang w:val="en-US" w:eastAsia="zh-CN"/>
        </w:rPr>
        <w:t>副产物</w:t>
      </w:r>
      <w:r>
        <w:rPr>
          <w:rFonts w:hint="eastAsia" w:ascii="Times New Roman" w:hAnsi="Times New Roman" w:eastAsia="宋体" w:cs="Times New Roman"/>
          <w:color w:val="auto"/>
          <w:szCs w:val="24"/>
        </w:rPr>
        <w:t>外售拉运至</w:t>
      </w:r>
      <w:r>
        <w:rPr>
          <w:rFonts w:hint="eastAsia" w:ascii="Times New Roman" w:hAnsi="Times New Roman" w:eastAsia="宋体" w:cs="Times New Roman"/>
          <w:color w:val="auto"/>
          <w:szCs w:val="24"/>
          <w:lang w:val="en-US" w:eastAsia="zh-CN"/>
        </w:rPr>
        <w:t>黑龙江春农生物科技有限公司</w:t>
      </w:r>
      <w:r>
        <w:rPr>
          <w:rFonts w:hint="eastAsia" w:ascii="Times New Roman" w:hAnsi="Times New Roman" w:eastAsia="宋体" w:cs="Times New Roman"/>
          <w:color w:val="auto"/>
          <w:szCs w:val="24"/>
        </w:rPr>
        <w:t>综合利用</w:t>
      </w:r>
      <w:r>
        <w:rPr>
          <w:rFonts w:hint="default" w:ascii="Times New Roman" w:hAnsi="Times New Roman" w:eastAsia="宋体" w:cs="Times New Roman"/>
          <w:color w:val="auto"/>
          <w:szCs w:val="24"/>
        </w:rPr>
        <w:t>。本项目产</w:t>
      </w:r>
      <w:r>
        <w:rPr>
          <w:rFonts w:hint="eastAsia" w:ascii="Times New Roman" w:hAnsi="Times New Roman" w:eastAsia="宋体" w:cs="Times New Roman"/>
          <w:color w:val="auto"/>
          <w:szCs w:val="24"/>
        </w:rPr>
        <w:t>生</w:t>
      </w:r>
      <w:r>
        <w:rPr>
          <w:rFonts w:hint="default" w:ascii="Times New Roman" w:hAnsi="Times New Roman" w:eastAsia="宋体" w:cs="Times New Roman"/>
          <w:color w:val="auto"/>
          <w:szCs w:val="24"/>
        </w:rPr>
        <w:t>废脱硝催化剂</w:t>
      </w:r>
      <w:r>
        <w:rPr>
          <w:rFonts w:hint="eastAsia" w:ascii="Times New Roman" w:hAnsi="Times New Roman" w:eastAsia="宋体" w:cs="Times New Roman"/>
          <w:color w:val="auto"/>
          <w:szCs w:val="24"/>
          <w:lang w:val="en-US" w:eastAsia="zh-CN"/>
        </w:rPr>
        <w:t>以及维修产生的废矿物油</w:t>
      </w:r>
      <w:r>
        <w:rPr>
          <w:rFonts w:hint="default" w:ascii="Times New Roman" w:hAnsi="Times New Roman" w:eastAsia="宋体" w:cs="Times New Roman"/>
          <w:color w:val="auto"/>
          <w:szCs w:val="24"/>
        </w:rPr>
        <w:t>属于危险废物，委托有资质单位拉运、处置</w:t>
      </w:r>
      <w:r>
        <w:rPr>
          <w:rFonts w:hint="eastAsia" w:ascii="Times New Roman" w:hAnsi="Times New Roman" w:eastAsia="宋体" w:cs="Times New Roman"/>
          <w:color w:val="auto"/>
          <w:szCs w:val="24"/>
          <w:lang w:eastAsia="zh-CN"/>
        </w:rPr>
        <w:t>。</w:t>
      </w:r>
      <w:r>
        <w:rPr>
          <w:rFonts w:hint="eastAsia" w:ascii="Times New Roman" w:hAnsi="Times New Roman" w:eastAsia="宋体" w:cs="Times New Roman"/>
          <w:color w:val="auto"/>
          <w:szCs w:val="24"/>
          <w:lang w:val="en-US" w:eastAsia="zh-CN"/>
        </w:rPr>
        <w:t>目前与黑龙江省庆昌环保科技有限公司签订委托处置合同</w:t>
      </w:r>
      <w:r>
        <w:rPr>
          <w:rFonts w:hint="default" w:ascii="Times New Roman" w:hAnsi="Times New Roman" w:eastAsia="宋体" w:cs="Times New Roman"/>
          <w:color w:val="auto"/>
          <w:szCs w:val="24"/>
        </w:rPr>
        <w:t>。废布袋由厂家回收，不在厂区内堆存。</w:t>
      </w:r>
      <w:r>
        <w:rPr>
          <w:rFonts w:hint="eastAsia" w:ascii="Times New Roman" w:hAnsi="Times New Roman" w:eastAsia="宋体" w:cs="Times New Roman"/>
          <w:color w:val="auto"/>
          <w:szCs w:val="24"/>
        </w:rPr>
        <w:t>厂区除渣水、初期雨水裹挟</w:t>
      </w:r>
      <w:r>
        <w:rPr>
          <w:rFonts w:hint="default" w:ascii="Times New Roman" w:hAnsi="Times New Roman" w:eastAsia="宋体" w:cs="Times New Roman"/>
          <w:color w:val="auto"/>
          <w:szCs w:val="24"/>
        </w:rPr>
        <w:t>沉渣</w:t>
      </w:r>
      <w:r>
        <w:rPr>
          <w:rFonts w:hint="eastAsia" w:ascii="Times New Roman" w:hAnsi="Times New Roman" w:eastAsia="宋体" w:cs="Times New Roman"/>
          <w:color w:val="auto"/>
          <w:szCs w:val="24"/>
        </w:rPr>
        <w:t>排入</w:t>
      </w:r>
      <w:r>
        <w:rPr>
          <w:rFonts w:hint="eastAsia" w:ascii="Times New Roman" w:hAnsi="Times New Roman" w:eastAsia="宋体" w:cs="Times New Roman"/>
          <w:color w:val="auto"/>
          <w:szCs w:val="24"/>
          <w:lang w:val="en-US" w:eastAsia="zh-CN"/>
        </w:rPr>
        <w:t>初期雨水收集</w:t>
      </w:r>
      <w:r>
        <w:rPr>
          <w:rFonts w:hint="eastAsia" w:ascii="Times New Roman" w:hAnsi="Times New Roman" w:eastAsia="宋体" w:cs="Times New Roman"/>
          <w:color w:val="auto"/>
          <w:szCs w:val="24"/>
        </w:rPr>
        <w:t>池，沉渣定期清掏</w:t>
      </w:r>
      <w:r>
        <w:rPr>
          <w:rFonts w:hint="default" w:ascii="Times New Roman" w:hAnsi="Times New Roman" w:eastAsia="宋体" w:cs="Times New Roman"/>
          <w:color w:val="auto"/>
          <w:szCs w:val="24"/>
        </w:rPr>
        <w:t>作为燃料入炉燃烧。</w:t>
      </w:r>
    </w:p>
    <w:p w14:paraId="02CC6552">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6" w:name="_Toc30107"/>
      <w:bookmarkStart w:id="7" w:name="_Toc7156"/>
      <w:r>
        <w:rPr>
          <w:rFonts w:hint="eastAsia" w:ascii="Times New Roman" w:hAnsi="Times New Roman" w:eastAsia="宋体" w:cs="Times New Roman"/>
          <w:b/>
          <w:bCs/>
          <w:color w:val="auto"/>
          <w:lang w:val="en-US" w:eastAsia="zh-CN"/>
        </w:rPr>
        <w:t xml:space="preserve">1.3 </w:t>
      </w:r>
      <w:r>
        <w:rPr>
          <w:rFonts w:hint="default" w:ascii="Times New Roman" w:hAnsi="Times New Roman" w:eastAsia="宋体" w:cs="Times New Roman"/>
          <w:b/>
          <w:bCs/>
          <w:color w:val="auto"/>
        </w:rPr>
        <w:t>环境影响评价的工作过程</w:t>
      </w:r>
      <w:bookmarkEnd w:id="6"/>
      <w:bookmarkEnd w:id="7"/>
    </w:p>
    <w:p w14:paraId="6FA242A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 xml:space="preserve">根据《建设项目环境影响评价技术导则 </w:t>
      </w:r>
      <w:r>
        <w:rPr>
          <w:rFonts w:hint="eastAsia" w:ascii="Times New Roman" w:hAnsi="Times New Roman" w:eastAsia="宋体" w:cs="Times New Roman"/>
          <w:color w:val="auto"/>
          <w:szCs w:val="24"/>
          <w:lang w:val="en-US" w:eastAsia="zh-CN"/>
        </w:rPr>
        <w:t xml:space="preserve"> </w:t>
      </w:r>
      <w:r>
        <w:rPr>
          <w:rFonts w:hint="eastAsia" w:ascii="Times New Roman" w:hAnsi="Times New Roman" w:eastAsia="宋体" w:cs="Times New Roman"/>
          <w:color w:val="auto"/>
          <w:szCs w:val="24"/>
        </w:rPr>
        <w:t>总纲》（HJ2.1-2016）相关技术规范的要求，环境影响评价工作分为三个阶段进行，即调查分析和工作方案制定阶段、分析论证和预测评价阶段、环境影响报告书（表）制阶段。具体工作程序见图1.3-1。</w:t>
      </w:r>
    </w:p>
    <w:p w14:paraId="5B6B2C18">
      <w:pPr>
        <w:ind w:firstLine="0" w:firstLineChars="0"/>
        <w:rPr>
          <w:rFonts w:ascii="Times New Roman" w:hAnsi="Times New Roman" w:eastAsia="宋体" w:cs="Times New Roman"/>
          <w:color w:val="auto"/>
        </w:rPr>
      </w:pPr>
      <w:r>
        <w:rPr>
          <w:rFonts w:ascii="Times New Roman" w:hAnsi="Times New Roman" w:eastAsia="宋体" w:cs="Times New Roman"/>
          <w:color w:val="auto"/>
        </w:rPr>
        <w:drawing>
          <wp:inline distT="0" distB="0" distL="0" distR="0">
            <wp:extent cx="4902200" cy="4661535"/>
            <wp:effectExtent l="0" t="0" r="1270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4902200" cy="4661535"/>
                    </a:xfrm>
                    <a:prstGeom prst="rect">
                      <a:avLst/>
                    </a:prstGeom>
                  </pic:spPr>
                </pic:pic>
              </a:graphicData>
            </a:graphic>
          </wp:inline>
        </w:drawing>
      </w:r>
    </w:p>
    <w:p w14:paraId="3D165D80">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图1.3-1</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建设项目环境影响评价工作程序图</w:t>
      </w:r>
    </w:p>
    <w:p w14:paraId="30A2B89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一、前期准备阶段</w:t>
      </w:r>
    </w:p>
    <w:p w14:paraId="5141936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依据《建设项目环境影响评价分类管理名录》（2021年版）的有关要求，本项目属于“四十一、电力、热力生产和供应业”中第91项“热力生产和供应工程（包括建设单位自用的供热工程）”中的“燃煤、燃油锅炉总容量65吨/小时（45.5兆瓦）以上的”，本项目应编制环境影响报告书。工作人员在研究相关技术及其他有关文件的基础上进行了初步工程分析，开展了初步的环境现状调查，之后进行了环境影响识别、评价因子和评价标准的判定，明确了评价重点和环境保护目标，进一步确定评价工作等级和评价范围，最后制定出环评工作方案。</w:t>
      </w:r>
    </w:p>
    <w:p w14:paraId="474BAA8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二、调查分析和工作方案制定阶段</w:t>
      </w:r>
    </w:p>
    <w:p w14:paraId="49D9064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根据第一阶段的工作成果，工作人员在对环境质量现状进行调查、监测与评价后，详细进行了工程分析，同时对各环境要素进行了环境影响预测与评价，对各专题进行了环境影响分析与评价。</w:t>
      </w:r>
    </w:p>
    <w:p w14:paraId="2BD1D3F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三、分析论证和预测评价阶段</w:t>
      </w:r>
    </w:p>
    <w:p w14:paraId="39FCA0D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根据上一阶段的预测、分析与评价，给出建设项目可行性的评价结论，提出环境保护措施，进行其经济技术可行性论证，列出污染物排放清单并给出建设项目环境影响评价结论，完成环境影响报告书的编制工作。</w:t>
      </w:r>
    </w:p>
    <w:p w14:paraId="720AB475">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8" w:name="_Toc19081"/>
      <w:bookmarkStart w:id="9" w:name="_Toc29333"/>
      <w:r>
        <w:rPr>
          <w:rFonts w:hint="eastAsia" w:ascii="Times New Roman" w:hAnsi="Times New Roman" w:eastAsia="宋体" w:cs="Times New Roman"/>
          <w:b/>
          <w:bCs/>
          <w:color w:val="auto"/>
          <w:lang w:val="en-US" w:eastAsia="zh-CN"/>
        </w:rPr>
        <w:t xml:space="preserve">1.4 </w:t>
      </w:r>
      <w:r>
        <w:rPr>
          <w:rFonts w:hint="default" w:ascii="Times New Roman" w:hAnsi="Times New Roman" w:eastAsia="宋体" w:cs="Times New Roman"/>
          <w:b/>
          <w:bCs/>
          <w:color w:val="auto"/>
        </w:rPr>
        <w:t>分析判定相关情况</w:t>
      </w:r>
      <w:bookmarkEnd w:id="8"/>
      <w:bookmarkEnd w:id="9"/>
    </w:p>
    <w:p w14:paraId="21E3E33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rPr>
      </w:pPr>
      <w:bookmarkStart w:id="10" w:name="_Toc105659849"/>
      <w:bookmarkStart w:id="11" w:name="_Toc16288"/>
      <w:bookmarkStart w:id="12" w:name="_Toc12499"/>
      <w:bookmarkStart w:id="13" w:name="_Toc107238064"/>
      <w:bookmarkStart w:id="14" w:name="_Toc31172"/>
      <w:bookmarkStart w:id="15" w:name="_Toc10502"/>
      <w:r>
        <w:rPr>
          <w:rFonts w:hint="eastAsia" w:ascii="Times New Roman" w:hAnsi="Times New Roman" w:eastAsia="宋体" w:cs="Times New Roman"/>
          <w:b/>
          <w:bCs/>
          <w:color w:val="auto"/>
          <w:sz w:val="28"/>
          <w:szCs w:val="28"/>
          <w:lang w:val="en-US" w:eastAsia="zh-CN"/>
        </w:rPr>
        <w:t>1.</w:t>
      </w:r>
      <w:r>
        <w:rPr>
          <w:rFonts w:hint="eastAsia" w:ascii="Times New Roman" w:hAnsi="Times New Roman"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 xml:space="preserve">.1 </w:t>
      </w:r>
      <w:r>
        <w:rPr>
          <w:rFonts w:hint="default" w:ascii="Times New Roman" w:hAnsi="Times New Roman" w:eastAsia="宋体" w:cs="Times New Roman"/>
          <w:b/>
          <w:bCs/>
          <w:color w:val="auto"/>
          <w:sz w:val="28"/>
          <w:szCs w:val="28"/>
        </w:rPr>
        <w:t>与《产业结构调整指导目录（2024年本）》的符合性</w:t>
      </w:r>
      <w:bookmarkEnd w:id="10"/>
      <w:bookmarkEnd w:id="11"/>
      <w:bookmarkEnd w:id="12"/>
      <w:bookmarkEnd w:id="13"/>
      <w:bookmarkEnd w:id="14"/>
      <w:bookmarkEnd w:id="15"/>
    </w:p>
    <w:p w14:paraId="4115451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本项目属于《产业结构调整指导目录（2024年本）》中鼓励类第二十二项“城镇基础设施”第2条为“城镇集中供热建设和改造工程（包括长距离集中供热管网应用工程）”，属于鼓励类建设项目，</w:t>
      </w:r>
      <w:r>
        <w:rPr>
          <w:rFonts w:hint="eastAsia" w:ascii="Times New Roman" w:hAnsi="Times New Roman" w:eastAsia="宋体" w:cs="Times New Roman"/>
          <w:color w:val="auto"/>
          <w:szCs w:val="24"/>
          <w:lang w:val="en-US" w:eastAsia="zh-CN"/>
        </w:rPr>
        <w:t>不属于第二类限制类中第三项“电力”第三条“达不到超低排放要求的煤电机组（采用特殊炉型的机组除外）和燃煤锅炉”，第十一项“机械”第58条为“县级及以上城市建成区每小时35蒸吨以下的燃煤锅炉，其他区域每小时10蒸吨以下的燃煤锅炉”，</w:t>
      </w:r>
      <w:r>
        <w:rPr>
          <w:rFonts w:hint="eastAsia" w:ascii="Times New Roman" w:hAnsi="Times New Roman" w:eastAsia="宋体" w:cs="Times New Roman"/>
          <w:color w:val="auto"/>
          <w:szCs w:val="24"/>
        </w:rPr>
        <w:t>因此，本项目建设内容符合《产业结构调整指导目录（2024年本）》要求。根据国家污染防治技术指导目录（202</w:t>
      </w:r>
      <w:r>
        <w:rPr>
          <w:rFonts w:hint="eastAsia" w:ascii="Times New Roman" w:hAnsi="Times New Roman" w:eastAsia="宋体" w:cs="Times New Roman"/>
          <w:color w:val="auto"/>
          <w:szCs w:val="24"/>
          <w:lang w:val="en-US" w:eastAsia="zh-CN"/>
        </w:rPr>
        <w:t>5</w:t>
      </w:r>
      <w:r>
        <w:rPr>
          <w:rFonts w:hint="eastAsia" w:ascii="Times New Roman" w:hAnsi="Times New Roman" w:eastAsia="宋体" w:cs="Times New Roman"/>
          <w:color w:val="auto"/>
          <w:szCs w:val="24"/>
        </w:rPr>
        <w:t>年），本项目采取的</w:t>
      </w:r>
      <w:r>
        <w:rPr>
          <w:rFonts w:hint="eastAsia" w:ascii="Times New Roman" w:hAnsi="Times New Roman" w:eastAsia="宋体" w:cs="Times New Roman"/>
          <w:color w:val="auto"/>
          <w:szCs w:val="24"/>
          <w:lang w:eastAsia="zh-CN"/>
        </w:rPr>
        <w:t>“</w:t>
      </w:r>
      <w:r>
        <w:rPr>
          <w:rFonts w:hint="default" w:ascii="Times New Roman" w:hAnsi="Times New Roman" w:eastAsia="宋体" w:cs="Times New Roman"/>
          <w:color w:val="auto"/>
          <w:szCs w:val="24"/>
        </w:rPr>
        <w:t>SNCR</w:t>
      </w:r>
      <w:r>
        <w:rPr>
          <w:rFonts w:hint="default" w:ascii="Times New Roman" w:hAnsi="Times New Roman" w:eastAsia="宋体" w:cs="Times New Roman"/>
          <w:color w:val="auto"/>
          <w:szCs w:val="24"/>
          <w:lang w:val="en-US" w:eastAsia="zh-CN"/>
        </w:rPr>
        <w:t>-SCR联合</w:t>
      </w:r>
      <w:r>
        <w:rPr>
          <w:rFonts w:hint="default" w:ascii="Times New Roman" w:hAnsi="Times New Roman" w:eastAsia="宋体" w:cs="Times New Roman"/>
          <w:color w:val="auto"/>
          <w:szCs w:val="24"/>
        </w:rPr>
        <w:t>脱硝</w:t>
      </w:r>
      <w:r>
        <w:rPr>
          <w:rFonts w:hint="default" w:ascii="Times New Roman" w:hAnsi="Times New Roman" w:eastAsia="宋体" w:cs="Times New Roman"/>
          <w:color w:val="auto"/>
          <w:szCs w:val="24"/>
          <w:lang w:val="en-US" w:eastAsia="zh-CN"/>
        </w:rPr>
        <w:t>+布袋</w:t>
      </w:r>
      <w:r>
        <w:rPr>
          <w:rFonts w:hint="default" w:ascii="Times New Roman" w:hAnsi="Times New Roman" w:eastAsia="宋体" w:cs="Times New Roman"/>
          <w:color w:val="auto"/>
          <w:szCs w:val="24"/>
        </w:rPr>
        <w:t>除尘器除尘</w:t>
      </w:r>
      <w:r>
        <w:rPr>
          <w:rFonts w:hint="default" w:ascii="Times New Roman" w:hAnsi="Times New Roman" w:eastAsia="宋体" w:cs="Times New Roman"/>
          <w:color w:val="auto"/>
          <w:szCs w:val="24"/>
          <w:lang w:val="en-US" w:eastAsia="zh-CN"/>
        </w:rPr>
        <w:t>+氧化镁法</w:t>
      </w:r>
      <w:r>
        <w:rPr>
          <w:rFonts w:hint="default" w:ascii="Times New Roman" w:hAnsi="Times New Roman" w:eastAsia="宋体" w:cs="Times New Roman"/>
          <w:color w:val="auto"/>
          <w:szCs w:val="24"/>
        </w:rPr>
        <w:t>脱硫</w:t>
      </w:r>
      <w:r>
        <w:rPr>
          <w:rFonts w:hint="eastAsia" w:ascii="Times New Roman" w:hAnsi="Times New Roman" w:eastAsia="宋体" w:cs="Times New Roman"/>
          <w:color w:val="auto"/>
          <w:szCs w:val="24"/>
          <w:lang w:eastAsia="zh-CN"/>
        </w:rPr>
        <w:t>”</w:t>
      </w:r>
      <w:r>
        <w:rPr>
          <w:rFonts w:hint="eastAsia" w:ascii="Times New Roman" w:hAnsi="Times New Roman" w:eastAsia="宋体" w:cs="Times New Roman"/>
          <w:color w:val="auto"/>
          <w:szCs w:val="24"/>
        </w:rPr>
        <w:t>，不在限制类及淘汰类范围内。</w:t>
      </w:r>
    </w:p>
    <w:p w14:paraId="31F5E947">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rPr>
      </w:pPr>
      <w:bookmarkStart w:id="16" w:name="_Toc18763"/>
      <w:bookmarkStart w:id="17" w:name="_Toc23174"/>
      <w:bookmarkStart w:id="18" w:name="_Toc26050"/>
      <w:r>
        <w:rPr>
          <w:rFonts w:hint="eastAsia" w:ascii="Times New Roman" w:hAnsi="Times New Roman" w:eastAsia="宋体" w:cs="Times New Roman"/>
          <w:b/>
          <w:bCs/>
          <w:color w:val="auto"/>
          <w:sz w:val="28"/>
          <w:szCs w:val="28"/>
          <w:lang w:val="en-US" w:eastAsia="zh-CN"/>
        </w:rPr>
        <w:t>1.</w:t>
      </w:r>
      <w:r>
        <w:rPr>
          <w:rFonts w:hint="eastAsia" w:ascii="Times New Roman" w:hAnsi="Times New Roman"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 xml:space="preserve">.2 </w:t>
      </w:r>
      <w:bookmarkEnd w:id="16"/>
      <w:bookmarkEnd w:id="17"/>
      <w:bookmarkEnd w:id="18"/>
      <w:r>
        <w:rPr>
          <w:rFonts w:hint="default" w:ascii="Times New Roman" w:hAnsi="Times New Roman" w:eastAsia="宋体" w:cs="Times New Roman"/>
          <w:b/>
          <w:bCs/>
          <w:color w:val="auto"/>
          <w:sz w:val="28"/>
          <w:szCs w:val="28"/>
        </w:rPr>
        <w:t>与生态环境分区管控符合性分析</w:t>
      </w:r>
    </w:p>
    <w:p w14:paraId="1DA8893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根据《黑龙江省人民政府关于实施“三线一单”生态环境分区管控意见》（黑政发〔2020〕14号）、</w:t>
      </w:r>
      <w:r>
        <w:rPr>
          <w:rFonts w:hint="eastAsia" w:ascii="Times New Roman" w:hAnsi="Times New Roman" w:eastAsia="宋体" w:cs="Times New Roman"/>
          <w:color w:val="auto"/>
          <w:szCs w:val="24"/>
          <w:lang w:val="en-US" w:eastAsia="zh-CN"/>
        </w:rPr>
        <w:t>《关于公布黑龙江省生态环境分区管控动态更新成果（2023年版）的通知》（黑环发〔2024〕1号）、</w:t>
      </w:r>
      <w:r>
        <w:rPr>
          <w:rFonts w:hint="eastAsia"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双鸭山</w:t>
      </w:r>
      <w:r>
        <w:rPr>
          <w:rFonts w:hint="eastAsia" w:ascii="Times New Roman" w:hAnsi="Times New Roman" w:eastAsia="宋体" w:cs="Times New Roman"/>
          <w:color w:val="auto"/>
          <w:szCs w:val="24"/>
        </w:rPr>
        <w:t>市人民政府关于实施“三线一单”生态环境分区管控的意见》（</w:t>
      </w:r>
      <w:r>
        <w:rPr>
          <w:rFonts w:hint="eastAsia" w:ascii="Times New Roman" w:hAnsi="Times New Roman" w:eastAsia="宋体" w:cs="Times New Roman"/>
          <w:color w:val="auto"/>
          <w:szCs w:val="24"/>
          <w:lang w:val="en-US" w:eastAsia="zh-CN"/>
        </w:rPr>
        <w:t>双</w:t>
      </w:r>
      <w:r>
        <w:rPr>
          <w:rFonts w:hint="eastAsia" w:ascii="Times New Roman" w:hAnsi="Times New Roman" w:eastAsia="宋体" w:cs="Times New Roman"/>
          <w:color w:val="auto"/>
          <w:szCs w:val="24"/>
        </w:rPr>
        <w:t>政规〔2021〕</w:t>
      </w:r>
      <w:r>
        <w:rPr>
          <w:rFonts w:hint="eastAsia" w:ascii="Times New Roman" w:hAnsi="Times New Roman" w:eastAsia="宋体" w:cs="Times New Roman"/>
          <w:color w:val="auto"/>
          <w:szCs w:val="24"/>
          <w:lang w:val="en-US" w:eastAsia="zh-CN"/>
        </w:rPr>
        <w:t>2</w:t>
      </w:r>
      <w:r>
        <w:rPr>
          <w:rFonts w:hint="eastAsia" w:ascii="Times New Roman" w:hAnsi="Times New Roman" w:eastAsia="宋体" w:cs="Times New Roman"/>
          <w:color w:val="auto"/>
          <w:szCs w:val="24"/>
        </w:rPr>
        <w:t>号）及《</w:t>
      </w:r>
      <w:r>
        <w:rPr>
          <w:rFonts w:hint="eastAsia" w:ascii="Times New Roman" w:hAnsi="Times New Roman" w:eastAsia="宋体" w:cs="Times New Roman"/>
          <w:color w:val="auto"/>
          <w:szCs w:val="24"/>
          <w:lang w:val="en-US" w:eastAsia="zh-CN"/>
        </w:rPr>
        <w:t>双鸭山</w:t>
      </w:r>
      <w:r>
        <w:rPr>
          <w:rFonts w:hint="eastAsia" w:ascii="Times New Roman" w:hAnsi="Times New Roman" w:eastAsia="宋体" w:cs="Times New Roman"/>
          <w:color w:val="auto"/>
          <w:szCs w:val="24"/>
        </w:rPr>
        <w:t>市生态环境准入清单（2023年版）》，以及黑龙江省生态环境分区管控数据应用平台出具的《</w:t>
      </w:r>
      <w:r>
        <w:rPr>
          <w:rFonts w:hint="eastAsia" w:ascii="Times New Roman" w:hAnsi="Times New Roman" w:eastAsia="宋体" w:cs="Times New Roman"/>
          <w:color w:val="auto"/>
          <w:szCs w:val="24"/>
          <w:lang w:eastAsia="zh-CN"/>
        </w:rPr>
        <w:t>北大荒集团八五二农场两供两治一业供热改造</w:t>
      </w:r>
      <w:r>
        <w:rPr>
          <w:rFonts w:hint="eastAsia" w:ascii="Times New Roman" w:hAnsi="Times New Roman" w:eastAsia="宋体" w:cs="Times New Roman"/>
          <w:color w:val="auto"/>
          <w:szCs w:val="24"/>
          <w:lang w:val="en-US" w:eastAsia="zh-CN"/>
        </w:rPr>
        <w:t>项目</w:t>
      </w:r>
      <w:r>
        <w:rPr>
          <w:rFonts w:hint="eastAsia" w:ascii="Times New Roman" w:hAnsi="Times New Roman" w:eastAsia="宋体" w:cs="Times New Roman"/>
          <w:color w:val="auto"/>
          <w:szCs w:val="24"/>
        </w:rPr>
        <w:t>环境影响报告书生态环境分区管控分析报告》，本项目占地属于重点管控单元，占项目占地面积的100%。应突出污染物排放控制和环境风险防控，按照差别化的生态环境准入要求优化空间和产业布局，不断提升资源利用效率，强化环境质量改善目标约束，解决局部生态环境质量不达标、生态环境风险高的问题。</w:t>
      </w:r>
    </w:p>
    <w:p w14:paraId="1A5047C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rPr>
      </w:pPr>
      <w:r>
        <w:rPr>
          <w:rFonts w:hint="eastAsia"/>
        </w:rPr>
        <w:t>本工程与“三线一单”符合性情况如下：</w:t>
      </w:r>
    </w:p>
    <w:p w14:paraId="0495AD0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FF0000"/>
          <w:szCs w:val="24"/>
          <w:lang w:val="en-US" w:eastAsia="zh-CN"/>
        </w:rPr>
      </w:pPr>
      <w:r>
        <w:rPr>
          <w:rFonts w:hint="eastAsia" w:ascii="Times New Roman" w:hAnsi="Times New Roman" w:eastAsia="宋体" w:cs="Times New Roman"/>
          <w:color w:val="FF0000"/>
          <w:szCs w:val="24"/>
        </w:rPr>
        <w:t>（1）</w:t>
      </w:r>
      <w:r>
        <w:rPr>
          <w:rFonts w:hint="eastAsia" w:ascii="Times New Roman" w:hAnsi="Times New Roman" w:eastAsia="宋体" w:cs="Times New Roman"/>
          <w:color w:val="FF0000"/>
          <w:szCs w:val="24"/>
          <w:lang w:val="en-US" w:eastAsia="zh-CN"/>
        </w:rPr>
        <w:t>项目范围</w:t>
      </w:r>
    </w:p>
    <w:p w14:paraId="62971E13">
      <w:pPr>
        <w:ind w:firstLine="0" w:firstLineChars="0"/>
        <w:jc w:val="center"/>
        <w:rPr>
          <w:rFonts w:hint="eastAsia"/>
          <w:color w:val="FF0000"/>
          <w:lang w:val="en-US" w:eastAsia="zh-CN"/>
        </w:rPr>
      </w:pPr>
      <w:r>
        <w:rPr>
          <w:color w:val="FF0000"/>
        </w:rPr>
        <w:drawing>
          <wp:inline distT="0" distB="0" distL="114300" distR="114300">
            <wp:extent cx="5039995" cy="2552700"/>
            <wp:effectExtent l="0" t="0" r="1905" b="0"/>
            <wp:docPr id="10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6"/>
                    <pic:cNvPicPr>
                      <a:picLocks noChangeAspect="1"/>
                    </pic:cNvPicPr>
                  </pic:nvPicPr>
                  <pic:blipFill>
                    <a:blip r:embed="rId23"/>
                    <a:stretch>
                      <a:fillRect/>
                    </a:stretch>
                  </pic:blipFill>
                  <pic:spPr>
                    <a:xfrm>
                      <a:off x="0" y="0"/>
                      <a:ext cx="5039995" cy="2552700"/>
                    </a:xfrm>
                    <a:prstGeom prst="rect">
                      <a:avLst/>
                    </a:prstGeom>
                    <a:noFill/>
                    <a:ln>
                      <a:noFill/>
                    </a:ln>
                  </pic:spPr>
                </pic:pic>
              </a:graphicData>
            </a:graphic>
          </wp:inline>
        </w:drawing>
      </w:r>
    </w:p>
    <w:p w14:paraId="512FDEFA">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FF0000"/>
          <w:sz w:val="24"/>
          <w:szCs w:val="24"/>
          <w:lang w:val="en-US" w:eastAsia="zh-CN"/>
        </w:rPr>
      </w:pPr>
      <w:r>
        <w:rPr>
          <w:rFonts w:hint="default" w:ascii="Times New Roman" w:hAnsi="Times New Roman" w:eastAsia="宋体" w:cs="Times New Roman"/>
          <w:b/>
          <w:bCs/>
          <w:color w:val="FF0000"/>
          <w:sz w:val="24"/>
          <w:szCs w:val="24"/>
          <w:lang w:val="en-US" w:eastAsia="zh-CN"/>
        </w:rPr>
        <w:t>图1.4-1  本项目与环境管控单元叠加图</w:t>
      </w:r>
    </w:p>
    <w:p w14:paraId="359F2B9B">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FF0000"/>
          <w:sz w:val="24"/>
          <w:szCs w:val="24"/>
          <w:lang w:val="en-US" w:eastAsia="zh-CN"/>
        </w:rPr>
        <w:sectPr>
          <w:footerReference r:id="rId13"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14:paraId="62C0B7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FF0000"/>
          <w:sz w:val="24"/>
          <w:szCs w:val="24"/>
          <w:lang w:val="en-US" w:eastAsia="zh-CN"/>
        </w:rPr>
      </w:pPr>
      <w:r>
        <w:rPr>
          <w:rFonts w:hint="default" w:ascii="Times New Roman" w:hAnsi="Times New Roman" w:eastAsia="宋体" w:cs="Times New Roman"/>
          <w:b/>
          <w:bCs/>
          <w:color w:val="FF0000"/>
          <w:sz w:val="24"/>
          <w:szCs w:val="24"/>
          <w:lang w:val="en-US" w:eastAsia="zh-CN"/>
        </w:rPr>
        <w:t>表1.4-</w:t>
      </w:r>
      <w:r>
        <w:rPr>
          <w:rFonts w:hint="eastAsia" w:ascii="Times New Roman" w:hAnsi="Times New Roman" w:eastAsia="宋体" w:cs="Times New Roman"/>
          <w:b/>
          <w:bCs/>
          <w:color w:val="FF0000"/>
          <w:sz w:val="24"/>
          <w:szCs w:val="24"/>
          <w:lang w:val="en-US" w:eastAsia="zh-CN"/>
        </w:rPr>
        <w:t>1</w:t>
      </w:r>
      <w:r>
        <w:rPr>
          <w:rFonts w:hint="default" w:ascii="Times New Roman" w:hAnsi="Times New Roman" w:eastAsia="宋体" w:cs="Times New Roman"/>
          <w:b/>
          <w:bCs/>
          <w:color w:val="FF0000"/>
          <w:sz w:val="24"/>
          <w:szCs w:val="24"/>
          <w:lang w:val="en-US" w:eastAsia="zh-CN"/>
        </w:rPr>
        <w:t xml:space="preserve">  本项目与生态环境</w:t>
      </w:r>
      <w:r>
        <w:rPr>
          <w:rFonts w:hint="eastAsia" w:ascii="Times New Roman" w:hAnsi="Times New Roman" w:eastAsia="宋体" w:cs="Times New Roman"/>
          <w:b/>
          <w:bCs/>
          <w:color w:val="FF0000"/>
          <w:sz w:val="24"/>
          <w:szCs w:val="24"/>
          <w:lang w:val="en-US" w:eastAsia="zh-CN"/>
        </w:rPr>
        <w:t>准入清单</w:t>
      </w:r>
      <w:r>
        <w:rPr>
          <w:rFonts w:hint="default" w:ascii="Times New Roman" w:hAnsi="Times New Roman" w:eastAsia="宋体" w:cs="Times New Roman"/>
          <w:b/>
          <w:bCs/>
          <w:color w:val="FF0000"/>
          <w:sz w:val="24"/>
          <w:szCs w:val="24"/>
          <w:lang w:val="en-US" w:eastAsia="zh-CN"/>
        </w:rPr>
        <w:t>符合性分析</w:t>
      </w:r>
    </w:p>
    <w:tbl>
      <w:tblPr>
        <w:tblStyle w:val="40"/>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49"/>
        <w:gridCol w:w="936"/>
        <w:gridCol w:w="815"/>
        <w:gridCol w:w="951"/>
        <w:gridCol w:w="4111"/>
        <w:gridCol w:w="4863"/>
        <w:gridCol w:w="839"/>
      </w:tblGrid>
      <w:tr w14:paraId="6318FD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0" w:type="pct"/>
            <w:tcBorders>
              <w:top w:val="single" w:color="auto" w:sz="4" w:space="0"/>
              <w:left w:val="single" w:color="auto" w:sz="4" w:space="0"/>
            </w:tcBorders>
            <w:shd w:val="clear" w:color="auto" w:fill="auto"/>
            <w:tcMar>
              <w:left w:w="57" w:type="dxa"/>
              <w:right w:w="57" w:type="dxa"/>
            </w:tcMar>
            <w:vAlign w:val="center"/>
          </w:tcPr>
          <w:p w14:paraId="6CD976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环境管控单元编码</w:t>
            </w:r>
          </w:p>
        </w:tc>
        <w:tc>
          <w:tcPr>
            <w:tcW w:w="333" w:type="pct"/>
            <w:tcBorders>
              <w:top w:val="single" w:color="auto" w:sz="4" w:space="0"/>
            </w:tcBorders>
            <w:shd w:val="clear" w:color="auto" w:fill="auto"/>
            <w:tcMar>
              <w:left w:w="57" w:type="dxa"/>
              <w:right w:w="57" w:type="dxa"/>
            </w:tcMar>
            <w:vAlign w:val="center"/>
          </w:tcPr>
          <w:p w14:paraId="62270B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环境管控单元名称</w:t>
            </w:r>
          </w:p>
        </w:tc>
        <w:tc>
          <w:tcPr>
            <w:tcW w:w="290" w:type="pct"/>
            <w:tcBorders>
              <w:top w:val="single" w:color="auto" w:sz="4" w:space="0"/>
            </w:tcBorders>
            <w:shd w:val="clear" w:color="auto" w:fill="auto"/>
            <w:vAlign w:val="center"/>
          </w:tcPr>
          <w:p w14:paraId="2F8B40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管控单元类别</w:t>
            </w:r>
          </w:p>
        </w:tc>
        <w:tc>
          <w:tcPr>
            <w:tcW w:w="1799" w:type="pct"/>
            <w:gridSpan w:val="2"/>
            <w:tcBorders>
              <w:top w:val="single" w:color="auto" w:sz="4" w:space="0"/>
            </w:tcBorders>
            <w:shd w:val="clear" w:color="auto" w:fill="auto"/>
            <w:vAlign w:val="center"/>
          </w:tcPr>
          <w:p w14:paraId="6A921E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管控要求</w:t>
            </w:r>
          </w:p>
        </w:tc>
        <w:tc>
          <w:tcPr>
            <w:tcW w:w="1728" w:type="pct"/>
            <w:tcBorders>
              <w:top w:val="single" w:color="auto" w:sz="4" w:space="0"/>
            </w:tcBorders>
            <w:shd w:val="clear" w:color="auto" w:fill="auto"/>
            <w:vAlign w:val="center"/>
          </w:tcPr>
          <w:p w14:paraId="6D9782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 xml:space="preserve">本项目情况 </w:t>
            </w:r>
          </w:p>
        </w:tc>
        <w:tc>
          <w:tcPr>
            <w:tcW w:w="298" w:type="pct"/>
            <w:tcBorders>
              <w:top w:val="single" w:color="auto" w:sz="4" w:space="0"/>
              <w:right w:val="single" w:color="auto" w:sz="4" w:space="0"/>
            </w:tcBorders>
            <w:shd w:val="clear" w:color="auto" w:fill="auto"/>
            <w:tcMar>
              <w:left w:w="57" w:type="dxa"/>
              <w:right w:w="57" w:type="dxa"/>
            </w:tcMar>
            <w:vAlign w:val="center"/>
          </w:tcPr>
          <w:p w14:paraId="0F5281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符合性分析</w:t>
            </w:r>
          </w:p>
        </w:tc>
      </w:tr>
      <w:tr w14:paraId="6A37C4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0" w:type="pct"/>
            <w:vMerge w:val="restart"/>
            <w:tcBorders>
              <w:left w:val="single" w:color="auto" w:sz="4" w:space="0"/>
            </w:tcBorders>
            <w:shd w:val="clear" w:color="auto" w:fill="auto"/>
            <w:tcMar>
              <w:left w:w="57" w:type="dxa"/>
              <w:right w:w="57" w:type="dxa"/>
            </w:tcMar>
            <w:vAlign w:val="center"/>
          </w:tcPr>
          <w:p w14:paraId="600620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ZH23052320005</w:t>
            </w:r>
          </w:p>
        </w:tc>
        <w:tc>
          <w:tcPr>
            <w:tcW w:w="333" w:type="pct"/>
            <w:vMerge w:val="restart"/>
            <w:shd w:val="clear" w:color="auto" w:fill="auto"/>
            <w:vAlign w:val="center"/>
          </w:tcPr>
          <w:p w14:paraId="332215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宝清县水环境农业污染重点管控区</w:t>
            </w:r>
          </w:p>
        </w:tc>
        <w:tc>
          <w:tcPr>
            <w:tcW w:w="290" w:type="pct"/>
            <w:vMerge w:val="restart"/>
            <w:shd w:val="clear" w:color="auto" w:fill="auto"/>
            <w:vAlign w:val="center"/>
          </w:tcPr>
          <w:p w14:paraId="5F84A7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重点管控单元</w:t>
            </w:r>
          </w:p>
        </w:tc>
        <w:tc>
          <w:tcPr>
            <w:tcW w:w="338" w:type="pct"/>
            <w:shd w:val="clear" w:color="auto" w:fill="auto"/>
            <w:vAlign w:val="center"/>
          </w:tcPr>
          <w:p w14:paraId="652320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空间布局约束</w:t>
            </w:r>
          </w:p>
        </w:tc>
        <w:tc>
          <w:tcPr>
            <w:tcW w:w="1460" w:type="pct"/>
            <w:shd w:val="clear" w:color="auto" w:fill="auto"/>
            <w:vAlign w:val="center"/>
          </w:tcPr>
          <w:p w14:paraId="16E1EE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执行“1）科学划定畜禽养殖禁养区。2）加快农业结构调整。松嫩平原和三江平原等地下水易受污染地区优先种植需肥需药量低、环境效益突出的农作物；在西部干旱区发展谷子、高粱等耐旱杂粮种植；在北部四、五积温区开展米豆麦轮作，促进化肥需求低的农作物面积恢</w:t>
            </w:r>
          </w:p>
          <w:p w14:paraId="026F11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复性增长。”</w:t>
            </w:r>
            <w:r>
              <w:rPr>
                <w:rFonts w:hint="eastAsia" w:ascii="Times New Roman" w:hAnsi="Times New Roman" w:cs="Times New Roman"/>
                <w:color w:val="FF0000"/>
                <w:sz w:val="21"/>
                <w:szCs w:val="21"/>
                <w:highlight w:val="none"/>
                <w:lang w:val="zh-CN" w:eastAsia="zh-CN"/>
              </w:rPr>
              <w:t>。</w:t>
            </w:r>
          </w:p>
        </w:tc>
        <w:tc>
          <w:tcPr>
            <w:tcW w:w="1728" w:type="pct"/>
            <w:shd w:val="clear" w:color="auto" w:fill="auto"/>
            <w:vAlign w:val="center"/>
          </w:tcPr>
          <w:p w14:paraId="24B0AA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1.本项目</w:t>
            </w:r>
            <w:r>
              <w:rPr>
                <w:rFonts w:hint="eastAsia" w:ascii="Times New Roman" w:hAnsi="Times New Roman" w:cs="Times New Roman"/>
                <w:color w:val="FF0000"/>
                <w:sz w:val="21"/>
                <w:szCs w:val="21"/>
                <w:highlight w:val="none"/>
                <w:lang w:val="en-US" w:eastAsia="zh-CN"/>
              </w:rPr>
              <w:t>为热力生产和供应业，</w:t>
            </w:r>
            <w:r>
              <w:rPr>
                <w:rFonts w:hint="default" w:ascii="Times New Roman" w:hAnsi="Times New Roman" w:cs="Times New Roman"/>
                <w:color w:val="FF0000"/>
                <w:sz w:val="21"/>
                <w:szCs w:val="21"/>
                <w:highlight w:val="none"/>
                <w:lang w:val="en-US" w:eastAsia="zh-CN"/>
              </w:rPr>
              <w:t>不属于畜禽养殖场、养殖小区</w:t>
            </w:r>
            <w:r>
              <w:rPr>
                <w:rFonts w:hint="eastAsia" w:ascii="Times New Roman" w:hAnsi="Times New Roman" w:cs="Times New Roman"/>
                <w:color w:val="FF0000"/>
                <w:sz w:val="21"/>
                <w:szCs w:val="21"/>
                <w:highlight w:val="none"/>
                <w:lang w:val="en-US" w:eastAsia="zh-CN"/>
              </w:rPr>
              <w:t>等</w:t>
            </w:r>
            <w:r>
              <w:rPr>
                <w:rFonts w:hint="default" w:ascii="Times New Roman" w:hAnsi="Times New Roman" w:cs="Times New Roman"/>
                <w:color w:val="FF0000"/>
                <w:sz w:val="21"/>
                <w:szCs w:val="21"/>
                <w:highlight w:val="none"/>
                <w:lang w:val="en-US" w:eastAsia="zh-CN"/>
              </w:rPr>
              <w:t>。</w:t>
            </w:r>
          </w:p>
        </w:tc>
        <w:tc>
          <w:tcPr>
            <w:tcW w:w="298" w:type="pct"/>
            <w:tcBorders>
              <w:right w:val="single" w:color="auto" w:sz="4" w:space="0"/>
            </w:tcBorders>
            <w:shd w:val="clear" w:color="auto" w:fill="auto"/>
            <w:tcMar>
              <w:left w:w="57" w:type="dxa"/>
              <w:right w:w="57" w:type="dxa"/>
            </w:tcMar>
            <w:vAlign w:val="center"/>
          </w:tcPr>
          <w:p w14:paraId="2167D0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符合</w:t>
            </w:r>
          </w:p>
        </w:tc>
      </w:tr>
      <w:tr w14:paraId="3EA950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0" w:type="pct"/>
            <w:vMerge w:val="continue"/>
            <w:tcBorders>
              <w:left w:val="single" w:color="auto" w:sz="4" w:space="0"/>
            </w:tcBorders>
            <w:shd w:val="clear" w:color="auto" w:fill="auto"/>
            <w:tcMar>
              <w:left w:w="57" w:type="dxa"/>
              <w:right w:w="57" w:type="dxa"/>
            </w:tcMar>
            <w:vAlign w:val="center"/>
          </w:tcPr>
          <w:p w14:paraId="1889CE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333" w:type="pct"/>
            <w:vMerge w:val="continue"/>
            <w:shd w:val="clear" w:color="auto" w:fill="auto"/>
            <w:vAlign w:val="center"/>
          </w:tcPr>
          <w:p w14:paraId="4E0726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290" w:type="pct"/>
            <w:vMerge w:val="continue"/>
            <w:shd w:val="clear" w:color="auto" w:fill="auto"/>
            <w:vAlign w:val="center"/>
          </w:tcPr>
          <w:p w14:paraId="31270D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338" w:type="pct"/>
            <w:shd w:val="clear" w:color="auto" w:fill="auto"/>
            <w:vAlign w:val="center"/>
          </w:tcPr>
          <w:p w14:paraId="7C09E2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污染物排放管控</w:t>
            </w:r>
          </w:p>
        </w:tc>
        <w:tc>
          <w:tcPr>
            <w:tcW w:w="1460" w:type="pct"/>
            <w:shd w:val="clear" w:color="auto" w:fill="auto"/>
            <w:vAlign w:val="center"/>
          </w:tcPr>
          <w:p w14:paraId="68D86D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zh-CN" w:eastAsia="zh-CN"/>
              </w:rPr>
            </w:pPr>
            <w:r>
              <w:rPr>
                <w:rFonts w:hint="eastAsia" w:ascii="Times New Roman" w:hAnsi="Times New Roman" w:cs="Times New Roman"/>
                <w:color w:val="FF0000"/>
                <w:sz w:val="21"/>
                <w:szCs w:val="21"/>
                <w:highlight w:val="none"/>
                <w:lang w:val="zh-CN" w:eastAsia="zh-CN"/>
              </w:rPr>
              <w:t>1.支持规模化畜禽养殖场（小区）开展标准化改造和建设，提高畜禽粪污收集和处理机械化水平，实施雨污分流、粪污资源化利用，控制畜禽养殖污染排放。</w:t>
            </w:r>
          </w:p>
          <w:p w14:paraId="5D47D9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zh-CN" w:eastAsia="zh-CN"/>
              </w:rPr>
            </w:pPr>
            <w:r>
              <w:rPr>
                <w:rFonts w:hint="eastAsia" w:ascii="Times New Roman" w:hAnsi="Times New Roman" w:cs="Times New Roman"/>
                <w:color w:val="FF0000"/>
                <w:sz w:val="21"/>
                <w:szCs w:val="21"/>
                <w:highlight w:val="none"/>
                <w:lang w:val="zh-CN" w:eastAsia="zh-CN"/>
              </w:rPr>
              <w:t>2.畜禽养殖户应当及时对畜禽粪便、污水进行收集、贮存、清运，或者进行无害化处理。县级人民政府应当组织对本行政区域的畜禽散养密集区畜禽粪便、污水进行集中处理利用，督促乡镇人民政府建设或者配备污染防治配套设施。</w:t>
            </w:r>
          </w:p>
          <w:p w14:paraId="0BED7F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zh-CN" w:eastAsia="zh-CN"/>
              </w:rPr>
              <w:t>3.全面加强农业面源污染防控，科学合理使用农业投入品，提高使用效率，减少农业内源性污染。</w:t>
            </w:r>
          </w:p>
        </w:tc>
        <w:tc>
          <w:tcPr>
            <w:tcW w:w="1728" w:type="pct"/>
            <w:shd w:val="clear" w:color="auto" w:fill="auto"/>
            <w:vAlign w:val="center"/>
          </w:tcPr>
          <w:p w14:paraId="743370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1.本项目</w:t>
            </w:r>
            <w:r>
              <w:rPr>
                <w:rFonts w:hint="eastAsia" w:ascii="Times New Roman" w:hAnsi="Times New Roman" w:cs="Times New Roman"/>
                <w:color w:val="FF0000"/>
                <w:sz w:val="21"/>
                <w:szCs w:val="21"/>
                <w:highlight w:val="none"/>
                <w:lang w:val="en-US" w:eastAsia="zh-CN"/>
              </w:rPr>
              <w:t>为热力生产和供应业，</w:t>
            </w:r>
            <w:r>
              <w:rPr>
                <w:rFonts w:hint="default" w:ascii="Times New Roman" w:hAnsi="Times New Roman" w:cs="Times New Roman"/>
                <w:color w:val="FF0000"/>
                <w:sz w:val="21"/>
                <w:szCs w:val="21"/>
                <w:highlight w:val="none"/>
                <w:lang w:val="en-US" w:eastAsia="zh-CN"/>
              </w:rPr>
              <w:t>不属于畜禽养殖场、养殖小区</w:t>
            </w:r>
            <w:r>
              <w:rPr>
                <w:rFonts w:hint="eastAsia" w:ascii="Times New Roman" w:hAnsi="Times New Roman" w:cs="Times New Roman"/>
                <w:color w:val="FF0000"/>
                <w:sz w:val="21"/>
                <w:szCs w:val="21"/>
                <w:highlight w:val="none"/>
                <w:lang w:val="en-US" w:eastAsia="zh-CN"/>
              </w:rPr>
              <w:t>等</w:t>
            </w:r>
            <w:r>
              <w:rPr>
                <w:rFonts w:hint="default" w:ascii="Times New Roman" w:hAnsi="Times New Roman" w:cs="Times New Roman"/>
                <w:color w:val="FF0000"/>
                <w:sz w:val="21"/>
                <w:szCs w:val="21"/>
                <w:highlight w:val="none"/>
                <w:lang w:val="en-US" w:eastAsia="zh-CN"/>
              </w:rPr>
              <w:t>。本项目</w:t>
            </w:r>
            <w:r>
              <w:rPr>
                <w:rFonts w:hint="eastAsia" w:ascii="Times New Roman" w:hAnsi="Times New Roman" w:cs="Times New Roman"/>
                <w:color w:val="FF0000"/>
                <w:sz w:val="21"/>
                <w:szCs w:val="21"/>
                <w:highlight w:val="none"/>
                <w:lang w:val="en-US" w:eastAsia="zh-CN"/>
              </w:rPr>
              <w:t>拆除淘汰原有的2台锅炉（46MW），在原址建设2台42MW锅炉，锅炉烟气采用</w:t>
            </w:r>
            <w:r>
              <w:rPr>
                <w:rFonts w:hint="default" w:ascii="Times New Roman" w:hAnsi="Times New Roman" w:cs="Times New Roman"/>
                <w:color w:val="FF0000"/>
                <w:sz w:val="21"/>
                <w:szCs w:val="21"/>
                <w:highlight w:val="none"/>
                <w:lang w:val="en-US" w:eastAsia="zh-CN"/>
              </w:rPr>
              <w:t>“SNCR-SCR联合脱硝+布袋除尘器除尘+氧化镁法脱硫”</w:t>
            </w:r>
            <w:r>
              <w:rPr>
                <w:rFonts w:hint="eastAsia" w:ascii="Times New Roman" w:hAnsi="Times New Roman" w:cs="Times New Roman"/>
                <w:color w:val="FF0000"/>
                <w:sz w:val="21"/>
                <w:szCs w:val="21"/>
                <w:highlight w:val="none"/>
                <w:lang w:val="en-US" w:eastAsia="zh-CN"/>
              </w:rPr>
              <w:t>处理后经100m高烟囱排放。使其满足《锅炉大气污染物排放标准》（GB13271-2014）表2标准限值，同时，本项目锅炉烟气现有措施处理能力优越，预留执行超低排放要求的升级空间。全厂锅炉采用的烟气治理措施均为《工业锅炉污染防治可行技术指南》（HJ1178-2021）中的可行性技术，本项目建成后，既有效地提高了资源、能源利用率，不会造成能源浪费，又能做到烟气排放满足相关标准要求。。</w:t>
            </w:r>
          </w:p>
        </w:tc>
        <w:tc>
          <w:tcPr>
            <w:tcW w:w="298" w:type="pct"/>
            <w:tcBorders>
              <w:right w:val="single" w:color="auto" w:sz="4" w:space="0"/>
            </w:tcBorders>
            <w:shd w:val="clear" w:color="auto" w:fill="auto"/>
            <w:tcMar>
              <w:left w:w="57" w:type="dxa"/>
              <w:right w:w="57" w:type="dxa"/>
            </w:tcMar>
            <w:vAlign w:val="center"/>
          </w:tcPr>
          <w:p w14:paraId="78ED59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符合</w:t>
            </w:r>
          </w:p>
        </w:tc>
      </w:tr>
      <w:tr w14:paraId="256101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0" w:type="pct"/>
            <w:vMerge w:val="continue"/>
            <w:tcBorders>
              <w:left w:val="single" w:color="auto" w:sz="4" w:space="0"/>
            </w:tcBorders>
            <w:shd w:val="clear" w:color="auto" w:fill="auto"/>
            <w:tcMar>
              <w:left w:w="57" w:type="dxa"/>
              <w:right w:w="57" w:type="dxa"/>
            </w:tcMar>
            <w:vAlign w:val="center"/>
          </w:tcPr>
          <w:p w14:paraId="6E8839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333" w:type="pct"/>
            <w:vMerge w:val="continue"/>
            <w:shd w:val="clear" w:color="auto" w:fill="auto"/>
            <w:vAlign w:val="center"/>
          </w:tcPr>
          <w:p w14:paraId="13B4F7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290" w:type="pct"/>
            <w:vMerge w:val="continue"/>
            <w:shd w:val="clear" w:color="auto" w:fill="auto"/>
            <w:vAlign w:val="center"/>
          </w:tcPr>
          <w:p w14:paraId="3A2FF9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338" w:type="pct"/>
            <w:shd w:val="clear" w:color="auto" w:fill="auto"/>
            <w:vAlign w:val="center"/>
          </w:tcPr>
          <w:p w14:paraId="0EEABC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环境风险防控</w:t>
            </w:r>
          </w:p>
        </w:tc>
        <w:tc>
          <w:tcPr>
            <w:tcW w:w="1460" w:type="pct"/>
            <w:shd w:val="clear" w:color="auto" w:fill="auto"/>
            <w:vAlign w:val="center"/>
          </w:tcPr>
          <w:p w14:paraId="6EACA9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w:t>
            </w:r>
          </w:p>
        </w:tc>
        <w:tc>
          <w:tcPr>
            <w:tcW w:w="1728" w:type="pct"/>
            <w:shd w:val="clear" w:color="auto" w:fill="auto"/>
            <w:vAlign w:val="center"/>
          </w:tcPr>
          <w:p w14:paraId="6EBE19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本项目</w:t>
            </w:r>
            <w:r>
              <w:rPr>
                <w:rFonts w:hint="eastAsia" w:ascii="Times New Roman" w:hAnsi="Times New Roman" w:cs="Times New Roman"/>
                <w:color w:val="FF0000"/>
                <w:sz w:val="21"/>
                <w:szCs w:val="21"/>
                <w:highlight w:val="none"/>
                <w:lang w:val="en-US" w:eastAsia="zh-CN"/>
              </w:rPr>
              <w:t>要求企业按照管理要求，及时定期修订突发环境事件应急预案，并按照相关要求进行风险防控。</w:t>
            </w:r>
          </w:p>
        </w:tc>
        <w:tc>
          <w:tcPr>
            <w:tcW w:w="298" w:type="pct"/>
            <w:tcBorders>
              <w:right w:val="single" w:color="auto" w:sz="4" w:space="0"/>
            </w:tcBorders>
            <w:shd w:val="clear" w:color="auto" w:fill="auto"/>
            <w:tcMar>
              <w:left w:w="57" w:type="dxa"/>
              <w:right w:w="57" w:type="dxa"/>
            </w:tcMar>
            <w:vAlign w:val="center"/>
          </w:tcPr>
          <w:p w14:paraId="344555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符合</w:t>
            </w:r>
          </w:p>
        </w:tc>
      </w:tr>
      <w:tr w14:paraId="17ACE3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0" w:type="pct"/>
            <w:vMerge w:val="continue"/>
            <w:tcBorders>
              <w:left w:val="single" w:color="auto" w:sz="4" w:space="0"/>
              <w:bottom w:val="single" w:color="auto" w:sz="4" w:space="0"/>
            </w:tcBorders>
            <w:shd w:val="clear" w:color="auto" w:fill="auto"/>
            <w:tcMar>
              <w:left w:w="57" w:type="dxa"/>
              <w:right w:w="57" w:type="dxa"/>
            </w:tcMar>
            <w:vAlign w:val="center"/>
          </w:tcPr>
          <w:p w14:paraId="219EA7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333" w:type="pct"/>
            <w:vMerge w:val="continue"/>
            <w:tcBorders>
              <w:bottom w:val="single" w:color="auto" w:sz="4" w:space="0"/>
            </w:tcBorders>
            <w:shd w:val="clear" w:color="auto" w:fill="auto"/>
            <w:vAlign w:val="center"/>
          </w:tcPr>
          <w:p w14:paraId="6B2AEE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290" w:type="pct"/>
            <w:vMerge w:val="continue"/>
            <w:tcBorders>
              <w:bottom w:val="single" w:color="auto" w:sz="4" w:space="0"/>
            </w:tcBorders>
            <w:shd w:val="clear" w:color="auto" w:fill="auto"/>
            <w:vAlign w:val="center"/>
          </w:tcPr>
          <w:p w14:paraId="7FBF74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338" w:type="pct"/>
            <w:tcBorders>
              <w:bottom w:val="single" w:color="auto" w:sz="4" w:space="0"/>
            </w:tcBorders>
            <w:shd w:val="clear" w:color="auto" w:fill="auto"/>
            <w:vAlign w:val="center"/>
          </w:tcPr>
          <w:p w14:paraId="19E6D0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资源利用效率要求</w:t>
            </w:r>
          </w:p>
        </w:tc>
        <w:tc>
          <w:tcPr>
            <w:tcW w:w="1460" w:type="pct"/>
            <w:tcBorders>
              <w:bottom w:val="single" w:color="auto" w:sz="4" w:space="0"/>
            </w:tcBorders>
            <w:shd w:val="clear" w:color="auto" w:fill="auto"/>
            <w:vAlign w:val="center"/>
          </w:tcPr>
          <w:p w14:paraId="75229F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w:t>
            </w:r>
          </w:p>
        </w:tc>
        <w:tc>
          <w:tcPr>
            <w:tcW w:w="1728" w:type="pct"/>
            <w:tcBorders>
              <w:bottom w:val="single" w:color="auto" w:sz="4" w:space="0"/>
            </w:tcBorders>
            <w:shd w:val="clear" w:color="auto" w:fill="auto"/>
            <w:vAlign w:val="center"/>
          </w:tcPr>
          <w:p w14:paraId="3A786C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1.</w:t>
            </w:r>
            <w:r>
              <w:rPr>
                <w:rFonts w:hint="default" w:ascii="Times New Roman" w:hAnsi="Times New Roman" w:cs="Times New Roman"/>
                <w:color w:val="FF0000"/>
                <w:sz w:val="21"/>
                <w:szCs w:val="21"/>
                <w:highlight w:val="none"/>
                <w:lang w:val="en-US" w:eastAsia="zh-CN"/>
              </w:rPr>
              <w:t>本项目生产废水均回用，不外排。</w:t>
            </w:r>
            <w:r>
              <w:rPr>
                <w:rFonts w:hint="eastAsia" w:ascii="Times New Roman" w:hAnsi="Times New Roman" w:cs="Times New Roman"/>
                <w:color w:val="FF0000"/>
                <w:sz w:val="21"/>
                <w:szCs w:val="21"/>
                <w:highlight w:val="none"/>
                <w:lang w:val="en-US" w:eastAsia="zh-CN"/>
              </w:rPr>
              <w:t>厂区现有生活污水经市政污水管网排入八五二农场污水处理厂进行处理达标后排放。</w:t>
            </w:r>
          </w:p>
          <w:p w14:paraId="5AD48B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2.</w:t>
            </w:r>
            <w:r>
              <w:rPr>
                <w:rFonts w:hint="default" w:ascii="Times New Roman" w:hAnsi="Times New Roman" w:cs="Times New Roman"/>
                <w:color w:val="FF0000"/>
                <w:sz w:val="21"/>
                <w:szCs w:val="21"/>
                <w:highlight w:val="none"/>
                <w:lang w:val="en-US" w:eastAsia="zh-CN"/>
              </w:rPr>
              <w:t>本项目公共建筑设置了节水器具</w:t>
            </w:r>
            <w:r>
              <w:rPr>
                <w:rFonts w:hint="eastAsia" w:ascii="Times New Roman" w:hAnsi="Times New Roman" w:cs="Times New Roman"/>
                <w:color w:val="FF0000"/>
                <w:sz w:val="21"/>
                <w:szCs w:val="21"/>
                <w:highlight w:val="none"/>
                <w:lang w:val="en-US" w:eastAsia="zh-CN"/>
              </w:rPr>
              <w:t>。</w:t>
            </w:r>
          </w:p>
          <w:p w14:paraId="1913A2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3.本项目</w:t>
            </w:r>
            <w:r>
              <w:rPr>
                <w:rFonts w:hint="default" w:ascii="Times New Roman" w:hAnsi="Times New Roman" w:cs="Times New Roman"/>
                <w:color w:val="FF0000"/>
                <w:sz w:val="21"/>
                <w:szCs w:val="21"/>
                <w:highlight w:val="none"/>
                <w:lang w:val="en-US" w:eastAsia="zh-CN"/>
              </w:rPr>
              <w:t>冬季</w:t>
            </w:r>
            <w:r>
              <w:rPr>
                <w:rFonts w:hint="eastAsia" w:ascii="Times New Roman" w:hAnsi="Times New Roman" w:cs="Times New Roman"/>
                <w:color w:val="FF0000"/>
                <w:sz w:val="21"/>
                <w:szCs w:val="21"/>
                <w:highlight w:val="none"/>
                <w:lang w:val="en-US" w:eastAsia="zh-CN"/>
              </w:rPr>
              <w:t>依托自身</w:t>
            </w:r>
            <w:r>
              <w:rPr>
                <w:rFonts w:hint="default" w:ascii="Times New Roman" w:hAnsi="Times New Roman" w:cs="Times New Roman"/>
                <w:color w:val="FF0000"/>
                <w:sz w:val="21"/>
                <w:szCs w:val="21"/>
                <w:highlight w:val="none"/>
                <w:lang w:val="en-US" w:eastAsia="zh-CN"/>
              </w:rPr>
              <w:t>供暖</w:t>
            </w:r>
            <w:r>
              <w:rPr>
                <w:rFonts w:hint="eastAsia" w:ascii="Times New Roman" w:hAnsi="Times New Roman" w:cs="Times New Roman"/>
                <w:color w:val="FF0000"/>
                <w:sz w:val="21"/>
                <w:szCs w:val="21"/>
                <w:highlight w:val="none"/>
                <w:lang w:val="en-US" w:eastAsia="zh-CN"/>
              </w:rPr>
              <w:t>，</w:t>
            </w:r>
            <w:r>
              <w:rPr>
                <w:rFonts w:hint="default" w:ascii="Times New Roman" w:hAnsi="Times New Roman" w:cs="Times New Roman"/>
                <w:color w:val="FF0000"/>
                <w:sz w:val="21"/>
                <w:szCs w:val="21"/>
                <w:highlight w:val="none"/>
                <w:lang w:val="en-US" w:eastAsia="zh-CN"/>
              </w:rPr>
              <w:t>本工程</w:t>
            </w:r>
            <w:r>
              <w:rPr>
                <w:rFonts w:hint="eastAsia" w:ascii="Times New Roman" w:hAnsi="Times New Roman" w:cs="Times New Roman"/>
                <w:color w:val="FF0000"/>
                <w:sz w:val="21"/>
                <w:szCs w:val="21"/>
                <w:highlight w:val="none"/>
                <w:lang w:val="en-US" w:eastAsia="zh-CN"/>
              </w:rPr>
              <w:t>建成后总体热效率提高，</w:t>
            </w:r>
            <w:r>
              <w:rPr>
                <w:rFonts w:hint="default" w:ascii="Times New Roman" w:hAnsi="Times New Roman" w:cs="Times New Roman"/>
                <w:color w:val="FF0000"/>
                <w:sz w:val="21"/>
                <w:szCs w:val="21"/>
                <w:highlight w:val="none"/>
                <w:lang w:val="en-US" w:eastAsia="zh-CN"/>
              </w:rPr>
              <w:t>有效地提高了资源、能源利用率</w:t>
            </w:r>
            <w:r>
              <w:rPr>
                <w:rFonts w:hint="eastAsia" w:ascii="Times New Roman" w:hAnsi="Times New Roman" w:cs="Times New Roman"/>
                <w:color w:val="FF0000"/>
                <w:sz w:val="21"/>
                <w:szCs w:val="21"/>
                <w:highlight w:val="none"/>
                <w:lang w:val="en-US" w:eastAsia="zh-CN"/>
              </w:rPr>
              <w:t>。</w:t>
            </w:r>
          </w:p>
        </w:tc>
        <w:tc>
          <w:tcPr>
            <w:tcW w:w="298" w:type="pct"/>
            <w:tcBorders>
              <w:bottom w:val="single" w:color="auto" w:sz="4" w:space="0"/>
              <w:right w:val="single" w:color="auto" w:sz="4" w:space="0"/>
            </w:tcBorders>
            <w:shd w:val="clear" w:color="auto" w:fill="auto"/>
            <w:tcMar>
              <w:left w:w="57" w:type="dxa"/>
              <w:right w:w="57" w:type="dxa"/>
            </w:tcMar>
            <w:vAlign w:val="center"/>
          </w:tcPr>
          <w:p w14:paraId="3B770F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符合</w:t>
            </w:r>
          </w:p>
        </w:tc>
      </w:tr>
    </w:tbl>
    <w:p w14:paraId="0783470F">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14:paraId="134BF9E6">
      <w:pPr>
        <w:pStyle w:val="38"/>
        <w:keepNext w:val="0"/>
        <w:keepLines w:val="0"/>
        <w:pageBreakBefore w:val="0"/>
        <w:widowControl w:val="0"/>
        <w:kinsoku/>
        <w:wordWrap/>
        <w:overflowPunct/>
        <w:topLinePunct/>
        <w:autoSpaceDE/>
        <w:autoSpaceDN/>
        <w:bidi w:val="0"/>
        <w:adjustRightInd w:val="0"/>
        <w:snapToGrid w:val="0"/>
        <w:spacing w:line="500" w:lineRule="exact"/>
        <w:jc w:val="both"/>
        <w:textAlignment w:val="center"/>
        <w:rPr>
          <w:rFonts w:hint="default" w:ascii="Times New Roman" w:hAnsi="Times New Roman" w:eastAsia="宋体" w:cs="Times New Roman"/>
          <w:snapToGrid/>
          <w:color w:val="FF0000"/>
          <w:kern w:val="2"/>
          <w:sz w:val="24"/>
          <w:szCs w:val="24"/>
          <w:lang w:val="en-US" w:eastAsia="zh-CN"/>
        </w:rPr>
      </w:pPr>
      <w:bookmarkStart w:id="19" w:name="_Toc20495"/>
      <w:bookmarkStart w:id="20" w:name="_Toc107238076"/>
      <w:bookmarkStart w:id="21" w:name="_Toc7759"/>
      <w:bookmarkStart w:id="22" w:name="_Toc105659861"/>
      <w:bookmarkStart w:id="23" w:name="_Toc25927"/>
      <w:bookmarkStart w:id="24" w:name="_Toc32436"/>
      <w:bookmarkStart w:id="25" w:name="_Toc105659850"/>
      <w:bookmarkStart w:id="26" w:name="_Toc975"/>
      <w:bookmarkStart w:id="27" w:name="_Toc107238065"/>
      <w:r>
        <w:rPr>
          <w:rFonts w:hint="eastAsia" w:ascii="Times New Roman" w:hAnsi="Times New Roman" w:eastAsia="宋体" w:cs="Times New Roman"/>
          <w:snapToGrid/>
          <w:color w:val="FF0000"/>
          <w:kern w:val="2"/>
          <w:sz w:val="24"/>
          <w:szCs w:val="24"/>
          <w:lang w:val="en-US" w:eastAsia="zh-CN"/>
        </w:rPr>
        <w:t>北大荒集团八五二农场两供两治一业供热改造项目位置涉及双鸭山市宝清县；项目占地总面积0.03平方公里。与生态保护红线交集面积为0.00平方公里，占项目占地面积的0.00%。与自然保护地整合优化方案数据交集面积为0.00平方公里，占项目占地面积的0.00%。保护地涉及等类型。与自然保护地（现状管理数据）交集面积为0.00平方公里，占项目占地面积的0.00%。保护地涉及等类型。与饮用水水源保护区交集面积为0.00平方公里，占项目占地面积的0.00%。与国家级水产种质资源保护区交集面积为0.00平方公里，占项目占地面积的0.00%。与环境管控单元优先保护单元交集面积为0.00平方公里，占项目占地面积的0.00%；与重点管控单元交集面积为0.03平方公里，占项目占地面积的100.00%；一般管控单元交集面积为0.00平方公里，占项目占地面积的0.00%。与地下水环境优先保护区交集面积为0.00平方公里，占项目占地面积的0.00%；与地下水环境重点管控区交集面积为0.00平方公里，占项目占地面积的0.00%，与地下水环境一般管控区交集面积为0.03平方公里，占项目占地面积的100.00%。</w:t>
      </w:r>
    </w:p>
    <w:p w14:paraId="503719E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rPr>
      </w:pPr>
      <w:r>
        <w:rPr>
          <w:rFonts w:hint="eastAsia" w:ascii="Times New Roman" w:hAnsi="Times New Roman" w:eastAsia="宋体" w:cs="Times New Roman"/>
          <w:b/>
          <w:bCs/>
          <w:color w:val="auto"/>
          <w:sz w:val="28"/>
          <w:szCs w:val="28"/>
          <w:lang w:val="en-US" w:eastAsia="zh-CN"/>
        </w:rPr>
        <w:t>1.</w:t>
      </w:r>
      <w:r>
        <w:rPr>
          <w:rFonts w:hint="eastAsia" w:ascii="Times New Roman" w:hAnsi="Times New Roman"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 xml:space="preserve">.3 </w:t>
      </w:r>
      <w:r>
        <w:rPr>
          <w:rFonts w:hint="default" w:ascii="Times New Roman" w:hAnsi="Times New Roman" w:eastAsia="宋体" w:cs="Times New Roman"/>
          <w:b/>
          <w:bCs/>
          <w:color w:val="auto"/>
          <w:sz w:val="28"/>
          <w:szCs w:val="28"/>
        </w:rPr>
        <w:t>选址合理性分析</w:t>
      </w:r>
      <w:bookmarkEnd w:id="19"/>
      <w:bookmarkEnd w:id="20"/>
      <w:bookmarkEnd w:id="21"/>
      <w:bookmarkEnd w:id="22"/>
      <w:bookmarkEnd w:id="23"/>
      <w:bookmarkEnd w:id="24"/>
    </w:p>
    <w:p w14:paraId="5616922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本项目位于</w:t>
      </w:r>
      <w:r>
        <w:rPr>
          <w:rFonts w:hint="eastAsia" w:ascii="Times New Roman" w:hAnsi="Times New Roman" w:eastAsia="宋体" w:cs="Times New Roman"/>
          <w:color w:val="auto"/>
          <w:szCs w:val="24"/>
          <w:lang w:val="zh-CN"/>
        </w:rPr>
        <w:t>位于黑龙江省宝清县红兴隆管理局八五二农场场部</w:t>
      </w:r>
      <w:r>
        <w:rPr>
          <w:rFonts w:hint="eastAsia"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改造热源</w:t>
      </w:r>
      <w:r>
        <w:rPr>
          <w:rFonts w:hint="eastAsia" w:ascii="Times New Roman" w:hAnsi="Times New Roman" w:eastAsia="宋体" w:cs="Times New Roman"/>
          <w:color w:val="auto"/>
          <w:szCs w:val="24"/>
        </w:rPr>
        <w:t>位于</w:t>
      </w:r>
      <w:r>
        <w:rPr>
          <w:rFonts w:hint="eastAsia" w:ascii="Times New Roman" w:hAnsi="Times New Roman" w:eastAsia="宋体" w:cs="Times New Roman"/>
          <w:color w:val="auto"/>
          <w:szCs w:val="24"/>
          <w:lang w:val="en-US" w:eastAsia="zh-CN"/>
        </w:rPr>
        <w:t>现有热源厂锅炉房内，属于</w:t>
      </w:r>
      <w:r>
        <w:rPr>
          <w:rFonts w:hint="eastAsia" w:ascii="Times New Roman" w:hAnsi="Times New Roman" w:eastAsia="宋体" w:cs="Times New Roman"/>
          <w:color w:val="auto"/>
          <w:szCs w:val="24"/>
        </w:rPr>
        <w:t>城区冬季主导风向的下风向，故锅炉房的运行对城区环境影响较小，</w:t>
      </w:r>
      <w:r>
        <w:rPr>
          <w:rFonts w:hint="eastAsia" w:ascii="Times New Roman" w:hAnsi="Times New Roman" w:eastAsia="宋体" w:cs="Times New Roman"/>
          <w:color w:val="auto"/>
          <w:szCs w:val="24"/>
          <w:lang w:val="en-US" w:eastAsia="zh-CN"/>
        </w:rPr>
        <w:t>不新增占地。</w:t>
      </w:r>
      <w:r>
        <w:rPr>
          <w:rFonts w:hint="eastAsia" w:ascii="Times New Roman" w:hAnsi="Times New Roman" w:eastAsia="宋体" w:cs="Times New Roman"/>
          <w:color w:val="auto"/>
          <w:szCs w:val="24"/>
        </w:rPr>
        <w:t>厂界</w:t>
      </w:r>
      <w:r>
        <w:rPr>
          <w:rFonts w:hint="eastAsia" w:ascii="Times New Roman" w:hAnsi="Times New Roman" w:eastAsia="宋体" w:cs="Times New Roman"/>
          <w:color w:val="auto"/>
          <w:szCs w:val="24"/>
          <w:lang w:val="zh-CN"/>
        </w:rPr>
        <w:t>东侧为耕地，西侧为平房区，南侧为耕地，北侧为平房区</w:t>
      </w:r>
      <w:r>
        <w:rPr>
          <w:rFonts w:hint="eastAsia" w:ascii="Times New Roman" w:hAnsi="Times New Roman" w:eastAsia="宋体" w:cs="Times New Roman"/>
          <w:color w:val="auto"/>
          <w:szCs w:val="24"/>
        </w:rPr>
        <w:t>，本项目选址不属于国家公园、自然保护区、风景名胜区、世界文化和自然遗产地、海洋特别保护区、饮用水水源保护区；永久基本农田、基本草原、自然公园（森林公园、地质公园、海洋公园等）、重要湿地、天然林，重点保护野生动物栖息地，重点保护野生植物生长繁殖地，重要水生生物的自然产卵场、索饵场、越冬场和洄游通道，天然渔场等环境敏感区。</w:t>
      </w:r>
    </w:p>
    <w:p w14:paraId="6FC15E2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szCs w:val="24"/>
          <w:lang w:bidi="ar"/>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处理后经100m高烟囱排放。项目采取上述废气污染防治措施后，全厂锅炉烟气污染物排放浓度满足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预留执行超低排放要求的升级空间。即</w:t>
      </w:r>
      <w:r>
        <w:rPr>
          <w:rFonts w:hint="default" w:ascii="Times New Roman" w:hAnsi="Times New Roman" w:eastAsia="宋体" w:cs="Times New Roman"/>
          <w:color w:val="FF0000"/>
          <w:szCs w:val="24"/>
        </w:rPr>
        <w:t>执行《关于印发&lt;全面实施燃煤电厂超低排放和节能改造工作方案&gt;的通知》（环发〔2015〕164号）要求，达到超低排放（在基准氧含量</w:t>
      </w:r>
      <w:r>
        <w:rPr>
          <w:rFonts w:hint="eastAsia" w:ascii="Times New Roman" w:hAnsi="Times New Roman" w:eastAsia="宋体" w:cs="Times New Roman"/>
          <w:color w:val="FF0000"/>
          <w:szCs w:val="24"/>
          <w:lang w:val="en-US" w:eastAsia="zh-CN"/>
        </w:rPr>
        <w:t>9</w:t>
      </w:r>
      <w:r>
        <w:rPr>
          <w:rFonts w:hint="default" w:ascii="Times New Roman" w:hAnsi="Times New Roman" w:eastAsia="宋体" w:cs="Times New Roman"/>
          <w:color w:val="FF0000"/>
          <w:szCs w:val="24"/>
        </w:rPr>
        <w:t>%条件下</w:t>
      </w:r>
      <w:r>
        <w:rPr>
          <w:rFonts w:hint="eastAsia" w:ascii="Times New Roman" w:hAnsi="Times New Roman" w:eastAsia="宋体" w:cs="Times New Roman"/>
          <w:color w:val="auto"/>
          <w:szCs w:val="24"/>
          <w:lang w:val="en-US" w:eastAsia="zh-CN"/>
        </w:rPr>
        <w:t>，烟尘、SO</w:t>
      </w:r>
      <w:r>
        <w:rPr>
          <w:rFonts w:hint="eastAsia" w:ascii="Times New Roman" w:hAnsi="Times New Roman" w:eastAsia="宋体" w:cs="Times New Roman"/>
          <w:color w:val="auto"/>
          <w:szCs w:val="24"/>
          <w:vertAlign w:val="subscript"/>
          <w:lang w:val="en-US" w:eastAsia="zh-CN"/>
        </w:rPr>
        <w:t>2</w:t>
      </w:r>
      <w:r>
        <w:rPr>
          <w:rFonts w:hint="eastAsia" w:ascii="Times New Roman" w:hAnsi="Times New Roman" w:eastAsia="宋体" w:cs="Times New Roman"/>
          <w:color w:val="auto"/>
          <w:szCs w:val="24"/>
          <w:lang w:val="en-US" w:eastAsia="zh-CN"/>
        </w:rPr>
        <w:t>、NO</w:t>
      </w:r>
      <w:r>
        <w:rPr>
          <w:rFonts w:hint="eastAsia" w:ascii="Times New Roman" w:hAnsi="Times New Roman" w:eastAsia="宋体" w:cs="Times New Roman"/>
          <w:color w:val="auto"/>
          <w:szCs w:val="24"/>
          <w:vertAlign w:val="subscript"/>
          <w:lang w:val="en-US" w:eastAsia="zh-CN"/>
        </w:rPr>
        <w:t>x</w:t>
      </w:r>
      <w:r>
        <w:rPr>
          <w:rFonts w:hint="eastAsia" w:ascii="Times New Roman" w:hAnsi="Times New Roman" w:eastAsia="宋体" w:cs="Times New Roman"/>
          <w:color w:val="auto"/>
          <w:szCs w:val="24"/>
          <w:lang w:val="en-US" w:eastAsia="zh-CN"/>
        </w:rPr>
        <w:t>排放浓度分别不高于10mg/m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、35mg/m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、50mg/m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）要求。</w:t>
      </w:r>
      <w:r>
        <w:rPr>
          <w:rFonts w:ascii="Times New Roman" w:hAnsi="Times New Roman" w:eastAsia="宋体" w:cs="Times New Roman"/>
          <w:color w:val="auto"/>
          <w:szCs w:val="24"/>
        </w:rPr>
        <w:t>通过预测</w:t>
      </w:r>
      <w:r>
        <w:rPr>
          <w:rFonts w:hint="eastAsia" w:ascii="Times New Roman" w:hAnsi="Times New Roman" w:eastAsia="宋体" w:cs="Times New Roman"/>
          <w:color w:val="auto"/>
          <w:szCs w:val="24"/>
          <w:lang w:val="en-US" w:eastAsia="zh-CN"/>
        </w:rPr>
        <w:t>章节结果</w:t>
      </w:r>
      <w:r>
        <w:rPr>
          <w:rFonts w:ascii="Times New Roman" w:hAnsi="Times New Roman" w:eastAsia="宋体" w:cs="Times New Roman"/>
          <w:color w:val="auto"/>
          <w:szCs w:val="24"/>
        </w:rPr>
        <w:t>表明，本项目通过配套</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w:t>
      </w:r>
      <w:r>
        <w:rPr>
          <w:rFonts w:ascii="Times New Roman" w:hAnsi="Times New Roman" w:eastAsia="宋体" w:cs="Times New Roman"/>
          <w:color w:val="auto"/>
          <w:szCs w:val="24"/>
        </w:rPr>
        <w:t>，大气污染物占标率很小，对环境影响可接受。通过落实环保措施并考虑风向不利因素前提下，对环境空气影响可接受。</w:t>
      </w:r>
    </w:p>
    <w:p w14:paraId="7555431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szCs w:val="24"/>
        </w:rPr>
      </w:pPr>
      <w:r>
        <w:rPr>
          <w:rFonts w:hint="eastAsia" w:ascii="Times New Roman" w:hAnsi="Times New Roman" w:eastAsia="宋体" w:cs="Times New Roman"/>
          <w:color w:val="auto"/>
          <w:szCs w:val="24"/>
          <w:lang w:val="en-US" w:eastAsia="zh-CN"/>
        </w:rPr>
        <w:t>本项目不新增员工，不新增生活污水。厂区现有生活污水各污染物排放浓度满足《污水综合排放标准》（GB8978-1996）三级标准要求，</w:t>
      </w:r>
      <w:r>
        <w:rPr>
          <w:rFonts w:hint="default" w:ascii="Times New Roman" w:hAnsi="Times New Roman" w:eastAsia="宋体" w:cs="Times New Roman"/>
          <w:color w:val="auto"/>
          <w:szCs w:val="24"/>
          <w:lang w:val="en-US" w:eastAsia="zh-CN"/>
        </w:rPr>
        <w:t>经市政污水管网排入八五二农场污水处理厂处理，经处理后污水排放浓度达到《城镇污水处理厂污染物排放标准》（GB18918-2002）一级A标准后排入蛤蟆通河</w:t>
      </w:r>
      <w:r>
        <w:rPr>
          <w:rFonts w:hint="eastAsia" w:ascii="Times New Roman" w:hAnsi="Times New Roman" w:eastAsia="宋体" w:cs="Times New Roman"/>
          <w:color w:val="auto"/>
          <w:szCs w:val="24"/>
          <w:lang w:val="en-US" w:eastAsia="zh-CN"/>
        </w:rPr>
        <w:t>。本项目运营期锅炉用水来自市政管网自来水，锅炉排污水风机冷却水等生产废水全部回用于脱硫及灰渣降尘用水等，不外排。</w:t>
      </w:r>
      <w:r>
        <w:rPr>
          <w:rFonts w:ascii="Times New Roman" w:hAnsi="Times New Roman" w:eastAsia="宋体" w:cs="Times New Roman"/>
          <w:color w:val="auto"/>
          <w:szCs w:val="24"/>
        </w:rPr>
        <w:t>因此从地表水环境保护角度分析，建设可行。</w:t>
      </w:r>
    </w:p>
    <w:p w14:paraId="108B209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zCs w:val="24"/>
          <w:lang w:val="en-US" w:eastAsia="zh-CN"/>
        </w:rPr>
      </w:pPr>
      <w:r>
        <w:rPr>
          <w:rFonts w:hint="default" w:ascii="Times New Roman" w:hAnsi="Times New Roman" w:eastAsia="宋体" w:cs="Times New Roman"/>
          <w:color w:val="auto"/>
          <w:szCs w:val="24"/>
          <w:lang w:val="en-US" w:eastAsia="zh-CN"/>
        </w:rPr>
        <w:t>根据声环境质量现状监测数据，本项目所在区域声环境质量较好，满足《声环境质量标准》（GB3096-2008）表1中</w:t>
      </w:r>
      <w:r>
        <w:rPr>
          <w:rFonts w:hint="eastAsia" w:ascii="Times New Roman" w:hAnsi="Times New Roman" w:eastAsia="宋体" w:cs="Times New Roman"/>
          <w:color w:val="auto"/>
          <w:szCs w:val="24"/>
          <w:lang w:val="en-US" w:eastAsia="zh-CN"/>
        </w:rPr>
        <w:t>2类</w:t>
      </w:r>
      <w:r>
        <w:rPr>
          <w:rFonts w:hint="default" w:ascii="Times New Roman" w:hAnsi="Times New Roman" w:eastAsia="宋体" w:cs="Times New Roman"/>
          <w:color w:val="auto"/>
          <w:szCs w:val="24"/>
          <w:lang w:val="en-US" w:eastAsia="zh-CN"/>
        </w:rPr>
        <w:t>标准，具有一定的声环境容量。通过噪声预测结果分析可知，本项目运行期间厂界噪声达标，对区域声环境质量影响很小。</w:t>
      </w:r>
    </w:p>
    <w:p w14:paraId="6E5EBAB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zCs w:val="24"/>
          <w:lang w:val="en-US" w:eastAsia="zh-CN"/>
        </w:rPr>
      </w:pPr>
      <w:r>
        <w:rPr>
          <w:rFonts w:hint="default" w:ascii="Times New Roman" w:hAnsi="Times New Roman" w:eastAsia="宋体" w:cs="Times New Roman"/>
          <w:color w:val="auto"/>
          <w:szCs w:val="24"/>
          <w:lang w:val="en-US" w:eastAsia="zh-CN"/>
        </w:rPr>
        <w:t>综上所述，本项目</w:t>
      </w:r>
      <w:r>
        <w:rPr>
          <w:rFonts w:hint="eastAsia" w:ascii="Times New Roman" w:hAnsi="Times New Roman" w:eastAsia="宋体" w:cs="Times New Roman"/>
          <w:color w:val="auto"/>
          <w:szCs w:val="24"/>
          <w:lang w:val="en-US" w:eastAsia="zh-CN"/>
        </w:rPr>
        <w:t>选址从环境角度分析是可以接受的，</w:t>
      </w:r>
      <w:r>
        <w:rPr>
          <w:rFonts w:hint="default" w:ascii="Times New Roman" w:hAnsi="Times New Roman" w:eastAsia="宋体" w:cs="Times New Roman"/>
          <w:color w:val="auto"/>
          <w:szCs w:val="24"/>
          <w:lang w:val="en-US" w:eastAsia="zh-CN"/>
        </w:rPr>
        <w:t>选址是合理的。</w:t>
      </w:r>
      <w:bookmarkStart w:id="28" w:name="_Toc745"/>
      <w:bookmarkStart w:id="29" w:name="_Toc5338"/>
      <w:bookmarkStart w:id="30" w:name="_Toc13323"/>
      <w:bookmarkStart w:id="31" w:name="_Toc31343"/>
    </w:p>
    <w:bookmarkEnd w:id="28"/>
    <w:bookmarkEnd w:id="29"/>
    <w:bookmarkEnd w:id="30"/>
    <w:bookmarkEnd w:id="31"/>
    <w:p w14:paraId="08B12B9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2" w:name="_Toc20403"/>
      <w:bookmarkStart w:id="33" w:name="_Toc105659859"/>
      <w:bookmarkStart w:id="34" w:name="_Toc11197"/>
      <w:bookmarkStart w:id="35" w:name="_Toc811"/>
      <w:bookmarkStart w:id="36" w:name="_Toc107238074"/>
      <w:bookmarkStart w:id="37" w:name="_Toc21616"/>
      <w:r>
        <w:rPr>
          <w:rFonts w:hint="eastAsia" w:ascii="Times New Roman" w:hAnsi="Times New Roman" w:cs="Times New Roman"/>
          <w:b/>
          <w:bCs/>
          <w:color w:val="auto"/>
          <w:sz w:val="28"/>
          <w:szCs w:val="28"/>
          <w:lang w:val="en-US" w:eastAsia="zh-CN"/>
        </w:rPr>
        <w:t xml:space="preserve">1.4.4 </w:t>
      </w:r>
      <w:r>
        <w:rPr>
          <w:rFonts w:hint="eastAsia" w:ascii="Times New Roman" w:hAnsi="Times New Roman" w:eastAsia="宋体" w:cs="Times New Roman"/>
          <w:b/>
          <w:bCs/>
          <w:color w:val="auto"/>
          <w:sz w:val="28"/>
          <w:szCs w:val="28"/>
          <w:lang w:val="en-US" w:eastAsia="zh-CN"/>
        </w:rPr>
        <w:t>与《环境空气细颗粒物污染物污染综合防治技术政策》符合性分析</w:t>
      </w:r>
      <w:bookmarkEnd w:id="32"/>
      <w:bookmarkEnd w:id="33"/>
      <w:bookmarkEnd w:id="34"/>
      <w:bookmarkEnd w:id="35"/>
      <w:bookmarkEnd w:id="36"/>
      <w:bookmarkEnd w:id="37"/>
    </w:p>
    <w:p w14:paraId="471FEB0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根据《环境空气细颗粒物污染物污染综合防治技术政策》中“三、防治工业污染 （十三）对于排放细颗粒物的工业污染源，应按照生产工艺、排放方式和烟（废）气组成的特点，选取适用的污染防治技术。工业污染源有组织排放的颗粒物，宜采取袋除尘、电袋除尘、电袋除尘等高效除尘技术，鼓励火电机组和大型燃煤锅炉采用湿式电袋除尘等新技术”、“五、防治扬尘污染（二十二）扬尘污染源应以道路扬尘、施工扬尘、粉状物料贮存场扬尘为防治重点。开展城市扬尘综合整治，或适当采用地面硬化措施，遏止扬尘污染。（二十三）对各种施工工地、各种粉状物料贮存场采取设置围挡墙、防尘网和喷洒抑尘剂等有效的防尘、抑尘措施，防止颗粒物逸散。”“六、防治生活污染（二十八）在城市郊区和农村地区，推广使用清洁能源和高效节能锅炉，有条件的地区宜发展集中供暖或地热等采暖方式，以替代小型燃煤、燃油取暖炉，减轻面源污染。”要求。</w:t>
      </w:r>
    </w:p>
    <w:p w14:paraId="5D9B1A9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符合性分析：本项目拆除淘汰原有的2台锅炉（46MW），在原址建设2台42MW锅炉，锅炉烟气采用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施工区地面洒水，施工运输时对运输车辆加盖苫布，选择远离人群密集区的形成路线，并在城区内运输时减速慢行，防治颗粒物逸散。通过采取上述废气污染防治措施后，施工扬尘浓度贡献值满足《大气污染物综合排放标准》（GB16297-1996）表2规定的颗粒物无组织排放监控浓度限值。综合分析，本项目采取的污染防治措施符合《环境空气细颗粒物污染物污染综合防治技术政策》要求。</w:t>
      </w:r>
    </w:p>
    <w:p w14:paraId="6438A2C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8" w:name="_Toc18762"/>
      <w:bookmarkStart w:id="39" w:name="_Toc15371"/>
      <w:bookmarkStart w:id="40" w:name="_Toc27217"/>
      <w:r>
        <w:rPr>
          <w:rFonts w:hint="eastAsia" w:ascii="Times New Roman" w:hAnsi="Times New Roman" w:cs="Times New Roman"/>
          <w:b/>
          <w:bCs/>
          <w:color w:val="auto"/>
          <w:sz w:val="28"/>
          <w:szCs w:val="28"/>
          <w:lang w:val="en-US" w:eastAsia="zh-CN"/>
        </w:rPr>
        <w:t xml:space="preserve">1.4.5 </w:t>
      </w:r>
      <w:r>
        <w:rPr>
          <w:rFonts w:hint="eastAsia" w:ascii="Times New Roman" w:hAnsi="Times New Roman" w:eastAsia="宋体" w:cs="Times New Roman"/>
          <w:b/>
          <w:bCs/>
          <w:color w:val="auto"/>
          <w:sz w:val="28"/>
          <w:szCs w:val="28"/>
          <w:lang w:val="en-US" w:eastAsia="zh-CN"/>
        </w:rPr>
        <w:t>与《粉煤灰综合利用管理办法》（国家发改委令第19号）符合性分析</w:t>
      </w:r>
      <w:bookmarkEnd w:id="38"/>
      <w:bookmarkEnd w:id="39"/>
      <w:bookmarkEnd w:id="40"/>
    </w:p>
    <w:p w14:paraId="1747D94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根据《粉煤灰综合利用管理办法》相关文件内容：“第十条 综合利用方案中涉及粉煤灰存储、装运的设施和装备以及产灰单位自行建设粉煤灰综合利用工程的要与主体工程同时设计、同时施工、同时建成，综合利用中涉及为其他单位提供粉煤灰的，用灰单位应符合国家产业政策且具备相应的处理能力。</w:t>
      </w:r>
    </w:p>
    <w:p w14:paraId="37663FE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第十一条 新建电厂应综合考虑周边粉煤灰利用能力，以及节约土地、防止环境污染，避免建设永久性粉煤灰堆场（库），确需建设的，原则上占地规模不超过3年储灰量设计。</w:t>
      </w:r>
    </w:p>
    <w:p w14:paraId="20208E9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第十三条 在堆场（库）提取粉煤灰，产灰单位应与用灰单位签订取灰安全及环保协议，产灰单位应对用灰单位从指定地点装运未经加工的粉煤灰（包括从湿排灰堆场（库）取灰点、电厂储装运设施中取原灰）提供装载方便，并维护灰场和生产现场的安全。</w:t>
      </w:r>
    </w:p>
    <w:p w14:paraId="54BB1DE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第十七条 鼓励产灰单位与用灰单位签订长期供应协议。”</w:t>
      </w:r>
    </w:p>
    <w:p w14:paraId="00A71EE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符合性分析：</w:t>
      </w:r>
    </w:p>
    <w:p w14:paraId="48D2720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本项目产生的锅炉灰渣排入原灰渣仓，脱硫副产物在厂区新建副产品间暂存。锅炉灰渣外售虎林市源泽永固水泥制品销售有限公司进行综合利用（</w:t>
      </w:r>
      <w:r>
        <w:rPr>
          <w:rFonts w:hint="eastAsia" w:ascii="Times New Roman" w:hAnsi="Times New Roman" w:eastAsia="宋体" w:cs="Times New Roman"/>
          <w:color w:val="FF0000"/>
          <w:sz w:val="24"/>
          <w:szCs w:val="24"/>
          <w:highlight w:val="none"/>
          <w:lang w:val="en-US" w:eastAsia="zh-CN"/>
        </w:rPr>
        <w:t>同时，建设单位与宝清县焱顺煤炭经销有限公司作签订协议，锅炉灰渣处置行程综合利用双保险</w:t>
      </w:r>
      <w:r>
        <w:rPr>
          <w:rFonts w:hint="eastAsia" w:ascii="Times New Roman" w:hAnsi="Times New Roman" w:eastAsia="宋体" w:cs="Times New Roman"/>
          <w:color w:val="auto"/>
          <w:szCs w:val="24"/>
          <w:lang w:val="en-US" w:eastAsia="zh-CN"/>
        </w:rPr>
        <w:t>），脱硫副产物由</w:t>
      </w:r>
      <w:r>
        <w:rPr>
          <w:rFonts w:hint="default" w:ascii="Times New Roman" w:hAnsi="Times New Roman" w:eastAsia="宋体" w:cs="Times New Roman"/>
          <w:color w:val="auto"/>
          <w:szCs w:val="24"/>
          <w:lang w:val="en-US" w:eastAsia="zh-CN"/>
        </w:rPr>
        <w:t>黑龙江春农生物科技有限公司作为生产原料使用</w:t>
      </w:r>
      <w:r>
        <w:rPr>
          <w:rFonts w:hint="eastAsia" w:ascii="Times New Roman" w:hAnsi="Times New Roman" w:eastAsia="宋体" w:cs="Times New Roman"/>
          <w:color w:val="auto"/>
          <w:szCs w:val="24"/>
          <w:lang w:val="en-US" w:eastAsia="zh-CN"/>
        </w:rPr>
        <w:t>，本项目符合《粉煤灰综合利用管理办法》相关要求。</w:t>
      </w:r>
    </w:p>
    <w:p w14:paraId="7B35AA5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 xml:space="preserve">1.4.6 </w:t>
      </w:r>
      <w:r>
        <w:rPr>
          <w:rFonts w:hint="eastAsia" w:ascii="Times New Roman" w:hAnsi="Times New Roman" w:eastAsia="宋体" w:cs="Times New Roman"/>
          <w:b/>
          <w:bCs/>
          <w:color w:val="auto"/>
          <w:sz w:val="28"/>
          <w:szCs w:val="28"/>
          <w:lang w:val="en-US" w:eastAsia="zh-CN"/>
        </w:rPr>
        <w:t>与《国务院关于印发&lt;空气质量持续改善行动计划的通知&gt;》（国发〔2023〕24号）符合性分析</w:t>
      </w:r>
    </w:p>
    <w:p w14:paraId="1741926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一、相关文件内容</w:t>
      </w:r>
    </w:p>
    <w:p w14:paraId="14E0824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十一）积极开展燃煤锅炉关停整合。各地要将燃煤供热锅炉替代项目纳入城镇供热规划。县级及以上城市建成区原则上不再新建35蒸吨/小时及以下燃煤锅炉，重点区域原则上不再新建除集中供暖外的燃煤锅炉。加快热力管网建设，依托电厂、大型工业企业开展远距离供热示范，淘汰管网覆盖范围内的燃煤锅炉和散煤。到2025年，PM</w:t>
      </w:r>
      <w:r>
        <w:rPr>
          <w:rFonts w:hint="eastAsia" w:ascii="Times New Roman" w:hAnsi="Times New Roman" w:eastAsia="宋体" w:cs="Times New Roman"/>
          <w:color w:val="auto"/>
          <w:szCs w:val="24"/>
          <w:vertAlign w:val="subscript"/>
          <w:lang w:val="en-US" w:eastAsia="zh-CN"/>
        </w:rPr>
        <w:t>2.5</w:t>
      </w:r>
      <w:r>
        <w:rPr>
          <w:rFonts w:hint="eastAsia" w:ascii="Times New Roman" w:hAnsi="Times New Roman" w:eastAsia="宋体" w:cs="Times New Roman"/>
          <w:color w:val="auto"/>
          <w:szCs w:val="24"/>
          <w:lang w:val="en-US" w:eastAsia="zh-CN"/>
        </w:rPr>
        <w:t>未达标城市基本淘汰10蒸吨/小时及以下燃煤锅炉；重点区域基本淘汰35蒸吨/小时及以下燃煤锅炉及茶水炉、经营性炉灶、储粮烘干设备、农产品加工等燃煤设施，充分发挥30万千瓦及以上热电联产电厂的供热能力，对其供热半径30公里范围内的燃煤锅炉和落后燃煤小热电机组（含自备电厂）进行关停或整合。</w:t>
      </w:r>
    </w:p>
    <w:p w14:paraId="4760F97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十三）持续推进北方地区清洁取暖。因地制宜成片推进北方地区清洁取暖，确保群众温暖过冬。加大民用、农用散煤替代力度，重点区域平原地区散煤基本清零，逐步推进山区散煤清洁能源替代。纳入中央财政支持北方地区清洁取暖范围的城市，保质保量完成改造任务，其中“煤改气”要落实气源、以供定改。全面提升建筑能效水平，加快既有农房节能改造。各地依法将整体完成清洁取暖改造的地区划定为高污染燃料禁燃区，防止散煤复烧。对暂未实施清洁取暖的地区，强化商品煤质量监管。</w:t>
      </w:r>
    </w:p>
    <w:p w14:paraId="43083EB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二、符合性分析</w:t>
      </w:r>
    </w:p>
    <w:p w14:paraId="0FDBCD7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本项目所在位置不属于高污染燃料禁燃区，建成后烟气排放要满足超低排放要求。综合分析，本项目符合《国务院关于印发&lt;空气质量持续改善行动计划的通知&gt;》（国发〔2023〕24号）相关要求。</w:t>
      </w:r>
    </w:p>
    <w:p w14:paraId="3D825587">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 xml:space="preserve">1.4.7 </w:t>
      </w:r>
      <w:r>
        <w:rPr>
          <w:rFonts w:hint="eastAsia" w:ascii="Times New Roman" w:hAnsi="Times New Roman" w:eastAsia="宋体" w:cs="Times New Roman"/>
          <w:b/>
          <w:bCs/>
          <w:color w:val="auto"/>
          <w:sz w:val="28"/>
          <w:szCs w:val="28"/>
          <w:lang w:val="en-US" w:eastAsia="zh-CN"/>
        </w:rPr>
        <w:t>与《市场监管总局 国家发展改革委 生态环境部关于加强锅炉节能环保工作的通知》（国市监特设〔2018〕227号）符合性分析</w:t>
      </w:r>
    </w:p>
    <w:p w14:paraId="27A1615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具体要求：1.全国原则上不再新建每小时10蒸吨及以下的燃煤锅炉，重点区域（京津冀及周边地区、长三角地区和汾渭平原）全域和其他地区县级及以上城市建成区原则上不再新建每小时35蒸吨以下的燃煤锅炉。</w:t>
      </w:r>
    </w:p>
    <w:p w14:paraId="3577D1A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2.重点区域新建燃煤锅炉大气污染物排放浓度满足超低排放（在基准含氧量6%条件下，烟尘、二氧化硫、氮氧化物排放浓度分别不高于10、35、50毫克/立方米，下同）要求。</w:t>
      </w:r>
    </w:p>
    <w:p w14:paraId="79A7F82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3.重点区域保留的锅炉执行大气污染物特别排放限值或更严格的地方排放标准，每小时65蒸吨及以上燃煤锅炉全部实施节能和超低排放改造，燃气锅炉基本完成低氮改造，城市建成区生物质锅炉实施超低排放改造。</w:t>
      </w:r>
    </w:p>
    <w:p w14:paraId="3A50FF7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4.各地有关部门要按照国务院相关文件的要求推进落后锅炉淘汰工作。要坚持因地制宜，多措并举，制定燃煤锅炉综合整治实施方案，分类提出整治要求，维持现有设备有效运行，不搞“一刀切”，宜电则电、宜气则气、宜煤则煤，宜热则热，锅炉淘汰前应有替代热源。</w:t>
      </w:r>
    </w:p>
    <w:p w14:paraId="1699ACA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全厂锅炉采用的烟气治理措施均为《工业锅炉污染防治可行技术指南》（HJ1178-2021）中的可行性技术，本项目建成后环境效益和社会效益显著，可以保证可靠的供热体系。因此，本项目建设符合相关要求。</w:t>
      </w:r>
    </w:p>
    <w:p w14:paraId="38E1C2D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 xml:space="preserve">1.4.8 </w:t>
      </w:r>
      <w:r>
        <w:rPr>
          <w:rFonts w:hint="eastAsia" w:ascii="Times New Roman" w:hAnsi="Times New Roman" w:eastAsia="宋体" w:cs="Times New Roman"/>
          <w:b/>
          <w:bCs/>
          <w:color w:val="auto"/>
          <w:sz w:val="28"/>
          <w:szCs w:val="28"/>
          <w:lang w:val="en-US" w:eastAsia="zh-CN"/>
        </w:rPr>
        <w:t>与《关于印发&lt;锅炉绿色低碳高质量发展行动方案&gt;的通知》(发改环资〔2023〕1638号)符合性分析</w:t>
      </w:r>
    </w:p>
    <w:p w14:paraId="069D6FB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方案指出：</w:t>
      </w:r>
    </w:p>
    <w:p w14:paraId="4D31F50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到2025年，工业锅炉、电站锅炉平均运行热效率较2021年分别提高5个百分点、0.5个百分点，燃煤电站锅炉全面实现超低排放，燃煤小锅炉淘汰取得积极进展，废旧锅炉规范化处置和回收利用水平有效提升。到2030年，工业锅炉产品热效率较2021年提高3个百分点，平均运行热效率进一步提高；新建大型电站锅炉最低稳燃负荷满足电站机组最小技术出力要求，存量燃煤电站锅炉节能降碳和灵活性改造取得积极进展；锅炉污染治理水平全面提升。</w:t>
      </w:r>
    </w:p>
    <w:p w14:paraId="748DB4F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逐步淘汰低效落后老旧锅炉。有序推进小型电站锅炉和在役时间超过15年老旧低效工业锅炉淘汰工作。充分释放大型燃煤机组供热能力，推广中长距离供热，加快替代供热管网覆盖范围内的小型燃煤锅炉。对于纳入淘汰清单的锅炉，需在完成热负荷替代工作后方可拆除，替代的供热设备优先选择绿色低碳锅炉。到2025年，细颗粒物（PM</w:t>
      </w:r>
      <w:r>
        <w:rPr>
          <w:rFonts w:hint="eastAsia" w:ascii="Times New Roman" w:hAnsi="Times New Roman" w:eastAsia="宋体" w:cs="Times New Roman"/>
          <w:color w:val="auto"/>
          <w:szCs w:val="24"/>
          <w:vertAlign w:val="subscript"/>
          <w:lang w:val="en-US" w:eastAsia="zh-CN"/>
        </w:rPr>
        <w:t>2.5</w:t>
      </w:r>
      <w:r>
        <w:rPr>
          <w:rFonts w:hint="eastAsia" w:ascii="Times New Roman" w:hAnsi="Times New Roman" w:eastAsia="宋体" w:cs="Times New Roman"/>
          <w:color w:val="auto"/>
          <w:szCs w:val="24"/>
          <w:lang w:val="en-US" w:eastAsia="zh-CN"/>
        </w:rPr>
        <w:t>）未达标城市基本淘汰10蒸吨/小时及以下燃煤锅炉，重点区域全域以及东北地区、天山北坡城市群地级及以上城市建成区基本淘汰35蒸吨/小时及以下燃煤锅炉。</w:t>
      </w:r>
    </w:p>
    <w:p w14:paraId="08A9345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协同推进节能降碳减污改造。结合煤电机组节能降碳改造、供热改造和灵活性改造“三改联动”，对电站锅炉实施主辅机匹配、换热系统优化、余热深度利用、提高温度参数等升级改造。在保证安全的前提下，稳妥推进超期服役煤电机组锅炉延寿提效改造。积极推进大型燃煤发电锅炉掺烧农林废弃物等耦合生物质燃烧技术改造。在做到超低排放、环境和安全风险可控前提下，探索利用大型燃煤发电锅炉协同处置大宗单一类别固体废弃物。因地制宜探索工业锅炉节能降碳减污相互协同改造升级方案，提升工业锅炉运行控制和诊断维护水平。积极实施燃气锅炉低氮改造。生物质锅炉应配套建设高效除尘设施，氮氧化物排放浓度难以稳定达标的应配套建设脱硝设施，禁止掺烧煤炭、垃圾等其他物料。到2025年，重点区域保留的燃煤锅炉、其他地区65蒸吨/小时以上的燃煤锅炉实现超低排放。</w:t>
      </w:r>
    </w:p>
    <w:p w14:paraId="3E66037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全厂锅炉采用的烟气治理措施均为《工业锅炉污染防治可行技术指南》（HJ1178-2021）中的可行性技术，本项目建成后，既有效地提高了资源、能源利用率，不会造成能源浪费，又能做到烟气排放满足相关标准要求。因此，本项目建设符合相关要求。</w:t>
      </w:r>
    </w:p>
    <w:p w14:paraId="088A50B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FF0000"/>
          <w:sz w:val="28"/>
          <w:szCs w:val="28"/>
          <w:lang w:val="en-US" w:eastAsia="zh-CN"/>
        </w:rPr>
      </w:pPr>
      <w:r>
        <w:rPr>
          <w:rFonts w:hint="eastAsia" w:ascii="Times New Roman" w:hAnsi="Times New Roman" w:cs="Times New Roman"/>
          <w:b/>
          <w:bCs/>
          <w:color w:val="FF0000"/>
          <w:sz w:val="28"/>
          <w:szCs w:val="28"/>
          <w:lang w:val="en-US" w:eastAsia="zh-CN"/>
        </w:rPr>
        <w:t xml:space="preserve">1.4.9 </w:t>
      </w:r>
      <w:r>
        <w:rPr>
          <w:rFonts w:hint="eastAsia" w:ascii="Times New Roman" w:hAnsi="Times New Roman" w:eastAsia="宋体" w:cs="Times New Roman"/>
          <w:b/>
          <w:bCs/>
          <w:color w:val="FF0000"/>
          <w:sz w:val="28"/>
          <w:szCs w:val="28"/>
          <w:lang w:val="en-US" w:eastAsia="zh-CN"/>
        </w:rPr>
        <w:t>与《商品煤质量管理暂行办法》的符合性</w:t>
      </w:r>
    </w:p>
    <w:p w14:paraId="6A72E2B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FF0000"/>
          <w:szCs w:val="24"/>
          <w:lang w:val="en-US" w:eastAsia="zh-CN"/>
        </w:rPr>
      </w:pPr>
      <w:r>
        <w:rPr>
          <w:rFonts w:hint="default" w:ascii="Times New Roman" w:hAnsi="Times New Roman" w:eastAsia="宋体" w:cs="Times New Roman"/>
          <w:color w:val="FF0000"/>
          <w:szCs w:val="24"/>
          <w:lang w:val="en-US" w:eastAsia="zh-CN"/>
        </w:rPr>
        <w:t>根据《商品煤质量管理暂行办法》（2015年9月3日发布，2015年1月1日起施行）中：“第六条 商品煤应当满足下列基本要求：（一）灰分（Ad）褐煤≤30%，其它煤种≤40%；（二）硫分（St,d）褐煤≤1.5%，其它煤种≤3%；（三）其它指标汞（Hgd）≤0.6µg/g，砷（Asd）≤80µg/g，磷（Pd）≤0.15%，氯（Cld）≤0.3%，氟（Fd）≤200µg/g。</w:t>
      </w:r>
    </w:p>
    <w:p w14:paraId="281900B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FF0000"/>
          <w:szCs w:val="24"/>
          <w:lang w:val="en-US" w:eastAsia="zh-CN"/>
        </w:rPr>
      </w:pPr>
      <w:r>
        <w:rPr>
          <w:rFonts w:hint="default" w:ascii="Times New Roman" w:hAnsi="Times New Roman" w:eastAsia="宋体" w:cs="Times New Roman"/>
          <w:color w:val="FF0000"/>
          <w:szCs w:val="24"/>
          <w:lang w:val="en-US" w:eastAsia="zh-CN"/>
        </w:rPr>
        <w:t>第七条在中国境内远距离运输（运距超过600公里）的商品煤除在满足第六条要求外，还应当同时满足下列要求：（一）褐煤发热量（Qnet,ar）≥16.5MJ/kg，灰分（Ad）≤20%，硫分（St,d）≤1%。（二）其它煤种发热量（Qnet,ar）≥18MJ/kg，灰分（Ad）≤30%，硫分（St,d）≤2%。”</w:t>
      </w:r>
    </w:p>
    <w:p w14:paraId="6C4E9A9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FF0000"/>
          <w:szCs w:val="24"/>
          <w:lang w:val="en-US" w:eastAsia="zh-CN"/>
        </w:rPr>
      </w:pPr>
      <w:r>
        <w:rPr>
          <w:rFonts w:hint="default" w:ascii="Times New Roman" w:hAnsi="Times New Roman" w:eastAsia="宋体" w:cs="Times New Roman"/>
          <w:color w:val="FF0000"/>
          <w:szCs w:val="24"/>
          <w:lang w:val="en-US" w:eastAsia="zh-CN"/>
        </w:rPr>
        <w:t>本项目燃煤燃煤于宝清县采购，再经过汽车运输至本项目锅炉房封闭煤库内，运输距离约60km，燃煤运距小于600km。根据本项目煤质分析报告可知，煤种为</w:t>
      </w:r>
      <w:r>
        <w:rPr>
          <w:rFonts w:hint="eastAsia" w:ascii="Times New Roman" w:hAnsi="Times New Roman" w:eastAsia="宋体" w:cs="Times New Roman"/>
          <w:color w:val="FF0000"/>
          <w:szCs w:val="24"/>
          <w:lang w:val="en-US" w:eastAsia="zh-CN"/>
        </w:rPr>
        <w:t>烟煤</w:t>
      </w:r>
      <w:r>
        <w:rPr>
          <w:rFonts w:hint="default" w:ascii="Times New Roman" w:hAnsi="Times New Roman" w:eastAsia="宋体" w:cs="Times New Roman"/>
          <w:color w:val="FF0000"/>
          <w:szCs w:val="24"/>
          <w:lang w:val="en-US" w:eastAsia="zh-CN"/>
        </w:rPr>
        <w:t>，燃煤空气干燥基全硫0.1</w:t>
      </w:r>
      <w:r>
        <w:rPr>
          <w:rFonts w:hint="eastAsia" w:ascii="Times New Roman" w:hAnsi="Times New Roman" w:eastAsia="宋体" w:cs="Times New Roman"/>
          <w:color w:val="FF0000"/>
          <w:szCs w:val="24"/>
          <w:lang w:val="en-US" w:eastAsia="zh-CN"/>
        </w:rPr>
        <w:t>6</w:t>
      </w:r>
      <w:r>
        <w:rPr>
          <w:rFonts w:hint="default" w:ascii="Times New Roman" w:hAnsi="Times New Roman" w:eastAsia="宋体" w:cs="Times New Roman"/>
          <w:color w:val="FF0000"/>
          <w:szCs w:val="24"/>
          <w:lang w:val="en-US" w:eastAsia="zh-CN"/>
        </w:rPr>
        <w:t>%，收到基灰分</w:t>
      </w:r>
      <w:r>
        <w:rPr>
          <w:rFonts w:hint="eastAsia" w:ascii="Times New Roman" w:hAnsi="Times New Roman" w:eastAsia="宋体" w:cs="Times New Roman"/>
          <w:color w:val="FF0000"/>
          <w:szCs w:val="24"/>
          <w:lang w:val="en-US" w:eastAsia="zh-CN"/>
        </w:rPr>
        <w:t>39.44</w:t>
      </w:r>
      <w:r>
        <w:rPr>
          <w:rFonts w:hint="default" w:ascii="Times New Roman" w:hAnsi="Times New Roman" w:eastAsia="宋体" w:cs="Times New Roman"/>
          <w:color w:val="FF0000"/>
          <w:szCs w:val="24"/>
          <w:lang w:val="en-US" w:eastAsia="zh-CN"/>
        </w:rPr>
        <w:t>%，收到基汞约为0.0</w:t>
      </w:r>
      <w:r>
        <w:rPr>
          <w:rFonts w:hint="eastAsia" w:ascii="Times New Roman" w:hAnsi="Times New Roman" w:eastAsia="宋体" w:cs="Times New Roman"/>
          <w:color w:val="FF0000"/>
          <w:szCs w:val="24"/>
          <w:lang w:val="en-US" w:eastAsia="zh-CN"/>
        </w:rPr>
        <w:t>93</w:t>
      </w:r>
      <w:r>
        <w:rPr>
          <w:rFonts w:hint="default" w:ascii="Times New Roman" w:hAnsi="Times New Roman" w:eastAsia="宋体" w:cs="Times New Roman"/>
          <w:color w:val="FF0000"/>
          <w:szCs w:val="24"/>
          <w:lang w:val="en-US" w:eastAsia="zh-CN"/>
        </w:rPr>
        <w:t>mg/kg，本项目燃煤运距不超过600公里，使用的燃煤煤质指标符合《商品煤质量管理暂行办法》相关要求。</w:t>
      </w:r>
    </w:p>
    <w:p w14:paraId="56BF3F47">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FF0000"/>
          <w:sz w:val="28"/>
          <w:szCs w:val="28"/>
          <w:lang w:val="en-US" w:eastAsia="zh-CN"/>
        </w:rPr>
      </w:pPr>
      <w:r>
        <w:rPr>
          <w:rFonts w:hint="eastAsia" w:ascii="Times New Roman" w:hAnsi="Times New Roman" w:cs="Times New Roman"/>
          <w:b/>
          <w:bCs/>
          <w:color w:val="FF0000"/>
          <w:sz w:val="28"/>
          <w:szCs w:val="28"/>
          <w:lang w:val="en-US" w:eastAsia="zh-CN"/>
        </w:rPr>
        <w:t xml:space="preserve">1.4.10 </w:t>
      </w:r>
      <w:r>
        <w:rPr>
          <w:rFonts w:hint="eastAsia" w:ascii="Times New Roman" w:hAnsi="Times New Roman" w:eastAsia="宋体" w:cs="Times New Roman"/>
          <w:b/>
          <w:bCs/>
          <w:color w:val="FF0000"/>
          <w:sz w:val="28"/>
          <w:szCs w:val="28"/>
          <w:lang w:val="en-US" w:eastAsia="zh-CN"/>
        </w:rPr>
        <w:t>与《固体废物综合治理行动计划》的符合性</w:t>
      </w:r>
    </w:p>
    <w:p w14:paraId="1CE0062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FF0000"/>
          <w:szCs w:val="24"/>
          <w:lang w:val="en-US" w:eastAsia="zh-CN"/>
        </w:rPr>
      </w:pPr>
      <w:r>
        <w:rPr>
          <w:rFonts w:hint="eastAsia" w:ascii="Times New Roman" w:hAnsi="Times New Roman" w:eastAsia="宋体" w:cs="Times New Roman"/>
          <w:color w:val="FF0000"/>
          <w:szCs w:val="24"/>
          <w:lang w:val="en-US" w:eastAsia="zh-CN"/>
        </w:rPr>
        <w:t>根据《固体废物综合治理行动计划》明确提出减量化、资源化、无害化的原则</w:t>
      </w:r>
      <w:r>
        <w:rPr>
          <w:rFonts w:hint="default" w:ascii="Times New Roman" w:hAnsi="Times New Roman" w:eastAsia="宋体" w:cs="Times New Roman"/>
          <w:color w:val="FF0000"/>
          <w:szCs w:val="24"/>
          <w:lang w:val="en-US" w:eastAsia="zh-CN"/>
        </w:rPr>
        <w:t>要求工业领域强化源头减量、过程管控、末端利用与全链条无害化处置；推动工业固废综合利用、规范危险废物管理、严控固废非法倾倒，实现固废产生强度下降、综合利用率提升、环境风险可控</w:t>
      </w:r>
      <w:r>
        <w:rPr>
          <w:rFonts w:hint="eastAsia" w:ascii="Times New Roman" w:hAnsi="Times New Roman" w:eastAsia="宋体" w:cs="Times New Roman"/>
          <w:color w:val="FF0000"/>
          <w:szCs w:val="24"/>
          <w:lang w:val="en-US" w:eastAsia="zh-CN"/>
        </w:rPr>
        <w:t>。</w:t>
      </w:r>
    </w:p>
    <w:p w14:paraId="37F427E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FF0000"/>
          <w:szCs w:val="24"/>
          <w:lang w:val="en-US" w:eastAsia="zh-CN"/>
        </w:rPr>
      </w:pPr>
      <w:r>
        <w:rPr>
          <w:rFonts w:hint="eastAsia" w:ascii="Times New Roman" w:hAnsi="Times New Roman" w:eastAsia="宋体" w:cs="Times New Roman"/>
          <w:color w:val="FF0000"/>
          <w:lang w:val="en-US" w:eastAsia="zh-CN"/>
        </w:rPr>
        <w:t>工程内容主要包括</w:t>
      </w:r>
      <w:r>
        <w:rPr>
          <w:rFonts w:hint="default" w:ascii="Times New Roman" w:hAnsi="Times New Roman" w:eastAsia="宋体" w:cs="Times New Roman"/>
          <w:color w:val="FF0000"/>
          <w:sz w:val="24"/>
          <w:szCs w:val="24"/>
          <w:highlight w:val="none"/>
          <w:lang w:val="en-US" w:eastAsia="zh-CN"/>
        </w:rPr>
        <w:t>拆除淘汰原有的2台46MW锅炉，在原址现有锅炉房建设2台42MW锅炉</w:t>
      </w:r>
      <w:r>
        <w:rPr>
          <w:rFonts w:hint="default" w:ascii="Times New Roman" w:hAnsi="Times New Roman" w:eastAsia="宋体" w:cs="Times New Roman"/>
          <w:color w:val="FF0000"/>
          <w:lang w:val="en-US" w:eastAsia="zh-CN"/>
        </w:rPr>
        <w:t>，</w:t>
      </w:r>
      <w:r>
        <w:rPr>
          <w:rFonts w:hint="default" w:ascii="Times New Roman" w:hAnsi="Times New Roman" w:eastAsia="宋体" w:cs="Times New Roman"/>
          <w:color w:val="FF0000"/>
          <w:sz w:val="24"/>
          <w:szCs w:val="24"/>
          <w:highlight w:val="none"/>
          <w:lang w:val="en-US" w:eastAsia="zh-CN"/>
        </w:rPr>
        <w:t>新建</w:t>
      </w:r>
      <w:r>
        <w:rPr>
          <w:rFonts w:hint="default" w:ascii="Times New Roman" w:hAnsi="Times New Roman" w:eastAsia="宋体" w:cs="Times New Roman"/>
          <w:color w:val="FF0000"/>
          <w:szCs w:val="24"/>
          <w:lang w:val="en-US" w:eastAsia="zh-CN"/>
        </w:rPr>
        <w:t>脱硫副产品间</w:t>
      </w:r>
      <w:r>
        <w:rPr>
          <w:rFonts w:hint="eastAsia" w:ascii="Times New Roman" w:hAnsi="Times New Roman" w:eastAsia="宋体" w:cs="Times New Roman"/>
          <w:color w:val="FF0000"/>
          <w:szCs w:val="24"/>
          <w:lang w:val="en-US" w:eastAsia="zh-CN"/>
        </w:rPr>
        <w:t>等。本项目</w:t>
      </w:r>
      <w:r>
        <w:rPr>
          <w:rFonts w:hint="default" w:ascii="Times New Roman" w:hAnsi="Times New Roman" w:eastAsia="宋体" w:cs="Times New Roman"/>
          <w:color w:val="FF0000"/>
          <w:szCs w:val="24"/>
          <w:lang w:val="en-US" w:eastAsia="zh-CN"/>
        </w:rPr>
        <w:t>不新增锅炉规模、不新增燃料</w:t>
      </w:r>
      <w:r>
        <w:rPr>
          <w:rFonts w:hint="eastAsia" w:ascii="Times New Roman" w:hAnsi="Times New Roman" w:eastAsia="宋体" w:cs="Times New Roman"/>
          <w:color w:val="FF0000"/>
          <w:szCs w:val="24"/>
          <w:lang w:val="en-US" w:eastAsia="zh-CN"/>
        </w:rPr>
        <w:t>。项目锅炉灰渣、脱硫副产品均外售综合利用。危险废物（废催化剂、废机油等），委托有资质单位安全处置。符合资源化、无害化管理要求。本项目符合《固体废物综合治理行动计划》相关要求。</w:t>
      </w:r>
    </w:p>
    <w:p w14:paraId="65118AC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1" w:name="_Toc18834"/>
      <w:bookmarkStart w:id="42" w:name="_Toc12453"/>
      <w:bookmarkStart w:id="43" w:name="_Toc10654"/>
      <w:r>
        <w:rPr>
          <w:rFonts w:hint="eastAsia" w:ascii="Times New Roman" w:hAnsi="Times New Roman" w:cs="Times New Roman"/>
          <w:b/>
          <w:bCs/>
          <w:color w:val="auto"/>
          <w:sz w:val="28"/>
          <w:szCs w:val="28"/>
          <w:lang w:val="en-US" w:eastAsia="zh-CN"/>
        </w:rPr>
        <w:t xml:space="preserve">1.4.11 </w:t>
      </w:r>
      <w:r>
        <w:rPr>
          <w:rFonts w:hint="eastAsia" w:ascii="Times New Roman" w:hAnsi="Times New Roman" w:eastAsia="宋体" w:cs="Times New Roman"/>
          <w:b/>
          <w:bCs/>
          <w:color w:val="auto"/>
          <w:sz w:val="28"/>
          <w:szCs w:val="28"/>
          <w:lang w:val="en-US" w:eastAsia="zh-CN"/>
        </w:rPr>
        <w:t>与黑龙江省及当地相关规划协调性分析</w:t>
      </w:r>
      <w:bookmarkEnd w:id="41"/>
      <w:bookmarkEnd w:id="42"/>
      <w:bookmarkEnd w:id="43"/>
    </w:p>
    <w:p w14:paraId="703CB7D8">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1.4.11.1 </w:t>
      </w:r>
      <w:r>
        <w:rPr>
          <w:rFonts w:hint="default" w:ascii="Times New Roman" w:hAnsi="Times New Roman" w:eastAsia="宋体" w:cs="Times New Roman"/>
          <w:b/>
          <w:bCs w:val="0"/>
          <w:color w:val="auto"/>
          <w:sz w:val="24"/>
          <w:szCs w:val="24"/>
        </w:rPr>
        <w:t>与《黑龙江省国民经济和社会发展第十四个五年规划和二</w:t>
      </w:r>
      <w:r>
        <w:rPr>
          <w:rFonts w:hint="eastAsia" w:ascii="Times New Roman" w:hAnsi="Times New Roman" w:eastAsia="宋体" w:cs="Times New Roman"/>
          <w:b/>
          <w:bCs w:val="0"/>
          <w:color w:val="auto"/>
          <w:sz w:val="24"/>
          <w:szCs w:val="24"/>
          <w:lang w:val="en-US" w:eastAsia="zh-CN"/>
        </w:rPr>
        <w:t>〇</w:t>
      </w:r>
      <w:r>
        <w:rPr>
          <w:rFonts w:hint="default" w:ascii="Times New Roman" w:hAnsi="Times New Roman" w:eastAsia="宋体" w:cs="Times New Roman"/>
          <w:b/>
          <w:bCs w:val="0"/>
          <w:color w:val="auto"/>
          <w:sz w:val="24"/>
          <w:szCs w:val="24"/>
        </w:rPr>
        <w:t>三五年远景目标纲要的通知》符合性分析</w:t>
      </w:r>
    </w:p>
    <w:p w14:paraId="662B557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一、相关文件内容</w:t>
      </w:r>
    </w:p>
    <w:p w14:paraId="5E0D403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第九章提升放大绿色发展优势，推进生态文明建设第二节提升生态系统质量和稳定性”提出：持续改善大气环境质量，提高火电、钢铁等重点行业超低排放水平，基本消除重度及以上污染天气。大气污染治理领域主要任务为加快淘汰地级城市建成区10-35蒸吨/时燃煤锅炉，推进35-65蒸吨/时燃煤锅炉升级改造、具备条件的65蒸吨/时以上燃煤锅炉和煤电机组超低排放改造。</w:t>
      </w:r>
    </w:p>
    <w:p w14:paraId="7816BCF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二、本项目与文件符合性分析</w:t>
      </w:r>
    </w:p>
    <w:p w14:paraId="5B458F5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全厂锅炉采用的烟气治理措施均为《工业锅炉污染防治可行技术指南》（HJ1178-2021）中的可行性技术，本项目建成后环境效益和社会效益显著，可以保证可靠的供热体系。因此，本项目建设内容符合《黑龙江省国民经济和社会发展第十四个五年规划和二〇三五年远景目标纲要的通知》中关于“推进35-65蒸吨/时燃煤锅炉升级改造、具备条件的65蒸吨/时以上燃煤锅炉和煤电机组超低排放改造”要求。</w:t>
      </w:r>
    </w:p>
    <w:p w14:paraId="0FF8B73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1.4.11.2 </w:t>
      </w:r>
      <w:r>
        <w:rPr>
          <w:rFonts w:hint="default" w:ascii="Times New Roman" w:hAnsi="Times New Roman" w:eastAsia="宋体" w:cs="Times New Roman"/>
          <w:b/>
          <w:bCs w:val="0"/>
          <w:color w:val="auto"/>
          <w:sz w:val="24"/>
          <w:szCs w:val="24"/>
        </w:rPr>
        <w:t>与《黑龙江省“十四五”生态环境保护规划》合理性分析</w:t>
      </w:r>
    </w:p>
    <w:p w14:paraId="3E24FA0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加大燃煤污染治理力度。深入实施散煤污染治理“三重一改”攻坚行动，统筹城市棚户区、城中村、城乡接合部、商户和农村地区散煤污染治理，到2022年，“两市两县两景区”等重点地区散煤用量大幅下降。各地持续推进散煤污染治理，到2025年，哈尔滨市、齐齐哈尔市、大庆市、绥化市散煤用量分别减少50%，哈尔滨市主城区建成区基本实现散煤清零。加快淘汰地级城市建成区10-35蒸吨/小时燃煤锅炉，推进65蒸吨/小时及以上燃煤锅炉（含电力）超低排放改造。实现20蒸吨/小时及以上锅炉稳定达标排放全覆盖。</w:t>
      </w:r>
    </w:p>
    <w:p w14:paraId="1DDAB2A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因此，本项目建设符合规划要求。</w:t>
      </w:r>
    </w:p>
    <w:p w14:paraId="0C397740">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bookmarkStart w:id="44" w:name="_Toc11898"/>
      <w:r>
        <w:rPr>
          <w:rFonts w:hint="eastAsia" w:ascii="Times New Roman" w:hAnsi="Times New Roman" w:eastAsia="宋体" w:cs="Times New Roman"/>
          <w:b/>
          <w:bCs w:val="0"/>
          <w:color w:val="auto"/>
          <w:sz w:val="24"/>
          <w:szCs w:val="24"/>
          <w:lang w:val="en-US" w:eastAsia="zh-CN"/>
        </w:rPr>
        <w:t xml:space="preserve">1.4.11.3 </w:t>
      </w:r>
      <w:r>
        <w:rPr>
          <w:rFonts w:hint="default" w:ascii="Times New Roman" w:hAnsi="Times New Roman" w:eastAsia="宋体" w:cs="Times New Roman"/>
          <w:b/>
          <w:bCs w:val="0"/>
          <w:color w:val="auto"/>
          <w:sz w:val="24"/>
          <w:szCs w:val="24"/>
        </w:rPr>
        <w:t>与《黑龙江省大气污染防治条例》符合性</w:t>
      </w:r>
      <w:bookmarkEnd w:id="44"/>
    </w:p>
    <w:p w14:paraId="67906D1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黑龙江省大气污染防治条例》中规定：“第六条，企业事业单位和其他生产经营者应当采取有效措施，防止和减少大气污染，对所造成的损害依法承担责任。第十一条，向大气排放污染物的企业事业单位和其他生产经营者，应当配套建设大气污染防治设施，配套建设的大气污染防治设施，应当与主体工程同时设计、同时施工、同时投产使用，不得擅自拆除或者闲置。第三十二条，燃煤电厂、燃煤供热锅炉以及其他燃煤单位，应当采用清洁生产工艺，配套建设除尘、脱硫、脱硝等装置或者采用技术改造等措施，减少大气污染物的产生和排放，排放的大气污染物应当达到规定标准。第三十三条，设区的市级城市建成区内，禁止新建额定蒸发量低于每小时二十吨或者额定功率低于十四兆瓦的燃煤锅炉，已经建成的额定蒸发量每小时十吨以下或者额定功率七兆瓦以下的燃煤锅炉，应当在国家规定的期限内淘汰。国家对新建和淘汰燃煤锅炉另有规定的，从其规定”。</w:t>
      </w:r>
    </w:p>
    <w:p w14:paraId="61DB7D3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符合《黑龙江省大气污染防治条例》的相关要求。</w:t>
      </w:r>
    </w:p>
    <w:p w14:paraId="5D34FCCB">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1.4.11.4 </w:t>
      </w:r>
      <w:r>
        <w:rPr>
          <w:rFonts w:hint="default" w:ascii="Times New Roman" w:hAnsi="Times New Roman" w:eastAsia="宋体" w:cs="Times New Roman"/>
          <w:b/>
          <w:bCs w:val="0"/>
          <w:color w:val="auto"/>
          <w:sz w:val="24"/>
          <w:szCs w:val="24"/>
        </w:rPr>
        <w:t>与《黑龙江“十四五”城镇市政基础设施建设发展规划》协调性分析</w:t>
      </w:r>
    </w:p>
    <w:p w14:paraId="1AA307A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一、加强集中供热设施建设，大力推行清洁供暖方式</w:t>
      </w:r>
    </w:p>
    <w:p w14:paraId="07174C4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加快热电联产和大型区域锅炉房集中供热热源建设，按照“由近及远”的原则，合理规划热源、管网，以节能高效低碳为目标，在确保民生取暖安全的前提下，统筹热力供需平衡，单独或综合采用各类清洁供暖方式。充分发挥燃煤热源的主力作用。新建燃煤锅炉实现达标排放，新建燃煤热电联产机组实现超低排放，本着先易后难、逐步推进的原则，因地制宜、稳步有序地推进经济性好、节能减排效益佳的清洁供暖项目，鼓励长距离输送供热管网项目，充分挖掘现有30万千瓦及以下凝汽机组和工业生活污水等余热资源的供热潜力，加快工业余热资源供热，建设高效利用的供暖体系，稳步推进清洁供暖。</w:t>
      </w:r>
    </w:p>
    <w:p w14:paraId="5BF855B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p>
    <w:p w14:paraId="6E32646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综上所述，本项目建设内容符合《黑龙江“十四五”城镇市政基础设施建设发展规划》中关于“新建燃煤锅炉实现达标排放”要求。</w:t>
      </w:r>
    </w:p>
    <w:bookmarkEnd w:id="25"/>
    <w:bookmarkEnd w:id="26"/>
    <w:bookmarkEnd w:id="27"/>
    <w:p w14:paraId="3FD4E8F1">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bookmarkStart w:id="45" w:name="_Toc14489"/>
      <w:bookmarkStart w:id="46" w:name="_Toc105659852"/>
      <w:bookmarkStart w:id="47" w:name="_Toc107238067"/>
      <w:bookmarkStart w:id="48" w:name="_Toc107238068"/>
      <w:bookmarkStart w:id="49" w:name="_Toc105659853"/>
      <w:r>
        <w:rPr>
          <w:rFonts w:hint="eastAsia" w:ascii="Times New Roman" w:hAnsi="Times New Roman" w:eastAsia="宋体" w:cs="Times New Roman"/>
          <w:b/>
          <w:bCs w:val="0"/>
          <w:color w:val="auto"/>
          <w:sz w:val="24"/>
          <w:szCs w:val="24"/>
          <w:lang w:val="en-US" w:eastAsia="zh-CN"/>
        </w:rPr>
        <w:t xml:space="preserve">1.4.11.5 </w:t>
      </w:r>
      <w:r>
        <w:rPr>
          <w:rFonts w:hint="default" w:ascii="Times New Roman" w:hAnsi="Times New Roman" w:eastAsia="宋体" w:cs="Times New Roman"/>
          <w:b/>
          <w:bCs w:val="0"/>
          <w:color w:val="auto"/>
          <w:sz w:val="24"/>
          <w:szCs w:val="24"/>
        </w:rPr>
        <w:t>与《黑龙江省大气污染防治行动计划实施细则》符合性</w:t>
      </w:r>
      <w:bookmarkEnd w:id="45"/>
      <w:bookmarkEnd w:id="46"/>
      <w:bookmarkEnd w:id="47"/>
    </w:p>
    <w:p w14:paraId="21C5FAA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为认真贯彻落实《国务院关于印发大气污染防治行动计划的通知》（国发〔2013〕37号）要求，严控可吸入颗粒物（PM</w:t>
      </w:r>
      <w:r>
        <w:rPr>
          <w:rFonts w:hint="eastAsia" w:ascii="Times New Roman" w:hAnsi="Times New Roman" w:eastAsia="宋体" w:cs="Times New Roman"/>
          <w:color w:val="auto"/>
          <w:szCs w:val="24"/>
          <w:vertAlign w:val="subscript"/>
          <w:lang w:val="en-US" w:eastAsia="zh-CN"/>
        </w:rPr>
        <w:t>10</w:t>
      </w:r>
      <w:r>
        <w:rPr>
          <w:rFonts w:hint="eastAsia" w:ascii="Times New Roman" w:hAnsi="Times New Roman" w:eastAsia="宋体" w:cs="Times New Roman"/>
          <w:color w:val="auto"/>
          <w:szCs w:val="24"/>
          <w:lang w:val="en-US" w:eastAsia="zh-CN"/>
        </w:rPr>
        <w:t>）、细颗粒物（PM</w:t>
      </w:r>
      <w:r>
        <w:rPr>
          <w:rFonts w:hint="eastAsia" w:ascii="Times New Roman" w:hAnsi="Times New Roman" w:eastAsia="宋体" w:cs="Times New Roman"/>
          <w:color w:val="auto"/>
          <w:szCs w:val="24"/>
          <w:vertAlign w:val="subscript"/>
          <w:lang w:val="en-US" w:eastAsia="zh-CN"/>
        </w:rPr>
        <w:t>2.5</w:t>
      </w:r>
      <w:r>
        <w:rPr>
          <w:rFonts w:hint="eastAsia" w:ascii="Times New Roman" w:hAnsi="Times New Roman" w:eastAsia="宋体" w:cs="Times New Roman"/>
          <w:color w:val="auto"/>
          <w:szCs w:val="24"/>
          <w:lang w:val="en-US" w:eastAsia="zh-CN"/>
        </w:rPr>
        <w:t>）等主要大气污染物，严防雾霾等大气环境污染问题发生，进一步提升我省大气环境质量，结合我省实际，黑龙江省人民政府于2014年1月26日发布《黑龙江省大气污染防治行动计划实施细则》。</w:t>
      </w:r>
    </w:p>
    <w:p w14:paraId="2C21EFC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细则中指出：“加大集中供热工程建设，淘汰分散燃煤小锅炉”；“从2014年起，禁止新建20蒸吨以下燃煤锅炉”；“大型堆场应建立密闭料仓与传送装置”；“除循环流化床锅炉以外的燃煤机组均应安装脱硝设施”；“加强对燃煤锅炉及窑炉等治理，规模在20蒸吨及以上的燃煤锅炉要实施烟气脱硫，确保达标排放”。</w:t>
      </w:r>
    </w:p>
    <w:p w14:paraId="062EA59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rPr>
      </w:pP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szCs w:val="24"/>
          <w:lang w:val="en-US" w:eastAsia="zh-CN"/>
        </w:rPr>
        <w:t>项目的建设符合锅炉吨位以及对烟气进行脱硫脱硝等治理要求。新建副产品间，符合封闭料仓要求。</w:t>
      </w:r>
    </w:p>
    <w:p w14:paraId="5CC6EF6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因此，本项目的建立符合《黑龙江省大气污染防治行动计划实施细则》的相关要求。</w:t>
      </w:r>
      <w:bookmarkEnd w:id="48"/>
      <w:bookmarkEnd w:id="49"/>
    </w:p>
    <w:p w14:paraId="49BE96A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bookmarkStart w:id="50" w:name="_Toc105659854"/>
      <w:bookmarkStart w:id="51" w:name="_Toc9480"/>
      <w:bookmarkStart w:id="52" w:name="_Toc107238069"/>
      <w:r>
        <w:rPr>
          <w:rFonts w:hint="eastAsia" w:ascii="Times New Roman" w:hAnsi="Times New Roman" w:eastAsia="宋体" w:cs="Times New Roman"/>
          <w:b/>
          <w:bCs w:val="0"/>
          <w:color w:val="auto"/>
          <w:sz w:val="24"/>
          <w:szCs w:val="24"/>
          <w:lang w:val="en-US" w:eastAsia="zh-CN"/>
        </w:rPr>
        <w:t xml:space="preserve">1.4.11.6 </w:t>
      </w:r>
      <w:r>
        <w:rPr>
          <w:rFonts w:hint="default" w:ascii="Times New Roman" w:hAnsi="Times New Roman" w:eastAsia="宋体" w:cs="Times New Roman"/>
          <w:b/>
          <w:bCs w:val="0"/>
          <w:color w:val="auto"/>
          <w:sz w:val="24"/>
          <w:szCs w:val="24"/>
        </w:rPr>
        <w:t>与《黑龙江省人民政府关于全面加强生态环境保护坚决打好污染防治攻坚战的实施意见》（2018年9月14日）符合性分析</w:t>
      </w:r>
      <w:bookmarkEnd w:id="50"/>
      <w:bookmarkEnd w:id="51"/>
      <w:bookmarkEnd w:id="52"/>
    </w:p>
    <w:p w14:paraId="1E6C9F1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根据《实施意见》：三、坚决打赢蓝天保卫战（八）实施工业企业大气污染综合治理。强化工业企业无组织排放管理，推进挥发性有机物排放综合整治，到2020年，挥发性有机物排放总量累计削减960吨以上。加快钢铁、石化、建材等行业无组织排放治理，扩大燃煤电厂（含自备电站）超低排放改造范围。2018年年底前，完成单机容量30万千瓦燃煤电厂改造；2019年年底前，齐齐哈尔、牡丹江等市完成13台单机容量20万千瓦燃煤电厂改造；到2020年，具备改造条件的燃煤电厂全部完成超低排放改造。推动钢铁行业超低排放改造。哈尔滨市加大高污染、高耗能产业产能压减力度，2019年1月1日起实施火电厂和锅炉大气污染物特别排放限值。实施工业污染源全面达标排放计划，2018年年底前，完成纳入排污许可证管理固定工业污染源污染物排放情况评估，重点排污单位全部安装自动监控设备并同生态环境主管部门联网，依法公开排污信息。具备安装条件的其他工业污染源企业要依法、依规安装和运行污染源自动监控设备。到2020年，各类工业污染源持续保持污染物达标排放，全省污染物排放总量持续下降。</w:t>
      </w:r>
    </w:p>
    <w:p w14:paraId="04BA937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符合性分析：</w:t>
      </w:r>
      <w:r>
        <w:rPr>
          <w:rFonts w:hint="eastAsia" w:ascii="Times New Roman" w:hAnsi="Times New Roman" w:eastAsia="宋体" w:cs="Times New Roman"/>
          <w:color w:val="auto"/>
          <w:szCs w:val="24"/>
          <w:lang w:val="en-US" w:eastAsia="zh-CN"/>
        </w:rPr>
        <w:t>本项目拆除淘汰原有的2台锅炉（46MW），在原址建设2台42MW锅炉，锅炉烟气采用</w:t>
      </w:r>
      <w:r>
        <w:rPr>
          <w:rFonts w:hint="default" w:ascii="Times New Roman" w:hAnsi="Times New Roman" w:eastAsia="宋体" w:cs="Times New Roman"/>
          <w:color w:val="auto"/>
          <w:szCs w:val="24"/>
          <w:lang w:val="en-US" w:eastAsia="zh-CN"/>
        </w:rPr>
        <w:t>“SNCR-SCR联合脱硝+布袋除尘器除尘+氧化镁法脱硫”</w:t>
      </w:r>
      <w:r>
        <w:rPr>
          <w:rFonts w:hint="eastAsia" w:ascii="Times New Roman" w:hAnsi="Times New Roman" w:eastAsia="宋体" w:cs="Times New Roman"/>
          <w:color w:val="auto"/>
          <w:szCs w:val="24"/>
          <w:lang w:val="en-US" w:eastAsia="zh-CN"/>
        </w:rPr>
        <w:t>处理后经100m高烟囱排放。使其满足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ascii="Times New Roman" w:hAnsi="Times New Roman" w:eastAsia="宋体" w:cs="Times New Roman"/>
          <w:color w:val="auto"/>
        </w:rPr>
        <w:t>对环境空气的不利影响较小。安装固定的连续在线监测装置，用来监测烟气中颗粒物、SO</w:t>
      </w:r>
      <w:r>
        <w:rPr>
          <w:rFonts w:ascii="Times New Roman" w:hAnsi="Times New Roman" w:eastAsia="宋体" w:cs="Times New Roman"/>
          <w:color w:val="auto"/>
          <w:vertAlign w:val="subscript"/>
        </w:rPr>
        <w:t>2</w:t>
      </w:r>
      <w:r>
        <w:rPr>
          <w:rFonts w:ascii="Times New Roman" w:hAnsi="Times New Roman" w:eastAsia="宋体" w:cs="Times New Roman"/>
          <w:color w:val="auto"/>
        </w:rPr>
        <w:t>、NO</w:t>
      </w:r>
      <w:r>
        <w:rPr>
          <w:rFonts w:ascii="Times New Roman" w:hAnsi="Times New Roman" w:eastAsia="宋体" w:cs="Times New Roman"/>
          <w:color w:val="auto"/>
          <w:vertAlign w:val="subscript"/>
        </w:rPr>
        <w:t>X</w:t>
      </w:r>
      <w:r>
        <w:rPr>
          <w:rFonts w:ascii="Times New Roman" w:hAnsi="Times New Roman" w:eastAsia="宋体" w:cs="Times New Roman"/>
          <w:color w:val="auto"/>
        </w:rPr>
        <w:t>排放浓度。在线监测设备均与生态环境主管部门联网。</w:t>
      </w:r>
    </w:p>
    <w:p w14:paraId="078BCA8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hint="eastAsia" w:ascii="Times New Roman" w:hAnsi="Times New Roman" w:eastAsia="宋体" w:cs="Times New Roman"/>
          <w:color w:val="auto"/>
        </w:rPr>
        <w:t>综上，本项目符合</w:t>
      </w:r>
      <w:r>
        <w:rPr>
          <w:rFonts w:ascii="Times New Roman" w:hAnsi="Times New Roman" w:eastAsia="宋体" w:cs="Times New Roman"/>
          <w:color w:val="auto"/>
        </w:rPr>
        <w:t>《黑龙江省人民政府关于全面加强生态环境保护坚决打好污染防治攻坚战的实施意见》（2018年9月14日）。</w:t>
      </w:r>
    </w:p>
    <w:p w14:paraId="6CDCB25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1.4.11.7 </w:t>
      </w:r>
      <w:r>
        <w:rPr>
          <w:rFonts w:hint="default" w:ascii="Times New Roman" w:hAnsi="Times New Roman" w:eastAsia="宋体" w:cs="Times New Roman"/>
          <w:b/>
          <w:bCs w:val="0"/>
          <w:color w:val="auto"/>
          <w:sz w:val="24"/>
          <w:szCs w:val="24"/>
        </w:rPr>
        <w:t>与《黑龙江省生态功能区划》符合性</w:t>
      </w:r>
    </w:p>
    <w:p w14:paraId="3D07FAD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bookmarkStart w:id="53" w:name="_Toc9734"/>
      <w:r>
        <w:rPr>
          <w:rFonts w:ascii="Times New Roman" w:hAnsi="Times New Roman" w:eastAsia="宋体" w:cs="Times New Roman"/>
          <w:color w:val="auto"/>
        </w:rPr>
        <w:t>依据《黑龙江省生态功能区划》，本项目所处区域属于“I-</w:t>
      </w:r>
      <w:r>
        <w:rPr>
          <w:rFonts w:hint="eastAsia" w:ascii="Times New Roman" w:hAnsi="Times New Roman" w:eastAsia="宋体" w:cs="Times New Roman"/>
          <w:color w:val="auto"/>
          <w:lang w:val="en-US" w:eastAsia="zh-CN"/>
        </w:rPr>
        <w:t>3</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2</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2</w:t>
      </w:r>
      <w:r>
        <w:rPr>
          <w:rFonts w:hint="eastAsia" w:ascii="Times New Roman" w:hAnsi="Times New Roman" w:eastAsia="宋体" w:cs="Times New Roman"/>
          <w:color w:val="auto"/>
        </w:rPr>
        <w:t>挠力河上游水源涵养、农业及生物多样性保护生态功能区</w:t>
      </w:r>
      <w:r>
        <w:rPr>
          <w:rFonts w:ascii="Times New Roman" w:hAnsi="Times New Roman" w:eastAsia="宋体" w:cs="Times New Roman"/>
          <w:color w:val="auto"/>
        </w:rPr>
        <w:t>”，本区由</w:t>
      </w:r>
      <w:r>
        <w:rPr>
          <w:rFonts w:hint="eastAsia" w:ascii="Times New Roman" w:hAnsi="Times New Roman" w:eastAsia="宋体" w:cs="Times New Roman"/>
          <w:color w:val="auto"/>
          <w:lang w:val="en-US" w:eastAsia="zh-CN"/>
        </w:rPr>
        <w:t>宝清县</w:t>
      </w:r>
      <w:r>
        <w:rPr>
          <w:rFonts w:ascii="Times New Roman" w:hAnsi="Times New Roman" w:eastAsia="宋体" w:cs="Times New Roman"/>
          <w:color w:val="auto"/>
        </w:rPr>
        <w:t>组成，总面积</w:t>
      </w:r>
      <w:r>
        <w:rPr>
          <w:rFonts w:hint="eastAsia" w:ascii="Times New Roman" w:hAnsi="Times New Roman" w:eastAsia="宋体" w:cs="Times New Roman"/>
          <w:color w:val="auto"/>
          <w:lang w:val="en-US" w:eastAsia="zh-CN"/>
        </w:rPr>
        <w:t>10827</w:t>
      </w:r>
      <w:r>
        <w:rPr>
          <w:rFonts w:ascii="Times New Roman" w:hAnsi="Times New Roman" w:eastAsia="宋体" w:cs="Times New Roman"/>
          <w:color w:val="auto"/>
        </w:rPr>
        <w:t>平方公里。该生态功能区主要生态环境问题为区域涵养能力下降，沼泽面积减少；湖泊等重要物种的生境受到威胁；生态环境敏感性：北部大面积地区生物多样性敏感性为极敏感；除东北部地区外，土壤侵蚀敏感性为中度敏感；主要生态系统服务功能</w:t>
      </w:r>
      <w:r>
        <w:rPr>
          <w:rFonts w:hint="eastAsia" w:ascii="Times New Roman" w:hAnsi="Times New Roman" w:eastAsia="宋体" w:cs="Times New Roman"/>
          <w:color w:val="auto"/>
          <w:lang w:eastAsia="zh-CN"/>
        </w:rPr>
        <w:t>：</w:t>
      </w:r>
      <w:r>
        <w:rPr>
          <w:rFonts w:ascii="Times New Roman" w:hAnsi="Times New Roman" w:eastAsia="宋体" w:cs="Times New Roman"/>
          <w:color w:val="auto"/>
        </w:rPr>
        <w:t>水源涵养、土壤保持、生物多样性保护、农业生产、湿地保护。保护措施与发展方向为加强天然林和沼泽湿地保护，加强对湿地的管护和监测能力的建设，大力发展生态农业。</w:t>
      </w:r>
    </w:p>
    <w:p w14:paraId="06770F6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本项目运营过程中</w:t>
      </w:r>
      <w:r>
        <w:rPr>
          <w:rFonts w:hint="eastAsia" w:ascii="Times New Roman" w:hAnsi="Times New Roman" w:eastAsia="宋体" w:cs="Times New Roman"/>
          <w:color w:val="auto"/>
        </w:rPr>
        <w:t>生产生活用水来自市政管网自来水</w:t>
      </w:r>
      <w:r>
        <w:rPr>
          <w:rFonts w:ascii="Times New Roman" w:hAnsi="Times New Roman" w:eastAsia="宋体" w:cs="Times New Roman"/>
          <w:color w:val="auto"/>
        </w:rPr>
        <w:t>，项目位置位于</w:t>
      </w:r>
      <w:r>
        <w:rPr>
          <w:rFonts w:hint="eastAsia" w:ascii="Times New Roman" w:hAnsi="Times New Roman" w:eastAsia="宋体" w:cs="Times New Roman"/>
          <w:color w:val="auto"/>
          <w:lang w:eastAsia="zh-CN"/>
        </w:rPr>
        <w:t>黑龙江省宝清县红兴隆管理局八五二农场场部</w:t>
      </w:r>
      <w:r>
        <w:rPr>
          <w:rFonts w:hint="eastAsia" w:ascii="Times New Roman" w:hAnsi="Times New Roman" w:eastAsia="宋体" w:cs="Times New Roman"/>
          <w:color w:val="auto"/>
        </w:rPr>
        <w:t>现有厂区内</w:t>
      </w:r>
      <w:r>
        <w:rPr>
          <w:rFonts w:ascii="Times New Roman" w:hAnsi="Times New Roman" w:eastAsia="宋体" w:cs="Times New Roman"/>
          <w:color w:val="auto"/>
        </w:rPr>
        <w:t>，不新增</w:t>
      </w:r>
      <w:r>
        <w:rPr>
          <w:rFonts w:hint="eastAsia" w:ascii="Times New Roman" w:hAnsi="Times New Roman" w:eastAsia="宋体" w:cs="Times New Roman"/>
          <w:color w:val="auto"/>
          <w:lang w:val="en-US" w:eastAsia="zh-CN"/>
        </w:rPr>
        <w:t>永久</w:t>
      </w:r>
      <w:r>
        <w:rPr>
          <w:rFonts w:ascii="Times New Roman" w:hAnsi="Times New Roman" w:eastAsia="宋体" w:cs="Times New Roman"/>
          <w:color w:val="auto"/>
        </w:rPr>
        <w:t>占地，占地类型为</w:t>
      </w:r>
      <w:r>
        <w:rPr>
          <w:rFonts w:hint="eastAsia" w:ascii="Times New Roman" w:hAnsi="Times New Roman" w:eastAsia="宋体" w:cs="Times New Roman"/>
          <w:color w:val="auto"/>
        </w:rPr>
        <w:t>公共设施用地</w:t>
      </w:r>
      <w:r>
        <w:rPr>
          <w:rFonts w:ascii="Times New Roman" w:hAnsi="Times New Roman" w:eastAsia="宋体" w:cs="Times New Roman"/>
          <w:color w:val="auto"/>
        </w:rPr>
        <w:t>，以人工生态系统为主，项目的建设不会对区域生态功能产生明显影响，不会造成水土流失，项目符合《黑龙江省生态功能区划》的相关要求。</w:t>
      </w:r>
    </w:p>
    <w:bookmarkEnd w:id="53"/>
    <w:p w14:paraId="53AEB4C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1.4.11.8 </w:t>
      </w:r>
      <w:r>
        <w:rPr>
          <w:rFonts w:hint="default" w:ascii="Times New Roman" w:hAnsi="Times New Roman" w:eastAsia="宋体" w:cs="Times New Roman"/>
          <w:b/>
          <w:bCs w:val="0"/>
          <w:color w:val="auto"/>
          <w:sz w:val="24"/>
          <w:szCs w:val="24"/>
        </w:rPr>
        <w:t>与《</w:t>
      </w:r>
      <w:r>
        <w:rPr>
          <w:rFonts w:hint="eastAsia" w:ascii="Times New Roman" w:hAnsi="Times New Roman" w:eastAsia="宋体" w:cs="Times New Roman"/>
          <w:b/>
          <w:bCs w:val="0"/>
          <w:color w:val="auto"/>
          <w:sz w:val="24"/>
          <w:szCs w:val="24"/>
          <w:lang w:val="en-US" w:eastAsia="zh-CN"/>
        </w:rPr>
        <w:t>双鸭山市国民经济和社会发展第十四个五年规划和二○三五年 远景目标纲要</w:t>
      </w:r>
      <w:r>
        <w:rPr>
          <w:rFonts w:hint="default" w:ascii="Times New Roman" w:hAnsi="Times New Roman" w:eastAsia="宋体" w:cs="Times New Roman"/>
          <w:b/>
          <w:bCs w:val="0"/>
          <w:color w:val="auto"/>
          <w:sz w:val="24"/>
          <w:szCs w:val="24"/>
        </w:rPr>
        <w:t>》符合性分析</w:t>
      </w:r>
    </w:p>
    <w:p w14:paraId="7401424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其中规定</w:t>
      </w:r>
      <w:r>
        <w:rPr>
          <w:rFonts w:hint="eastAsia" w:ascii="Times New Roman" w:hAnsi="Times New Roman" w:eastAsia="宋体" w:cs="Times New Roman"/>
          <w:color w:val="auto"/>
          <w:lang w:eastAsia="zh-CN"/>
        </w:rPr>
        <w:t>：“</w:t>
      </w:r>
      <w:r>
        <w:rPr>
          <w:rFonts w:ascii="Times New Roman" w:hAnsi="Times New Roman" w:eastAsia="宋体" w:cs="Times New Roman"/>
          <w:color w:val="auto"/>
        </w:rPr>
        <w:t>以老城区为重点，实施供水、供气、供热和交通等改造工程，推进城区厕所革命项目建设，提高城市的承载能力。到2025年，城市供水普及率达到98%以上，燃气普及率达到90％，供热普及率提升至90%以上。科学规划建设城市停车场。实施城市园林绿化工程，提升城市景观，改善人居环境。到2025年，力争建成区绿地率达到41%，绿化覆盖率达到44％，人均公园绿地面积达到14平方米。</w:t>
      </w:r>
      <w:r>
        <w:rPr>
          <w:rFonts w:hint="eastAsia" w:ascii="Times New Roman" w:hAnsi="Times New Roman" w:eastAsia="宋体" w:cs="Times New Roman"/>
          <w:color w:val="auto"/>
          <w:lang w:eastAsia="zh-CN"/>
        </w:rPr>
        <w:t>”</w:t>
      </w:r>
      <w:r>
        <w:rPr>
          <w:rFonts w:ascii="Times New Roman" w:hAnsi="Times New Roman" w:eastAsia="宋体" w:cs="Times New Roman"/>
          <w:color w:val="auto"/>
        </w:rPr>
        <w:t>。</w:t>
      </w:r>
    </w:p>
    <w:p w14:paraId="6AF3B550">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符合性分析：</w:t>
      </w:r>
      <w:r>
        <w:rPr>
          <w:rFonts w:hint="default" w:ascii="Times New Roman" w:hAnsi="Times New Roman" w:eastAsia="宋体" w:cs="Times New Roman"/>
          <w:color w:val="auto"/>
          <w:lang w:val="en-US" w:eastAsia="zh-CN"/>
        </w:rPr>
        <w:t>八五二农场现状供热中心2台热水锅炉已运行10年有余，经常出现故障。现有2台锅炉在长期使用过程中可能会出现磨损、腐蚀等安全隐患。</w:t>
      </w:r>
      <w:r>
        <w:rPr>
          <w:rFonts w:hint="default" w:ascii="Times New Roman" w:hAnsi="Times New Roman" w:eastAsia="宋体" w:cs="Times New Roman"/>
          <w:color w:val="auto"/>
          <w:szCs w:val="24"/>
          <w:lang w:val="en-US" w:eastAsia="zh-CN"/>
        </w:rPr>
        <w:t>本项目拆除淘汰原有的2台锅炉（46MW），在原址建设2台42MW锅炉，锅炉烟气采用“SNCR-SCR联合脱硝+布袋除尘器除尘+氧化镁法脱硫”处理后经</w:t>
      </w:r>
      <w:r>
        <w:rPr>
          <w:rFonts w:hint="eastAsia" w:ascii="Times New Roman" w:hAnsi="Times New Roman" w:eastAsia="宋体" w:cs="Times New Roman"/>
          <w:color w:val="auto"/>
          <w:szCs w:val="24"/>
          <w:lang w:val="en-US" w:eastAsia="zh-CN"/>
        </w:rPr>
        <w:t>100</w:t>
      </w:r>
      <w:r>
        <w:rPr>
          <w:rFonts w:hint="default" w:ascii="Times New Roman" w:hAnsi="Times New Roman" w:eastAsia="宋体" w:cs="Times New Roman"/>
          <w:color w:val="auto"/>
          <w:szCs w:val="24"/>
          <w:lang w:val="en-US" w:eastAsia="zh-CN"/>
        </w:rPr>
        <w:t>m高烟囱排放。</w:t>
      </w:r>
      <w:r>
        <w:rPr>
          <w:rFonts w:hint="eastAsia" w:ascii="Times New Roman" w:hAnsi="Times New Roman" w:eastAsia="宋体" w:cs="Times New Roman"/>
          <w:color w:val="auto"/>
          <w:szCs w:val="24"/>
          <w:lang w:val="en-US" w:eastAsia="zh-CN"/>
        </w:rPr>
        <w:t>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default" w:ascii="Times New Roman" w:hAnsi="Times New Roman" w:eastAsia="宋体" w:cs="Times New Roman"/>
          <w:color w:val="auto"/>
        </w:rPr>
        <w:t>本项目建成后环境效益和社会效益显著，可以保证可靠的供热体系。因此，本项目建设符合《</w:t>
      </w:r>
      <w:r>
        <w:rPr>
          <w:rFonts w:hint="default" w:ascii="Times New Roman" w:hAnsi="Times New Roman" w:eastAsia="宋体" w:cs="Times New Roman"/>
          <w:color w:val="auto"/>
          <w:lang w:val="en-US" w:eastAsia="zh-CN"/>
        </w:rPr>
        <w:t>双鸭山</w:t>
      </w:r>
      <w:r>
        <w:rPr>
          <w:rFonts w:hint="default" w:ascii="Times New Roman" w:hAnsi="Times New Roman" w:eastAsia="宋体" w:cs="Times New Roman"/>
          <w:color w:val="auto"/>
        </w:rPr>
        <w:t>市生态环境保护“十四五”规划》的要求。</w:t>
      </w:r>
    </w:p>
    <w:p w14:paraId="32EBFEB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1.4.11.9 </w:t>
      </w:r>
      <w:r>
        <w:rPr>
          <w:rFonts w:hint="default" w:ascii="Times New Roman" w:hAnsi="Times New Roman" w:eastAsia="宋体" w:cs="Times New Roman"/>
          <w:b/>
          <w:bCs w:val="0"/>
          <w:color w:val="auto"/>
          <w:sz w:val="24"/>
          <w:szCs w:val="24"/>
        </w:rPr>
        <w:t>与《</w:t>
      </w:r>
      <w:r>
        <w:rPr>
          <w:rFonts w:hint="eastAsia" w:ascii="Times New Roman" w:hAnsi="Times New Roman" w:eastAsia="宋体" w:cs="Times New Roman"/>
          <w:b/>
          <w:bCs w:val="0"/>
          <w:color w:val="auto"/>
          <w:sz w:val="24"/>
          <w:szCs w:val="24"/>
          <w:lang w:val="en-US" w:eastAsia="zh-CN"/>
        </w:rPr>
        <w:t>双鸭山</w:t>
      </w:r>
      <w:r>
        <w:rPr>
          <w:rFonts w:hint="default" w:ascii="Times New Roman" w:hAnsi="Times New Roman" w:eastAsia="宋体" w:cs="Times New Roman"/>
          <w:b/>
          <w:bCs w:val="0"/>
          <w:color w:val="auto"/>
          <w:sz w:val="24"/>
          <w:szCs w:val="24"/>
        </w:rPr>
        <w:t>市“十四五”生态环境保护规划》符合性分析</w:t>
      </w:r>
    </w:p>
    <w:p w14:paraId="6EA6233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其中规定</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通过实施集中供热工程、棚户区拆迁改造工程、清洁能源替代工程、推进农村地区生物质燃料可再生能源替代散煤、节能建筑和老旧管网小区改造工程、燃煤小锅炉淘汰工程、规范散煤经营行为、打击非法经营行为等8方面工作，实现全市环境空气质量不断改善。</w:t>
      </w:r>
      <w:r>
        <w:rPr>
          <w:rFonts w:hint="eastAsia" w:ascii="Times New Roman" w:hAnsi="Times New Roman" w:eastAsia="宋体" w:cs="Times New Roman"/>
          <w:color w:val="auto"/>
          <w:lang w:eastAsia="zh-CN"/>
        </w:rPr>
        <w:t>”</w:t>
      </w:r>
      <w:r>
        <w:rPr>
          <w:rFonts w:ascii="Times New Roman" w:hAnsi="Times New Roman" w:eastAsia="宋体" w:cs="Times New Roman"/>
          <w:color w:val="auto"/>
        </w:rPr>
        <w:t>。</w:t>
      </w:r>
    </w:p>
    <w:p w14:paraId="0A39FF94">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符合性分析：</w:t>
      </w:r>
      <w:r>
        <w:rPr>
          <w:rFonts w:hint="default" w:ascii="Times New Roman" w:hAnsi="Times New Roman" w:eastAsia="宋体" w:cs="Times New Roman"/>
          <w:color w:val="auto"/>
          <w:lang w:val="en-US" w:eastAsia="zh-CN"/>
        </w:rPr>
        <w:t>八五二农场现状供热中心2台热水锅炉已运行10年有余，经常出现故障。现有2台锅炉在长期使用过程中可能会出现磨损、腐蚀等安全隐患。</w:t>
      </w:r>
      <w:r>
        <w:rPr>
          <w:rFonts w:hint="default" w:ascii="Times New Roman" w:hAnsi="Times New Roman" w:eastAsia="宋体" w:cs="Times New Roman"/>
          <w:color w:val="auto"/>
          <w:szCs w:val="24"/>
          <w:lang w:val="en-US" w:eastAsia="zh-CN"/>
        </w:rPr>
        <w:t>本项目拆除淘汰原有的2台锅炉（46MW），在原址建设2台42MW锅炉，锅炉烟气采用“SNCR-SCR联合脱硝+布袋除尘器除尘+氧化镁法脱硫”处理后经</w:t>
      </w:r>
      <w:r>
        <w:rPr>
          <w:rFonts w:hint="eastAsia" w:ascii="Times New Roman" w:hAnsi="Times New Roman" w:eastAsia="宋体" w:cs="Times New Roman"/>
          <w:color w:val="auto"/>
          <w:szCs w:val="24"/>
          <w:lang w:val="en-US" w:eastAsia="zh-CN"/>
        </w:rPr>
        <w:t>100</w:t>
      </w:r>
      <w:r>
        <w:rPr>
          <w:rFonts w:hint="default" w:ascii="Times New Roman" w:hAnsi="Times New Roman" w:eastAsia="宋体" w:cs="Times New Roman"/>
          <w:color w:val="auto"/>
          <w:szCs w:val="24"/>
          <w:lang w:val="en-US" w:eastAsia="zh-CN"/>
        </w:rPr>
        <w:t>m高烟囱排放。</w:t>
      </w:r>
      <w:r>
        <w:rPr>
          <w:rFonts w:hint="eastAsia" w:ascii="Times New Roman" w:hAnsi="Times New Roman" w:eastAsia="宋体" w:cs="Times New Roman"/>
          <w:color w:val="auto"/>
          <w:szCs w:val="24"/>
          <w:lang w:val="en-US" w:eastAsia="zh-CN"/>
        </w:rPr>
        <w:t>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default" w:ascii="Times New Roman" w:hAnsi="Times New Roman" w:eastAsia="宋体" w:cs="Times New Roman"/>
          <w:color w:val="auto"/>
        </w:rPr>
        <w:t>本项目建成后环境效益和社会效益显著，可以保证可靠的供热体系。因此，本项目建设符合《</w:t>
      </w:r>
      <w:r>
        <w:rPr>
          <w:rFonts w:hint="default" w:ascii="Times New Roman" w:hAnsi="Times New Roman" w:eastAsia="宋体" w:cs="Times New Roman"/>
          <w:color w:val="auto"/>
          <w:lang w:val="en-US" w:eastAsia="zh-CN"/>
        </w:rPr>
        <w:t>双鸭山</w:t>
      </w:r>
      <w:r>
        <w:rPr>
          <w:rFonts w:hint="default" w:ascii="Times New Roman" w:hAnsi="Times New Roman" w:eastAsia="宋体" w:cs="Times New Roman"/>
          <w:color w:val="auto"/>
        </w:rPr>
        <w:t>市生态环境保护“十四五”规划》的要求。</w:t>
      </w:r>
    </w:p>
    <w:p w14:paraId="3216BEC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1.4.11.10 </w:t>
      </w:r>
      <w:r>
        <w:rPr>
          <w:rFonts w:hint="default" w:ascii="Times New Roman" w:hAnsi="Times New Roman" w:eastAsia="宋体" w:cs="Times New Roman"/>
          <w:b/>
          <w:bCs w:val="0"/>
          <w:color w:val="auto"/>
          <w:sz w:val="24"/>
          <w:szCs w:val="24"/>
        </w:rPr>
        <w:t>与《</w:t>
      </w:r>
      <w:r>
        <w:rPr>
          <w:rFonts w:hint="eastAsia" w:ascii="Times New Roman" w:hAnsi="Times New Roman" w:eastAsia="宋体" w:cs="Times New Roman"/>
          <w:b/>
          <w:bCs w:val="0"/>
          <w:color w:val="auto"/>
          <w:sz w:val="24"/>
          <w:szCs w:val="24"/>
        </w:rPr>
        <w:t>黑龙江省城市供热条例</w:t>
      </w:r>
      <w:r>
        <w:rPr>
          <w:rFonts w:hint="default" w:ascii="Times New Roman" w:hAnsi="Times New Roman" w:eastAsia="宋体" w:cs="Times New Roman"/>
          <w:b/>
          <w:bCs w:val="0"/>
          <w:color w:val="auto"/>
          <w:sz w:val="24"/>
          <w:szCs w:val="24"/>
        </w:rPr>
        <w:t>》</w:t>
      </w:r>
      <w:r>
        <w:rPr>
          <w:rFonts w:hint="eastAsia" w:ascii="Times New Roman" w:hAnsi="Times New Roman" w:eastAsia="宋体" w:cs="Times New Roman"/>
          <w:b/>
          <w:bCs w:val="0"/>
          <w:color w:val="auto"/>
          <w:sz w:val="24"/>
          <w:szCs w:val="24"/>
        </w:rPr>
        <w:t>符合性分析</w:t>
      </w:r>
    </w:p>
    <w:p w14:paraId="64D8EB44">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根据</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黑龙江省城市供热条例</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中相关内容：</w:t>
      </w:r>
    </w:p>
    <w:p w14:paraId="3D9E540A">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第九条  供热主管部门应当根据供热专项规划，统筹安排热源建设和热网布局。建设单位在办理建设工程规划许可证前，应当向供热主管部门提出申请，供热主管部门根据供热专项规划确定供热方案，建设单位应当按照供热方案进行建设。工程竣工后，应当组织供热单位参加专项验收。未经验收或者验收不合格的，不得投入使用。</w:t>
      </w:r>
    </w:p>
    <w:p w14:paraId="530FBB68">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lang w:val="en-US" w:eastAsia="zh-CN"/>
        </w:rPr>
        <w:t>第十一条  新建、扩建、改建供热工程，应当符合供热专项规划，并经当地供热主管部门同意。</w:t>
      </w:r>
    </w:p>
    <w:p w14:paraId="7BCDDBE7">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八五二农场现状供热中心2台热水锅炉已运行10年有余，经常出现故障。现有2台锅炉在长期使用过程中可能会出现磨损、腐蚀等安全隐患。本项目拆除淘汰原有的2台锅炉（46MW），在原址建设2台42MW锅炉，锅炉烟气采用“SNCR-SCR联合脱硝+布袋除尘器除尘+氧化镁法脱硫”处理后经</w:t>
      </w:r>
      <w:r>
        <w:rPr>
          <w:rFonts w:hint="eastAsia" w:ascii="Times New Roman" w:hAnsi="Times New Roman" w:eastAsia="宋体" w:cs="Times New Roman"/>
          <w:color w:val="auto"/>
          <w:lang w:val="en-US" w:eastAsia="zh-CN"/>
        </w:rPr>
        <w:t>100</w:t>
      </w:r>
      <w:r>
        <w:rPr>
          <w:rFonts w:hint="default" w:ascii="Times New Roman" w:hAnsi="Times New Roman" w:eastAsia="宋体" w:cs="Times New Roman"/>
          <w:color w:val="auto"/>
          <w:lang w:val="en-US" w:eastAsia="zh-CN"/>
        </w:rPr>
        <w:t>m高烟囱排放。</w:t>
      </w:r>
      <w:r>
        <w:rPr>
          <w:rFonts w:hint="eastAsia" w:ascii="Times New Roman" w:hAnsi="Times New Roman" w:eastAsia="宋体" w:cs="Times New Roman"/>
          <w:color w:val="auto"/>
          <w:szCs w:val="24"/>
          <w:lang w:val="en-US" w:eastAsia="zh-CN"/>
        </w:rPr>
        <w:t>使其满足</w:t>
      </w:r>
      <w:r>
        <w:rPr>
          <w:rFonts w:hint="eastAsia" w:ascii="Times New Roman" w:hAnsi="Times New Roman" w:eastAsia="宋体" w:cs="Times New Roman"/>
          <w:color w:val="auto"/>
          <w:lang w:val="en-US" w:eastAsia="zh-CN"/>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w:t>
      </w:r>
      <w:r>
        <w:rPr>
          <w:rFonts w:hint="eastAsia" w:ascii="Times New Roman" w:hAnsi="Times New Roman" w:eastAsia="宋体" w:cs="Times New Roman"/>
          <w:color w:val="auto"/>
          <w:lang w:val="en-US" w:eastAsia="zh-CN"/>
        </w:rPr>
        <w:t>根据企业与当地住建部门了解宝清县目前集中供热能力能够满足供热需求，所在地无最新供热规划，本次项目主要是推进中心城区供热老旧管网改造、热源升级改造。本次改造不改变现有供热范围和供热质量。因此，本项目的建设符合要求。</w:t>
      </w:r>
      <w:bookmarkStart w:id="54" w:name="_Toc21041"/>
    </w:p>
    <w:p w14:paraId="397F1A31">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FF0000"/>
          <w:sz w:val="24"/>
          <w:szCs w:val="24"/>
        </w:rPr>
      </w:pPr>
      <w:r>
        <w:rPr>
          <w:rFonts w:hint="eastAsia" w:ascii="Times New Roman" w:hAnsi="Times New Roman" w:eastAsia="宋体" w:cs="Times New Roman"/>
          <w:b/>
          <w:bCs w:val="0"/>
          <w:color w:val="FF0000"/>
          <w:sz w:val="24"/>
          <w:szCs w:val="24"/>
          <w:lang w:val="en-US" w:eastAsia="zh-CN"/>
        </w:rPr>
        <w:t xml:space="preserve">1.4.11.11 </w:t>
      </w:r>
      <w:r>
        <w:rPr>
          <w:rFonts w:hint="default" w:ascii="Times New Roman" w:hAnsi="Times New Roman" w:eastAsia="宋体" w:cs="Times New Roman"/>
          <w:b/>
          <w:bCs w:val="0"/>
          <w:color w:val="FF0000"/>
          <w:sz w:val="24"/>
          <w:szCs w:val="24"/>
        </w:rPr>
        <w:t>与《</w:t>
      </w:r>
      <w:r>
        <w:rPr>
          <w:rFonts w:hint="eastAsia" w:ascii="Times New Roman" w:hAnsi="Times New Roman" w:eastAsia="宋体" w:cs="Times New Roman"/>
          <w:b/>
          <w:bCs w:val="0"/>
          <w:color w:val="FF0000"/>
          <w:sz w:val="24"/>
          <w:szCs w:val="24"/>
          <w:lang w:val="en-US" w:eastAsia="zh-CN"/>
        </w:rPr>
        <w:t>宝清县国土空间总体</w:t>
      </w:r>
      <w:r>
        <w:rPr>
          <w:rFonts w:hint="default" w:ascii="Times New Roman" w:hAnsi="Times New Roman" w:eastAsia="宋体" w:cs="Times New Roman"/>
          <w:b/>
          <w:bCs w:val="0"/>
          <w:color w:val="FF0000"/>
          <w:sz w:val="24"/>
          <w:szCs w:val="24"/>
        </w:rPr>
        <w:t>规划（20</w:t>
      </w:r>
      <w:r>
        <w:rPr>
          <w:rFonts w:hint="eastAsia" w:ascii="Times New Roman" w:hAnsi="Times New Roman" w:eastAsia="宋体" w:cs="Times New Roman"/>
          <w:b/>
          <w:bCs w:val="0"/>
          <w:color w:val="FF0000"/>
          <w:sz w:val="24"/>
          <w:szCs w:val="24"/>
          <w:lang w:val="en-US" w:eastAsia="zh-CN"/>
        </w:rPr>
        <w:t>21</w:t>
      </w:r>
      <w:r>
        <w:rPr>
          <w:rFonts w:hint="default" w:ascii="Times New Roman" w:hAnsi="Times New Roman" w:eastAsia="宋体" w:cs="Times New Roman"/>
          <w:b/>
          <w:bCs w:val="0"/>
          <w:color w:val="FF0000"/>
          <w:sz w:val="24"/>
          <w:szCs w:val="24"/>
        </w:rPr>
        <w:t>-203</w:t>
      </w:r>
      <w:r>
        <w:rPr>
          <w:rFonts w:hint="eastAsia" w:ascii="Times New Roman" w:hAnsi="Times New Roman" w:eastAsia="宋体" w:cs="Times New Roman"/>
          <w:b/>
          <w:bCs w:val="0"/>
          <w:color w:val="FF0000"/>
          <w:sz w:val="24"/>
          <w:szCs w:val="24"/>
          <w:lang w:val="en-US" w:eastAsia="zh-CN"/>
        </w:rPr>
        <w:t>5</w:t>
      </w:r>
      <w:r>
        <w:rPr>
          <w:rFonts w:hint="default" w:ascii="Times New Roman" w:hAnsi="Times New Roman" w:eastAsia="宋体" w:cs="Times New Roman"/>
          <w:b/>
          <w:bCs w:val="0"/>
          <w:color w:val="FF0000"/>
          <w:sz w:val="24"/>
          <w:szCs w:val="24"/>
        </w:rPr>
        <w:t>）》符合性分析</w:t>
      </w:r>
    </w:p>
    <w:p w14:paraId="49A4DED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FF0000"/>
          <w:szCs w:val="24"/>
          <w:lang w:eastAsia="zh-CN"/>
        </w:rPr>
      </w:pPr>
      <w:r>
        <w:rPr>
          <w:rFonts w:hint="eastAsia" w:ascii="Times New Roman" w:hAnsi="Times New Roman" w:eastAsia="宋体" w:cs="Times New Roman"/>
          <w:color w:val="FF0000"/>
          <w:szCs w:val="24"/>
        </w:rPr>
        <w:t>根据</w:t>
      </w:r>
      <w:r>
        <w:rPr>
          <w:rFonts w:hint="eastAsia" w:ascii="Times New Roman" w:hAnsi="Times New Roman" w:eastAsia="宋体" w:cs="Times New Roman"/>
          <w:color w:val="FF0000"/>
          <w:szCs w:val="24"/>
          <w:lang w:val="en-US" w:eastAsia="zh-CN"/>
        </w:rPr>
        <w:t>《宝清县国土空间总体规划（2021-2035）》：“供热工程。保留宝清现状热源。在腾飞路以西、利民街以北规划热源1处。在规划热电厂东侧设置宝清国能供热长输管网工程隔压站1座；保留现状农副产品加工园区供热用地，采用区域集中供热锅炉房方式解决采暖问题。”</w:t>
      </w:r>
    </w:p>
    <w:p w14:paraId="4B616BE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FF0000"/>
          <w:szCs w:val="24"/>
        </w:rPr>
      </w:pPr>
      <w:r>
        <w:rPr>
          <w:rFonts w:hint="eastAsia" w:ascii="Times New Roman" w:hAnsi="Times New Roman" w:eastAsia="宋体" w:cs="Times New Roman"/>
          <w:color w:val="FF0000"/>
          <w:szCs w:val="24"/>
          <w:lang w:val="en-US" w:eastAsia="zh-CN"/>
        </w:rPr>
        <w:t>符合性分析：本项目在现有热源厂锅炉房内进行改建，将2台陈旧的46MW燃煤热水锅炉更换为2台新的42MW燃煤热水锅炉。旧设备易坏供热效率低，新设备供热效率稳定，既能满足供热需要，又能节能增效。锅炉烟气污染防治措施不变，烟尘、二氧化硫、氮氧化物排放浓度均满足超低排放要求，</w:t>
      </w:r>
      <w:r>
        <w:rPr>
          <w:rFonts w:hint="eastAsia" w:ascii="Times New Roman" w:hAnsi="Times New Roman" w:eastAsia="宋体" w:cs="Times New Roman"/>
          <w:color w:val="FF0000"/>
          <w:szCs w:val="24"/>
        </w:rPr>
        <w:t>符合</w:t>
      </w:r>
      <w:r>
        <w:rPr>
          <w:rFonts w:hint="eastAsia" w:ascii="Times New Roman" w:hAnsi="Times New Roman" w:eastAsia="宋体" w:cs="Times New Roman"/>
          <w:color w:val="FF0000"/>
          <w:szCs w:val="24"/>
          <w:lang w:val="en-US" w:eastAsia="zh-CN"/>
        </w:rPr>
        <w:t>规划要求</w:t>
      </w:r>
      <w:r>
        <w:rPr>
          <w:rFonts w:hint="eastAsia" w:ascii="Times New Roman" w:hAnsi="Times New Roman" w:eastAsia="宋体" w:cs="Times New Roman"/>
          <w:color w:val="FF0000"/>
          <w:szCs w:val="24"/>
        </w:rPr>
        <w:t>。</w:t>
      </w:r>
    </w:p>
    <w:p w14:paraId="18E4183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FF0000"/>
          <w:sz w:val="24"/>
          <w:szCs w:val="24"/>
        </w:rPr>
      </w:pPr>
      <w:r>
        <w:rPr>
          <w:rFonts w:hint="eastAsia" w:ascii="Times New Roman" w:hAnsi="Times New Roman" w:eastAsia="宋体" w:cs="Times New Roman"/>
          <w:b/>
          <w:bCs w:val="0"/>
          <w:color w:val="FF0000"/>
          <w:sz w:val="24"/>
          <w:szCs w:val="24"/>
          <w:lang w:val="en-US" w:eastAsia="zh-CN"/>
        </w:rPr>
        <w:t xml:space="preserve">1.4.11.12 </w:t>
      </w:r>
      <w:r>
        <w:rPr>
          <w:rFonts w:hint="default" w:ascii="Times New Roman" w:hAnsi="Times New Roman" w:eastAsia="宋体" w:cs="Times New Roman"/>
          <w:b/>
          <w:bCs w:val="0"/>
          <w:color w:val="FF0000"/>
          <w:sz w:val="24"/>
          <w:szCs w:val="24"/>
        </w:rPr>
        <w:t>与《</w:t>
      </w:r>
      <w:r>
        <w:rPr>
          <w:rFonts w:hint="eastAsia" w:ascii="Times New Roman" w:hAnsi="Times New Roman" w:eastAsia="宋体" w:cs="Times New Roman"/>
          <w:b/>
          <w:bCs w:val="0"/>
          <w:color w:val="FF0000"/>
          <w:sz w:val="24"/>
          <w:szCs w:val="24"/>
          <w:lang w:val="en-US" w:eastAsia="zh-CN"/>
        </w:rPr>
        <w:t>双鸭山市宝清县八五二农场编制单元国土空间总体规划（2021-2035）</w:t>
      </w:r>
      <w:r>
        <w:rPr>
          <w:rFonts w:hint="default" w:ascii="Times New Roman" w:hAnsi="Times New Roman" w:eastAsia="宋体" w:cs="Times New Roman"/>
          <w:b/>
          <w:bCs w:val="0"/>
          <w:color w:val="FF0000"/>
          <w:sz w:val="24"/>
          <w:szCs w:val="24"/>
        </w:rPr>
        <w:t>》符合性分析</w:t>
      </w:r>
    </w:p>
    <w:p w14:paraId="4D1E01B8">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eastAsia"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根据</w:t>
      </w:r>
      <w:r>
        <w:rPr>
          <w:rFonts w:hint="default" w:ascii="Times New Roman" w:hAnsi="Times New Roman" w:eastAsia="宋体" w:cs="Times New Roman"/>
          <w:color w:val="FF0000"/>
          <w:lang w:val="en-US" w:eastAsia="zh-CN"/>
        </w:rPr>
        <w:t>《</w:t>
      </w:r>
      <w:r>
        <w:rPr>
          <w:rFonts w:hint="eastAsia" w:ascii="Times New Roman" w:hAnsi="Times New Roman" w:eastAsia="宋体" w:cs="Times New Roman"/>
          <w:color w:val="FF0000"/>
          <w:lang w:val="en-US" w:eastAsia="zh-CN"/>
        </w:rPr>
        <w:t>双鸭山市宝清县八五二农场编制单元国土空间总体规划（2021-2035）</w:t>
      </w:r>
      <w:r>
        <w:rPr>
          <w:rFonts w:hint="default" w:ascii="Times New Roman" w:hAnsi="Times New Roman" w:eastAsia="宋体" w:cs="Times New Roman"/>
          <w:color w:val="FF0000"/>
          <w:lang w:val="en-US" w:eastAsia="zh-CN"/>
        </w:rPr>
        <w:t>》</w:t>
      </w:r>
      <w:r>
        <w:rPr>
          <w:rFonts w:hint="eastAsia" w:ascii="Times New Roman" w:hAnsi="Times New Roman" w:eastAsia="宋体" w:cs="Times New Roman"/>
          <w:color w:val="FF0000"/>
          <w:lang w:val="en-US" w:eastAsia="zh-CN"/>
        </w:rPr>
        <w:t>“贯彻节俭能源、环境保护的原则，加强城乡供热设施建设，确保供热设施安全有效运行，满足人民在冬季时的采暖需求。规划集中建设区主要采用集中供热方式，逐步取消单位自建锅炉房、小型分散燃煤锅炉、居民自用小火炉等采暖方式，从而降低燃煤对环境的污染。”</w:t>
      </w:r>
    </w:p>
    <w:p w14:paraId="0EEAC68E">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default"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本次改扩建项目拆除</w:t>
      </w:r>
      <w:r>
        <w:rPr>
          <w:rFonts w:hint="eastAsia" w:ascii="Times New Roman" w:hAnsi="Times New Roman" w:eastAsia="宋体" w:cs="Times New Roman"/>
          <w:color w:val="FF0000"/>
          <w:szCs w:val="24"/>
          <w:lang w:val="en-US" w:eastAsia="zh-CN"/>
        </w:rPr>
        <w:t>淘汰低效落后老旧锅炉，</w:t>
      </w:r>
      <w:r>
        <w:rPr>
          <w:rFonts w:hint="eastAsia" w:ascii="Times New Roman" w:hAnsi="Times New Roman" w:eastAsia="宋体" w:cs="Times New Roman"/>
          <w:color w:val="FF0000"/>
          <w:lang w:val="en-US" w:eastAsia="zh-CN"/>
        </w:rPr>
        <w:t>建设2台42MW锅炉，以确保供热设施安全有效运行。项目场部采用集中供热方式，符合</w:t>
      </w:r>
      <w:r>
        <w:rPr>
          <w:rFonts w:hint="default" w:ascii="Times New Roman" w:hAnsi="Times New Roman" w:eastAsia="宋体" w:cs="Times New Roman"/>
          <w:color w:val="FF0000"/>
          <w:lang w:val="en-US" w:eastAsia="zh-CN"/>
        </w:rPr>
        <w:t>《</w:t>
      </w:r>
      <w:r>
        <w:rPr>
          <w:rFonts w:hint="eastAsia" w:ascii="Times New Roman" w:hAnsi="Times New Roman" w:eastAsia="宋体" w:cs="Times New Roman"/>
          <w:color w:val="FF0000"/>
          <w:lang w:val="en-US" w:eastAsia="zh-CN"/>
        </w:rPr>
        <w:t>双鸭山市宝清县八五二农场编制单元国土空间总体规划（2021-2035）</w:t>
      </w:r>
      <w:r>
        <w:rPr>
          <w:rFonts w:hint="default" w:ascii="Times New Roman" w:hAnsi="Times New Roman" w:eastAsia="宋体" w:cs="Times New Roman"/>
          <w:color w:val="FF0000"/>
          <w:lang w:val="en-US" w:eastAsia="zh-CN"/>
        </w:rPr>
        <w:t>》</w:t>
      </w:r>
      <w:r>
        <w:rPr>
          <w:rFonts w:hint="eastAsia" w:ascii="Times New Roman" w:hAnsi="Times New Roman" w:eastAsia="宋体" w:cs="Times New Roman"/>
          <w:color w:val="FF0000"/>
          <w:lang w:val="en-US" w:eastAsia="zh-CN"/>
        </w:rPr>
        <w:t>供热原则。</w:t>
      </w:r>
    </w:p>
    <w:p w14:paraId="2B59B4E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FF0000"/>
          <w:sz w:val="24"/>
          <w:szCs w:val="24"/>
        </w:rPr>
      </w:pPr>
      <w:r>
        <w:rPr>
          <w:rFonts w:hint="eastAsia" w:ascii="Times New Roman" w:hAnsi="Times New Roman" w:eastAsia="宋体" w:cs="Times New Roman"/>
          <w:b/>
          <w:bCs w:val="0"/>
          <w:color w:val="FF0000"/>
          <w:sz w:val="24"/>
          <w:szCs w:val="24"/>
          <w:lang w:val="en-US" w:eastAsia="zh-CN"/>
        </w:rPr>
        <w:t xml:space="preserve">1.4.11.13 </w:t>
      </w:r>
      <w:r>
        <w:rPr>
          <w:rFonts w:hint="default" w:ascii="Times New Roman" w:hAnsi="Times New Roman" w:eastAsia="宋体" w:cs="Times New Roman"/>
          <w:b/>
          <w:bCs w:val="0"/>
          <w:color w:val="FF0000"/>
          <w:sz w:val="24"/>
          <w:szCs w:val="24"/>
        </w:rPr>
        <w:t>与《</w:t>
      </w:r>
      <w:r>
        <w:rPr>
          <w:rFonts w:hint="eastAsia" w:ascii="Times New Roman" w:hAnsi="Times New Roman" w:eastAsia="宋体" w:cs="Times New Roman"/>
          <w:b/>
          <w:bCs w:val="0"/>
          <w:color w:val="FF0000"/>
          <w:sz w:val="24"/>
          <w:szCs w:val="24"/>
          <w:lang w:val="en-US" w:eastAsia="zh-CN"/>
        </w:rPr>
        <w:t>双鸭山市空气质量持续改善行动计划贯彻落实方案</w:t>
      </w:r>
      <w:r>
        <w:rPr>
          <w:rFonts w:hint="default" w:ascii="Times New Roman" w:hAnsi="Times New Roman" w:eastAsia="宋体" w:cs="Times New Roman"/>
          <w:b/>
          <w:bCs w:val="0"/>
          <w:color w:val="FF0000"/>
          <w:sz w:val="24"/>
          <w:szCs w:val="24"/>
        </w:rPr>
        <w:t>》符合性分析</w:t>
      </w:r>
    </w:p>
    <w:p w14:paraId="482CE65E">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eastAsia"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根据《双鸭山市空气质量持续改善行动计划贯彻落实方案》：“三、持续优化改善能源结构。（十一）积极推进燃煤锅炉淘汰改造。将燃煤供热锅炉替代项目纳入城镇供热规划。县级及以上城市建成区原则上不再新建35蒸吨/小时及以下燃煤锅炉，其他地区原则上不再新建10蒸吨/小时及以下燃煤锅炉。五、持续加强面源污染治理，（十八）深化扬尘污染综合治理。推进扬尘精细化管控，将防治扬尘污染费用纳入工程造价。积极推行绿色施工，督促责任单位严格落实标准化防控措施。推进低尘机械化湿式清扫作业，加大城市出入口、城乡结合部等重要路段冲洗保洁力度。根据《双鸭山市主城区运输车辆专项整治工作方案》（双政办规〔2023〕11号），进一步规范运输行业作业秩序，营造良好城市环境。各县（区）参照方案，强化属地运输车辆管控。对城市公共裸地进行排查建档并采取防尘措施。强化工业企业的露天料场、堆场防扬尘措施监管。到2025年，装配式建筑占新建建筑面积的比例力争达到15%；城市主次干路机械化清扫率达到100%，城乡结合部道路达到80%，县城机械化清扫比率提升。七、推进治理体系现代化建设。（二十七）坚持供热期错峰起炉。在每年采暖期开始前，组织辖区内供热企业制定分时分区差异化控制的燃煤供暖锅炉错峰起炉计划。”</w:t>
      </w:r>
    </w:p>
    <w:p w14:paraId="34614020">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eastAsia"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本次改扩建项目建设2台42MW锅炉，不属于不允许新建的35蒸吨/小时及以下燃煤锅炉。项目设置灰渣库，煤库，没有露天料场，通过洒水降尘等使扬尘有效管控。项目起炉严格按照主管单位要求执行。因此符合《双鸭山市空气质量持续改善行动计划贯彻落实方案》。</w:t>
      </w:r>
    </w:p>
    <w:p w14:paraId="2AE25A1E">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55" w:name="_Toc7747"/>
      <w:r>
        <w:rPr>
          <w:rFonts w:hint="eastAsia" w:ascii="Times New Roman" w:hAnsi="Times New Roman" w:eastAsia="宋体" w:cs="Times New Roman"/>
          <w:b/>
          <w:bCs/>
          <w:color w:val="auto"/>
          <w:lang w:val="en-US" w:eastAsia="zh-CN"/>
        </w:rPr>
        <w:t xml:space="preserve">1.5 </w:t>
      </w:r>
      <w:r>
        <w:rPr>
          <w:rFonts w:hint="default" w:ascii="Times New Roman" w:hAnsi="Times New Roman" w:eastAsia="宋体" w:cs="Times New Roman"/>
          <w:b/>
          <w:bCs/>
          <w:color w:val="auto"/>
        </w:rPr>
        <w:t>关注的主要环境问题及环境影响</w:t>
      </w:r>
      <w:bookmarkEnd w:id="54"/>
      <w:bookmarkEnd w:id="55"/>
    </w:p>
    <w:p w14:paraId="64D01B9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6" w:name="_Toc21110"/>
      <w:bookmarkStart w:id="57" w:name="_Toc16380"/>
      <w:bookmarkStart w:id="58" w:name="_Toc10921"/>
      <w:r>
        <w:rPr>
          <w:rFonts w:hint="eastAsia" w:ascii="Times New Roman" w:hAnsi="Times New Roman" w:eastAsia="宋体" w:cs="Times New Roman"/>
          <w:b/>
          <w:bCs/>
          <w:color w:val="auto"/>
          <w:sz w:val="28"/>
          <w:szCs w:val="28"/>
          <w:lang w:val="en-US" w:eastAsia="zh-CN"/>
        </w:rPr>
        <w:t>1.5.1 关注的主要环境问题</w:t>
      </w:r>
      <w:bookmarkEnd w:id="56"/>
      <w:bookmarkEnd w:id="57"/>
      <w:bookmarkEnd w:id="58"/>
    </w:p>
    <w:p w14:paraId="71ED4DC4">
      <w:pPr>
        <w:keepNext w:val="0"/>
        <w:keepLines w:val="0"/>
        <w:pageBreakBefore w:val="0"/>
        <w:widowControl w:val="0"/>
        <w:kinsoku/>
        <w:wordWrap/>
        <w:overflowPunct/>
        <w:topLinePunct w:val="0"/>
        <w:autoSpaceDE w:val="0"/>
        <w:autoSpaceDN w:val="0"/>
        <w:bidi w:val="0"/>
        <w:adjustRightInd w:val="0"/>
        <w:snapToGrid w:val="0"/>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本项目关注的主要环境问题主要是废气、废水、噪声及固体废物的排放，其中废气污染源有锅炉烟囱、灰仓、碎煤机室、灰渣仓、封闭煤库，产生的废气污染因子有锅炉烟囱排放的颗粒物、SO</w:t>
      </w:r>
      <w:r>
        <w:rPr>
          <w:rFonts w:hint="eastAsia" w:ascii="Times New Roman" w:hAnsi="Times New Roman" w:eastAsia="宋体" w:cs="Times New Roman"/>
          <w:color w:val="auto"/>
          <w:vertAlign w:val="subscript"/>
          <w:lang w:val="en-US" w:eastAsia="zh-CN"/>
        </w:rPr>
        <w:t>2</w:t>
      </w:r>
      <w:r>
        <w:rPr>
          <w:rFonts w:hint="eastAsia" w:ascii="Times New Roman" w:hAnsi="Times New Roman" w:eastAsia="宋体" w:cs="Times New Roman"/>
          <w:color w:val="auto"/>
          <w:lang w:val="en-US" w:eastAsia="zh-CN"/>
        </w:rPr>
        <w:t>、NO</w:t>
      </w:r>
      <w:r>
        <w:rPr>
          <w:rFonts w:hint="eastAsia" w:ascii="Times New Roman" w:hAnsi="Times New Roman" w:eastAsia="宋体" w:cs="Times New Roman"/>
          <w:color w:val="auto"/>
          <w:vertAlign w:val="subscript"/>
          <w:lang w:val="en-US" w:eastAsia="zh-CN"/>
        </w:rPr>
        <w:t>x</w:t>
      </w:r>
      <w:r>
        <w:rPr>
          <w:rFonts w:hint="eastAsia" w:ascii="Times New Roman" w:hAnsi="Times New Roman" w:eastAsia="宋体" w:cs="Times New Roman"/>
          <w:color w:val="auto"/>
          <w:lang w:val="en-US" w:eastAsia="zh-CN"/>
        </w:rPr>
        <w:t>、汞及其化合物，脱硝系统的氨逃逸，灰渣仓、封闭煤库、碎煤机室、产生的颗粒物。废水主要有生活污水和生产废水，设备噪声对周围环境的影响，一般固体废物和危险废物的合理处置。</w:t>
      </w:r>
    </w:p>
    <w:p w14:paraId="35E6E15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9" w:name="_Toc30698"/>
      <w:bookmarkStart w:id="60" w:name="_Toc31825"/>
      <w:bookmarkStart w:id="61" w:name="_Toc23007"/>
      <w:r>
        <w:rPr>
          <w:rFonts w:hint="eastAsia" w:ascii="Times New Roman" w:hAnsi="Times New Roman" w:eastAsia="宋体" w:cs="Times New Roman"/>
          <w:b/>
          <w:bCs/>
          <w:color w:val="auto"/>
          <w:sz w:val="28"/>
          <w:szCs w:val="28"/>
          <w:lang w:val="en-US" w:eastAsia="zh-CN"/>
        </w:rPr>
        <w:t>1.5.2 关注的主要环境影响</w:t>
      </w:r>
      <w:bookmarkEnd w:id="59"/>
      <w:bookmarkEnd w:id="60"/>
      <w:bookmarkEnd w:id="61"/>
    </w:p>
    <w:p w14:paraId="618873D0">
      <w:pPr>
        <w:ind w:firstLine="480"/>
        <w:rPr>
          <w:rFonts w:ascii="Times New Roman" w:hAnsi="Times New Roman" w:eastAsia="宋体" w:cs="Times New Roman"/>
          <w:color w:val="auto"/>
        </w:rPr>
      </w:pPr>
      <w:r>
        <w:rPr>
          <w:rFonts w:ascii="Times New Roman" w:hAnsi="Times New Roman" w:eastAsia="宋体" w:cs="Times New Roman"/>
          <w:color w:val="auto"/>
        </w:rPr>
        <w:t>1、对大气环境的影响</w:t>
      </w:r>
    </w:p>
    <w:p w14:paraId="6D27CB33">
      <w:pPr>
        <w:ind w:firstLine="480"/>
        <w:rPr>
          <w:rFonts w:ascii="Times New Roman" w:hAnsi="Times New Roman" w:eastAsia="宋体" w:cs="Times New Roman"/>
          <w:color w:val="auto"/>
        </w:rPr>
      </w:pPr>
      <w:r>
        <w:rPr>
          <w:rFonts w:ascii="Times New Roman" w:hAnsi="Times New Roman" w:eastAsia="宋体" w:cs="Times New Roman"/>
          <w:color w:val="auto"/>
        </w:rPr>
        <w:t>本项目产生的废气主要是锅炉烟气，主要污染因子有锅炉排放的常规污染物</w:t>
      </w:r>
      <w:r>
        <w:rPr>
          <w:rFonts w:hint="eastAsia" w:ascii="Times New Roman" w:hAnsi="Times New Roman" w:eastAsia="宋体" w:cs="Times New Roman"/>
          <w:color w:val="auto"/>
        </w:rPr>
        <w:t>颗粒物</w:t>
      </w:r>
      <w:r>
        <w:rPr>
          <w:rFonts w:ascii="Times New Roman" w:hAnsi="Times New Roman" w:eastAsia="宋体" w:cs="Times New Roman"/>
          <w:color w:val="auto"/>
        </w:rPr>
        <w:t>、SO</w:t>
      </w:r>
      <w:r>
        <w:rPr>
          <w:rFonts w:ascii="Times New Roman" w:hAnsi="Times New Roman" w:eastAsia="宋体" w:cs="Times New Roman"/>
          <w:color w:val="auto"/>
          <w:vertAlign w:val="subscript"/>
        </w:rPr>
        <w:t>2</w:t>
      </w:r>
      <w:r>
        <w:rPr>
          <w:rFonts w:ascii="Times New Roman" w:hAnsi="Times New Roman" w:eastAsia="宋体" w:cs="Times New Roman"/>
          <w:color w:val="auto"/>
        </w:rPr>
        <w:t>、NOx、汞及其化合物；输煤、碎煤产生的</w:t>
      </w:r>
      <w:r>
        <w:rPr>
          <w:rFonts w:hint="eastAsia" w:ascii="Times New Roman" w:hAnsi="Times New Roman" w:eastAsia="宋体" w:cs="Times New Roman"/>
          <w:color w:val="auto"/>
          <w:lang w:val="en-US" w:eastAsia="zh-CN"/>
        </w:rPr>
        <w:t>TSP</w:t>
      </w:r>
      <w:r>
        <w:rPr>
          <w:rFonts w:ascii="Times New Roman" w:hAnsi="Times New Roman" w:eastAsia="宋体" w:cs="Times New Roman"/>
          <w:color w:val="auto"/>
        </w:rPr>
        <w:t>；脱硝产生的逃逸氨。</w:t>
      </w:r>
    </w:p>
    <w:p w14:paraId="215F6979">
      <w:pPr>
        <w:ind w:firstLine="480"/>
        <w:rPr>
          <w:rFonts w:hint="default" w:ascii="Times New Roman" w:hAnsi="Times New Roman" w:eastAsia="宋体" w:cs="Times New Roman"/>
          <w:color w:val="auto"/>
          <w:lang w:val="en-US" w:eastAsia="zh-CN"/>
        </w:rPr>
      </w:pPr>
      <w:r>
        <w:rPr>
          <w:rFonts w:ascii="Times New Roman" w:hAnsi="Times New Roman" w:eastAsia="宋体" w:cs="Times New Roman"/>
          <w:color w:val="auto"/>
        </w:rPr>
        <w:t>①</w:t>
      </w:r>
      <w:r>
        <w:rPr>
          <w:rFonts w:hint="default" w:ascii="Times New Roman" w:hAnsi="Times New Roman" w:eastAsia="宋体" w:cs="Times New Roman"/>
          <w:color w:val="auto"/>
          <w:lang w:val="en-US" w:eastAsia="zh-CN"/>
        </w:rPr>
        <w:t>本项目拆除淘汰原有的2台锅炉（46MW），在原址建设2台42MW锅炉，锅炉烟气采用“SNCR-SCR联合脱硝+布袋除尘器除尘+氧化镁法脱硫”处理后经</w:t>
      </w:r>
      <w:r>
        <w:rPr>
          <w:rFonts w:hint="eastAsia" w:ascii="Times New Roman" w:hAnsi="Times New Roman" w:eastAsia="宋体" w:cs="Times New Roman"/>
          <w:color w:val="auto"/>
          <w:lang w:val="en-US" w:eastAsia="zh-CN"/>
        </w:rPr>
        <w:t>100</w:t>
      </w:r>
      <w:r>
        <w:rPr>
          <w:rFonts w:hint="default" w:ascii="Times New Roman" w:hAnsi="Times New Roman" w:eastAsia="宋体" w:cs="Times New Roman"/>
          <w:color w:val="auto"/>
          <w:lang w:val="en-US" w:eastAsia="zh-CN"/>
        </w:rPr>
        <w:t>m高烟囱排放。</w:t>
      </w:r>
      <w:r>
        <w:rPr>
          <w:rFonts w:hint="eastAsia" w:ascii="Times New Roman" w:hAnsi="Times New Roman" w:eastAsia="宋体" w:cs="Times New Roman"/>
          <w:color w:val="auto"/>
          <w:szCs w:val="24"/>
          <w:lang w:val="en-US" w:eastAsia="zh-CN"/>
        </w:rPr>
        <w:t>使其满足</w:t>
      </w:r>
      <w:r>
        <w:rPr>
          <w:rFonts w:hint="eastAsia" w:ascii="Times New Roman" w:hAnsi="Times New Roman" w:eastAsia="宋体" w:cs="Times New Roman"/>
          <w:color w:val="auto"/>
          <w:lang w:val="en-US" w:eastAsia="zh-CN"/>
        </w:rPr>
        <w:t>《锅炉大气污染物排放标准》（GB13271-2014）表2标准限值，同时，</w:t>
      </w:r>
      <w:r>
        <w:rPr>
          <w:rFonts w:hint="eastAsia" w:ascii="Times New Roman" w:hAnsi="Times New Roman" w:eastAsia="宋体" w:cs="Times New Roman"/>
          <w:color w:val="FF0000"/>
          <w:lang w:val="en-US" w:eastAsia="zh-CN"/>
        </w:rPr>
        <w:t>本项目锅炉烟气现有措施处理能力优越，预留执行超低排放要求的升级空间。</w:t>
      </w:r>
      <w:r>
        <w:rPr>
          <w:rFonts w:hint="eastAsia" w:ascii="Times New Roman" w:hAnsi="Times New Roman" w:eastAsia="宋体" w:cs="Times New Roman"/>
          <w:color w:val="auto"/>
          <w:lang w:val="en-US" w:eastAsia="zh-CN"/>
        </w:rPr>
        <w:t>即</w:t>
      </w:r>
      <w:r>
        <w:rPr>
          <w:rFonts w:hint="default" w:ascii="Times New Roman" w:hAnsi="Times New Roman" w:eastAsia="宋体" w:cs="Times New Roman"/>
          <w:color w:val="auto"/>
          <w:lang w:val="en-US" w:eastAsia="zh-CN"/>
        </w:rPr>
        <w:t>全厂锅炉烟气污染物排放浓度满足《关于印发&lt;全面实施燃煤电厂超低排放和节能改造工作方案&gt;的通知》（环发〔2015〕164号）要求，达到超低排放限值（</w:t>
      </w:r>
      <w:r>
        <w:rPr>
          <w:rFonts w:hint="default" w:ascii="Times New Roman" w:hAnsi="Times New Roman" w:eastAsia="宋体" w:cs="Times New Roman"/>
          <w:color w:val="FF0000"/>
          <w:lang w:val="en-US" w:eastAsia="zh-CN"/>
        </w:rPr>
        <w:t>在基准氧含量</w:t>
      </w:r>
      <w:r>
        <w:rPr>
          <w:rFonts w:hint="eastAsia" w:ascii="Times New Roman" w:hAnsi="Times New Roman" w:eastAsia="宋体" w:cs="Times New Roman"/>
          <w:color w:val="FF0000"/>
          <w:lang w:val="en-US" w:eastAsia="zh-CN"/>
        </w:rPr>
        <w:t>9</w:t>
      </w:r>
      <w:r>
        <w:rPr>
          <w:rFonts w:hint="default" w:ascii="Times New Roman" w:hAnsi="Times New Roman" w:eastAsia="宋体" w:cs="Times New Roman"/>
          <w:color w:val="FF0000"/>
          <w:lang w:val="en-US" w:eastAsia="zh-CN"/>
        </w:rPr>
        <w:t>%条件下</w:t>
      </w:r>
      <w:r>
        <w:rPr>
          <w:rFonts w:hint="default" w:ascii="Times New Roman" w:hAnsi="Times New Roman" w:eastAsia="宋体" w:cs="Times New Roman"/>
          <w:color w:val="auto"/>
          <w:lang w:val="en-US" w:eastAsia="zh-CN"/>
        </w:rPr>
        <w:t>，烟尘、SO</w:t>
      </w:r>
      <w:r>
        <w:rPr>
          <w:rFonts w:hint="default" w:ascii="Times New Roman" w:hAnsi="Times New Roman" w:eastAsia="宋体" w:cs="Times New Roman"/>
          <w:color w:val="auto"/>
          <w:vertAlign w:val="subscript"/>
          <w:lang w:val="en-US" w:eastAsia="zh-CN"/>
        </w:rPr>
        <w:t>2</w:t>
      </w:r>
      <w:r>
        <w:rPr>
          <w:rFonts w:hint="default" w:ascii="Times New Roman" w:hAnsi="Times New Roman" w:eastAsia="宋体" w:cs="Times New Roman"/>
          <w:color w:val="auto"/>
          <w:lang w:val="en-US" w:eastAsia="zh-CN"/>
        </w:rPr>
        <w:t>、NO</w:t>
      </w:r>
      <w:r>
        <w:rPr>
          <w:rFonts w:hint="default" w:ascii="Times New Roman" w:hAnsi="Times New Roman" w:eastAsia="宋体" w:cs="Times New Roman"/>
          <w:color w:val="auto"/>
          <w:vertAlign w:val="subscript"/>
          <w:lang w:val="en-US" w:eastAsia="zh-CN"/>
        </w:rPr>
        <w:t>x</w:t>
      </w:r>
      <w:r>
        <w:rPr>
          <w:rFonts w:hint="default" w:ascii="Times New Roman" w:hAnsi="Times New Roman" w:eastAsia="宋体" w:cs="Times New Roman"/>
          <w:color w:val="auto"/>
          <w:lang w:val="en-US" w:eastAsia="zh-CN"/>
        </w:rPr>
        <w:t>排放浓度分别不高于10mg/m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、35mg/m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、50mg/m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）要求</w:t>
      </w:r>
      <w:r>
        <w:rPr>
          <w:rFonts w:ascii="Times New Roman" w:hAnsi="Times New Roman" w:eastAsia="宋体" w:cs="Times New Roman"/>
          <w:color w:val="auto"/>
        </w:rPr>
        <w:t>；汞及其化合物排放浓度满足《锅炉大气污染物排放标准》（GB13271-2014）表</w:t>
      </w:r>
      <w:r>
        <w:rPr>
          <w:rFonts w:hint="eastAsia" w:ascii="Times New Roman" w:hAnsi="Times New Roman" w:eastAsia="宋体" w:cs="Times New Roman"/>
          <w:color w:val="auto"/>
        </w:rPr>
        <w:t>2新建</w:t>
      </w:r>
      <w:r>
        <w:rPr>
          <w:rFonts w:ascii="Times New Roman" w:hAnsi="Times New Roman" w:eastAsia="宋体" w:cs="Times New Roman"/>
          <w:color w:val="auto"/>
        </w:rPr>
        <w:t>燃煤锅炉排放限值（浓度不高于0.05mg/m</w:t>
      </w:r>
      <w:r>
        <w:rPr>
          <w:rFonts w:ascii="Times New Roman" w:hAnsi="Times New Roman" w:eastAsia="宋体" w:cs="Times New Roman"/>
          <w:color w:val="auto"/>
          <w:vertAlign w:val="superscript"/>
        </w:rPr>
        <w:t>3</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氨逃逸排放执行《恶臭污染物排放标准》（GB14554-93）标准限值。</w:t>
      </w:r>
    </w:p>
    <w:p w14:paraId="452B7C77">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②本项目建设的上煤系统、碎煤系统、灰渣仓均为封闭结构，采取以上废气污染防治措施后，厂界颗粒物的排放浓度满足《大气污染物综合排放标准》(GB16297-1996)表2新污染源大气污染物排放限值中无组织排放监控浓度限值（1.0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p w14:paraId="5BF59442">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2、对水环境的影响</w:t>
      </w:r>
    </w:p>
    <w:p w14:paraId="28EC360B">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（1）对地表水环境的影响</w:t>
      </w:r>
    </w:p>
    <w:p w14:paraId="16979A88">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本项目不新增员工，不新增生活污水。厂区现有生活污水各污染物排放浓度满足《污水综合排放标准》（GB8978-1996）三级标准要求，</w:t>
      </w:r>
      <w:r>
        <w:rPr>
          <w:rFonts w:hint="default" w:ascii="Times New Roman" w:hAnsi="Times New Roman" w:eastAsia="宋体" w:cs="Times New Roman"/>
          <w:color w:val="auto"/>
          <w:lang w:val="en-US" w:eastAsia="zh-CN"/>
        </w:rPr>
        <w:t>经市政污水管网排入八五二农场污水处理厂处理，经处理后污水排放浓度达到《城镇污水处理厂污染物排放标准》（GB18918-2002）一级A标准后排入蛤蟆通河</w:t>
      </w:r>
      <w:r>
        <w:rPr>
          <w:rFonts w:hint="eastAsia" w:ascii="Times New Roman" w:hAnsi="Times New Roman" w:eastAsia="宋体" w:cs="Times New Roman"/>
          <w:color w:val="auto"/>
          <w:lang w:val="en-US" w:eastAsia="zh-CN"/>
        </w:rPr>
        <w:t>。</w:t>
      </w:r>
    </w:p>
    <w:p w14:paraId="21922846">
      <w:pPr>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本项目运营期锅炉用水来自市政管网自来水，锅炉排污水风机冷却水等生产废水全部回用于脱硫及灰渣降尘用水等，不外排。</w:t>
      </w:r>
    </w:p>
    <w:p w14:paraId="03AA247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（2）对地下水环境的影响</w:t>
      </w:r>
    </w:p>
    <w:p w14:paraId="6BABECE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①重点防渗区为</w:t>
      </w:r>
      <w:r>
        <w:rPr>
          <w:rFonts w:hint="eastAsia" w:ascii="Times New Roman" w:hAnsi="Times New Roman" w:eastAsia="宋体" w:cs="Times New Roman"/>
          <w:color w:val="auto"/>
        </w:rPr>
        <w:t>危废贮存</w:t>
      </w:r>
      <w:r>
        <w:rPr>
          <w:rFonts w:hint="eastAsia" w:ascii="Times New Roman" w:hAnsi="Times New Roman" w:eastAsia="宋体" w:cs="Times New Roman"/>
          <w:color w:val="auto"/>
          <w:lang w:val="en-US" w:eastAsia="zh-CN"/>
        </w:rPr>
        <w:t>点</w:t>
      </w:r>
      <w:r>
        <w:rPr>
          <w:rFonts w:ascii="Times New Roman" w:hAnsi="Times New Roman" w:eastAsia="宋体" w:cs="Times New Roman"/>
          <w:color w:val="auto"/>
        </w:rPr>
        <w:t>。重点防渗区</w:t>
      </w:r>
      <w:r>
        <w:rPr>
          <w:rFonts w:hint="eastAsia" w:ascii="Times New Roman" w:hAnsi="Times New Roman" w:eastAsia="宋体" w:cs="Times New Roman"/>
          <w:color w:val="auto"/>
          <w:lang w:val="en-US" w:eastAsia="zh-CN"/>
        </w:rPr>
        <w:t>危险废物贮存点</w:t>
      </w:r>
      <w:r>
        <w:rPr>
          <w:rFonts w:hint="default" w:ascii="Times New Roman" w:hAnsi="Times New Roman" w:cs="Times New Roman" w:eastAsiaTheme="minorEastAsia"/>
          <w:color w:val="auto"/>
          <w:sz w:val="24"/>
          <w:szCs w:val="24"/>
          <w:lang w:val="en-US" w:eastAsia="zh-CN"/>
        </w:rPr>
        <w:t>需满足《危险废物贮存污染控制标准》（GB18597-2023）要求</w:t>
      </w:r>
      <w:r>
        <w:rPr>
          <w:rFonts w:hint="eastAsia" w:ascii="Times New Roman" w:hAnsi="Times New Roman" w:cs="Times New Roman"/>
          <w:color w:val="auto"/>
          <w:sz w:val="24"/>
          <w:szCs w:val="24"/>
          <w:lang w:val="en-US" w:eastAsia="zh-CN"/>
        </w:rPr>
        <w:t>，</w:t>
      </w:r>
      <w:r>
        <w:rPr>
          <w:rFonts w:ascii="Times New Roman" w:hAnsi="Times New Roman" w:eastAsia="宋体" w:cs="Times New Roman"/>
          <w:color w:val="auto"/>
        </w:rPr>
        <w:t>采用高密度聚乙烯HDPE膜处理，土工膜厚度不应小于2mm，防渗系数不大于10</w:t>
      </w:r>
      <w:r>
        <w:rPr>
          <w:rFonts w:ascii="Times New Roman" w:hAnsi="Times New Roman" w:eastAsia="宋体" w:cs="Times New Roman"/>
          <w:color w:val="auto"/>
          <w:vertAlign w:val="superscript"/>
        </w:rPr>
        <w:t>-10</w:t>
      </w:r>
      <w:r>
        <w:rPr>
          <w:rFonts w:ascii="Times New Roman" w:hAnsi="Times New Roman" w:eastAsia="宋体" w:cs="Times New Roman"/>
          <w:color w:val="auto"/>
        </w:rPr>
        <w:t>cm/s，埋深不宜小于300mm，膜上、下应设置保护层；重点防渗区防渗层的防渗性能不应低于6.0m厚渗透系数为1×10</w:t>
      </w:r>
      <w:r>
        <w:rPr>
          <w:rFonts w:ascii="Times New Roman" w:hAnsi="Times New Roman" w:eastAsia="宋体" w:cs="Times New Roman"/>
          <w:color w:val="auto"/>
          <w:vertAlign w:val="superscript"/>
        </w:rPr>
        <w:t>-7</w:t>
      </w:r>
      <w:r>
        <w:rPr>
          <w:rFonts w:ascii="Times New Roman" w:hAnsi="Times New Roman" w:eastAsia="宋体" w:cs="Times New Roman"/>
          <w:color w:val="auto"/>
        </w:rPr>
        <w:t>cm/s的黏土层的防渗性能。</w:t>
      </w:r>
    </w:p>
    <w:p w14:paraId="548155E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FF0000"/>
        </w:rPr>
        <w:t>②一般防渗区</w:t>
      </w:r>
      <w:r>
        <w:rPr>
          <w:rFonts w:hint="eastAsia" w:ascii="Times New Roman" w:hAnsi="Times New Roman" w:eastAsia="宋体" w:cs="Times New Roman"/>
          <w:color w:val="FF0000"/>
        </w:rPr>
        <w:t>主要包括</w:t>
      </w:r>
      <w:r>
        <w:rPr>
          <w:rFonts w:hint="eastAsia" w:ascii="Times New Roman" w:hAnsi="Times New Roman" w:eastAsia="宋体" w:cs="Times New Roman"/>
          <w:color w:val="FF0000"/>
          <w:lang w:eastAsia="zh-CN"/>
        </w:rPr>
        <w:t>现有锅炉房、煤库</w:t>
      </w:r>
      <w:r>
        <w:rPr>
          <w:rFonts w:hint="eastAsia" w:ascii="Times New Roman" w:hAnsi="Times New Roman" w:eastAsia="宋体" w:cs="Times New Roman"/>
          <w:color w:val="FF0000"/>
        </w:rPr>
        <w:t>等</w:t>
      </w:r>
      <w:r>
        <w:rPr>
          <w:rFonts w:hint="eastAsia" w:ascii="Times New Roman" w:hAnsi="Times New Roman" w:eastAsia="宋体" w:cs="Times New Roman"/>
          <w:color w:val="FF0000"/>
          <w:lang w:val="en-US" w:eastAsia="zh-CN"/>
        </w:rPr>
        <w:t>和</w:t>
      </w:r>
      <w:r>
        <w:rPr>
          <w:rFonts w:hint="eastAsia" w:ascii="Times New Roman" w:hAnsi="Times New Roman" w:eastAsia="宋体" w:cs="Times New Roman"/>
          <w:color w:val="auto"/>
          <w:lang w:val="en-US" w:eastAsia="zh-CN"/>
        </w:rPr>
        <w:t>新建副产品间、</w:t>
      </w:r>
      <w:r>
        <w:rPr>
          <w:rFonts w:hint="eastAsia" w:ascii="Times New Roman" w:hAnsi="Times New Roman" w:eastAsia="宋体" w:cs="Times New Roman"/>
          <w:color w:val="auto"/>
          <w:lang w:eastAsia="zh-CN"/>
        </w:rPr>
        <w:t>泵房、消防水池</w:t>
      </w:r>
      <w:r>
        <w:rPr>
          <w:rFonts w:hint="eastAsia" w:ascii="Times New Roman" w:hAnsi="Times New Roman" w:eastAsia="宋体" w:cs="Times New Roman"/>
          <w:color w:val="auto"/>
          <w:lang w:val="en-US" w:eastAsia="zh-CN"/>
        </w:rPr>
        <w:t>等</w:t>
      </w:r>
      <w:r>
        <w:rPr>
          <w:rFonts w:ascii="Times New Roman" w:hAnsi="Times New Roman" w:eastAsia="宋体" w:cs="Times New Roman"/>
          <w:color w:val="auto"/>
        </w:rPr>
        <w:t>，一般防渗区的地面可采用抗渗混凝土作为其防渗层，混凝土强度等级不低于C25，抗渗混凝土等级不低于P6，厚度不小于100mm。一般防渗区防渗层的防渗性能不应低于1.5m厚，渗透系数为1×10</w:t>
      </w:r>
      <w:r>
        <w:rPr>
          <w:rFonts w:ascii="Times New Roman" w:hAnsi="Times New Roman" w:eastAsia="宋体" w:cs="Times New Roman"/>
          <w:color w:val="auto"/>
          <w:vertAlign w:val="superscript"/>
        </w:rPr>
        <w:t>-7</w:t>
      </w:r>
      <w:r>
        <w:rPr>
          <w:rFonts w:ascii="Times New Roman" w:hAnsi="Times New Roman" w:eastAsia="宋体" w:cs="Times New Roman"/>
          <w:color w:val="auto"/>
        </w:rPr>
        <w:t>cm/s的黏土层的防渗性能。</w:t>
      </w:r>
    </w:p>
    <w:p w14:paraId="42EFE4D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③简单防渗区（非污染防治区）为</w:t>
      </w:r>
      <w:r>
        <w:rPr>
          <w:rFonts w:hint="eastAsia" w:ascii="Times New Roman" w:hAnsi="Times New Roman" w:eastAsia="宋体" w:cs="Times New Roman"/>
          <w:color w:val="auto"/>
        </w:rPr>
        <w:t>除重点防渗区、一般防渗区外的厂区（绿化区除外）</w:t>
      </w:r>
      <w:r>
        <w:rPr>
          <w:rFonts w:ascii="Times New Roman" w:hAnsi="Times New Roman" w:eastAsia="宋体" w:cs="Times New Roman"/>
          <w:color w:val="auto"/>
        </w:rPr>
        <w:t>，简单防渗区进行地表硬化处理，防渗性能应不大于1×10</w:t>
      </w:r>
      <w:r>
        <w:rPr>
          <w:rFonts w:ascii="Times New Roman" w:hAnsi="Times New Roman" w:eastAsia="宋体" w:cs="Times New Roman"/>
          <w:color w:val="auto"/>
          <w:vertAlign w:val="superscript"/>
        </w:rPr>
        <w:t>-6</w:t>
      </w:r>
      <w:r>
        <w:rPr>
          <w:rFonts w:ascii="Times New Roman" w:hAnsi="Times New Roman" w:eastAsia="宋体" w:cs="Times New Roman"/>
          <w:color w:val="auto"/>
        </w:rPr>
        <w:t>cm/s。</w:t>
      </w:r>
    </w:p>
    <w:p w14:paraId="62783D0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z w:val="24"/>
          <w:szCs w:val="24"/>
          <w:highlight w:val="none"/>
        </w:rPr>
      </w:pPr>
      <w:r>
        <w:rPr>
          <w:rFonts w:ascii="Times New Roman" w:hAnsi="Times New Roman" w:eastAsia="宋体" w:cs="Times New Roman"/>
          <w:color w:val="auto"/>
        </w:rPr>
        <w:t>本项目对地下水污染提出了严格的防渗措施及监控体系，在有效落实这些措施后，项目正常运行对地下水影响很小。</w:t>
      </w:r>
    </w:p>
    <w:p w14:paraId="64DF169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3、噪声</w:t>
      </w:r>
    </w:p>
    <w:p w14:paraId="6D74214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锅炉</w:t>
      </w:r>
      <w:r>
        <w:rPr>
          <w:rFonts w:hint="eastAsia" w:ascii="Times New Roman" w:hAnsi="Times New Roman" w:eastAsia="宋体" w:cs="Times New Roman"/>
          <w:color w:val="auto"/>
          <w:lang w:val="en-US" w:eastAsia="zh-CN"/>
        </w:rPr>
        <w:t>设封闭锅炉</w:t>
      </w:r>
      <w:r>
        <w:rPr>
          <w:rFonts w:ascii="Times New Roman" w:hAnsi="Times New Roman" w:eastAsia="宋体" w:cs="Times New Roman"/>
          <w:color w:val="auto"/>
        </w:rPr>
        <w:t>房，风机安装时采取减振基础、软管连接，鼓风机的进气口及引风机的出风口安装消声器。</w:t>
      </w:r>
      <w:r>
        <w:rPr>
          <w:rFonts w:hint="eastAsia" w:ascii="Times New Roman" w:hAnsi="Times New Roman" w:eastAsia="宋体" w:cs="Times New Roman"/>
          <w:color w:val="auto"/>
          <w:lang w:val="en-US" w:eastAsia="zh-CN"/>
        </w:rPr>
        <w:t>定期对燃煤转运车辆进行维护保养，降低转运车辆噪声，且煤场为全封闭煤库，可减小燃煤转运噪声对周边居民的影响。</w:t>
      </w:r>
      <w:r>
        <w:rPr>
          <w:rFonts w:ascii="Times New Roman" w:hAnsi="Times New Roman" w:eastAsia="宋体" w:cs="Times New Roman"/>
          <w:color w:val="auto"/>
        </w:rPr>
        <w:t>同时，通过厂房隔声和距离衰减，厂界噪声可满足《工业企业厂界环境噪声排放标准》</w:t>
      </w:r>
      <w:r>
        <w:rPr>
          <w:rFonts w:hint="eastAsia" w:ascii="Times New Roman" w:hAnsi="Times New Roman" w:eastAsia="宋体" w:cs="Times New Roman"/>
          <w:color w:val="auto"/>
          <w:lang w:val="en-US" w:eastAsia="zh-CN"/>
        </w:rPr>
        <w:t>2</w:t>
      </w:r>
      <w:r>
        <w:rPr>
          <w:rFonts w:hint="eastAsia" w:ascii="Times New Roman" w:hAnsi="Times New Roman" w:eastAsia="宋体" w:cs="Times New Roman"/>
          <w:color w:val="auto"/>
        </w:rPr>
        <w:t>类标准</w:t>
      </w:r>
      <w:r>
        <w:rPr>
          <w:rFonts w:ascii="Times New Roman" w:hAnsi="Times New Roman" w:eastAsia="宋体" w:cs="Times New Roman"/>
          <w:color w:val="auto"/>
        </w:rPr>
        <w:t>。对声环境的不利影响较小。</w:t>
      </w:r>
    </w:p>
    <w:p w14:paraId="5556A6C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4、固体废物对环境的影响</w:t>
      </w:r>
    </w:p>
    <w:p w14:paraId="28258A9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①本项目不新增员工，不新增生活垃圾，厂区现有生活垃圾集中收集由市政环卫部门统一处理。</w:t>
      </w:r>
    </w:p>
    <w:p w14:paraId="0264162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②</w:t>
      </w:r>
      <w:r>
        <w:rPr>
          <w:rFonts w:hint="default" w:ascii="Times New Roman" w:hAnsi="Times New Roman" w:eastAsia="宋体" w:cs="Times New Roman"/>
          <w:color w:val="auto"/>
          <w:lang w:val="en-US" w:eastAsia="zh-CN"/>
        </w:rPr>
        <w:t>锅炉灰渣运至</w:t>
      </w:r>
      <w:r>
        <w:rPr>
          <w:rFonts w:hint="eastAsia" w:ascii="Times New Roman" w:hAnsi="Times New Roman" w:eastAsia="宋体" w:cs="Times New Roman"/>
          <w:color w:val="auto"/>
          <w:lang w:val="en-US" w:eastAsia="zh-CN"/>
        </w:rPr>
        <w:t>虎林市源泽永固水泥制品销售有限公司进行综合利用</w:t>
      </w:r>
      <w:r>
        <w:rPr>
          <w:rFonts w:hint="default" w:ascii="Times New Roman" w:hAnsi="Times New Roman" w:eastAsia="宋体" w:cs="Times New Roman"/>
          <w:color w:val="auto"/>
          <w:lang w:val="en-US" w:eastAsia="zh-CN"/>
        </w:rPr>
        <w:t>，灰渣随排随运，尽量减少储存时间及储存量</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FF0000"/>
          <w:sz w:val="24"/>
          <w:szCs w:val="24"/>
          <w:highlight w:val="none"/>
          <w:lang w:val="en-US" w:eastAsia="zh-CN"/>
        </w:rPr>
        <w:t>同时，建设单位与宝清县焱顺煤炭经销有限公司作签订协议，锅炉灰渣处置行程综合利用双保险</w:t>
      </w:r>
      <w:r>
        <w:rPr>
          <w:rFonts w:hint="default" w:ascii="Times New Roman" w:hAnsi="Times New Roman" w:eastAsia="宋体" w:cs="Times New Roman"/>
          <w:color w:val="auto"/>
          <w:lang w:val="en-US" w:eastAsia="zh-CN"/>
        </w:rPr>
        <w:t>；脱硫副产物运至黑龙江春农生物科技有限公司作为生产原料使用</w:t>
      </w:r>
      <w:r>
        <w:rPr>
          <w:rFonts w:ascii="Times New Roman" w:hAnsi="Times New Roman" w:eastAsia="宋体" w:cs="Times New Roman"/>
          <w:color w:val="auto"/>
        </w:rPr>
        <w:t>，</w:t>
      </w:r>
      <w:r>
        <w:rPr>
          <w:rFonts w:hint="default" w:ascii="Times New Roman" w:hAnsi="Times New Roman" w:eastAsia="宋体" w:cs="Times New Roman"/>
          <w:color w:val="auto"/>
          <w:lang w:val="en-US" w:eastAsia="zh-CN"/>
        </w:rPr>
        <w:t>废离子交换树脂由化学水处理设备厂家定期更换回收，不在厂区内堆存；废布袋由厂家定期更换回收，不在厂区堆存。</w:t>
      </w:r>
    </w:p>
    <w:p w14:paraId="71F1677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③根据《国家危险废物名录（202</w:t>
      </w:r>
      <w:r>
        <w:rPr>
          <w:rFonts w:hint="eastAsia" w:ascii="Times New Roman" w:hAnsi="Times New Roman" w:eastAsia="宋体" w:cs="Times New Roman"/>
          <w:color w:val="auto"/>
        </w:rPr>
        <w:t>5</w:t>
      </w:r>
      <w:r>
        <w:rPr>
          <w:rFonts w:ascii="Times New Roman" w:hAnsi="Times New Roman" w:eastAsia="宋体" w:cs="Times New Roman"/>
          <w:color w:val="auto"/>
        </w:rPr>
        <w:t>年版）》，</w:t>
      </w:r>
      <w:r>
        <w:rPr>
          <w:rFonts w:hint="default" w:ascii="Times New Roman" w:hAnsi="Times New Roman" w:eastAsia="宋体" w:cs="Times New Roman"/>
          <w:color w:val="auto"/>
          <w:lang w:val="en-US" w:eastAsia="zh-CN"/>
        </w:rPr>
        <w:t>脱硝系统产生的废脱硝催化剂（772-007-50）、机械维修过程中产生的废矿物油（900-214-08）均属于危险废物，在厂区危险废物贮存点</w:t>
      </w:r>
      <w:r>
        <w:rPr>
          <w:rFonts w:hint="eastAsia" w:ascii="Times New Roman" w:hAnsi="Times New Roman" w:eastAsia="宋体" w:cs="Times New Roman"/>
          <w:color w:val="auto"/>
          <w:lang w:val="en-US" w:eastAsia="zh-CN"/>
        </w:rPr>
        <w:t>暂存，</w:t>
      </w:r>
      <w:r>
        <w:rPr>
          <w:rFonts w:hint="default" w:ascii="Times New Roman" w:hAnsi="Times New Roman" w:eastAsia="宋体" w:cs="Times New Roman"/>
          <w:color w:val="auto"/>
          <w:lang w:val="en-US" w:eastAsia="zh-CN"/>
        </w:rPr>
        <w:t>委托有危险废物处理资质的单位</w:t>
      </w:r>
      <w:r>
        <w:rPr>
          <w:rFonts w:hint="eastAsia" w:ascii="Times New Roman" w:hAnsi="Times New Roman" w:eastAsia="宋体" w:cs="Times New Roman"/>
          <w:color w:val="auto"/>
          <w:lang w:val="en-US" w:eastAsia="zh-CN"/>
        </w:rPr>
        <w:t>处置，目前由有资质单位黑龙江省庆昌环保科技有限公司</w:t>
      </w:r>
      <w:r>
        <w:rPr>
          <w:rFonts w:hint="default" w:ascii="Times New Roman" w:hAnsi="Times New Roman" w:eastAsia="宋体" w:cs="Times New Roman"/>
          <w:color w:val="auto"/>
          <w:lang w:val="en-US" w:eastAsia="zh-CN"/>
        </w:rPr>
        <w:t>统一处理</w:t>
      </w:r>
      <w:r>
        <w:rPr>
          <w:rFonts w:ascii="Times New Roman" w:hAnsi="Times New Roman" w:eastAsia="宋体" w:cs="Times New Roman"/>
          <w:color w:val="auto"/>
        </w:rPr>
        <w:t>。</w:t>
      </w:r>
    </w:p>
    <w:p w14:paraId="70E5BE7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5、环境风险对环境的影响</w:t>
      </w:r>
    </w:p>
    <w:p w14:paraId="2A86474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本项目所涉及的危险物质包括</w:t>
      </w:r>
      <w:r>
        <w:rPr>
          <w:rFonts w:hint="eastAsia" w:ascii="Times New Roman" w:hAnsi="Times New Roman" w:eastAsia="宋体" w:cs="Times New Roman"/>
          <w:color w:val="auto"/>
          <w:lang w:val="en-US" w:eastAsia="zh-CN"/>
        </w:rPr>
        <w:t>：点火使用的轻柴油，本期工程厂区内不设储油罐，由燃油公司的油罐车将柴油直接运至厂内，柴油经燃油泵升压点火即可满足要求。本项目涉及的危险物质为轻柴油，柴油可能会引起火灾对环境空气和水体造成影响，柴油使用量很少。针对环境风险事故也采取了有效的风险减缓措施。综合分析，本项目对环境风险影响很小。</w:t>
      </w:r>
    </w:p>
    <w:p w14:paraId="11A7F2A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6、对土壤环境的影响</w:t>
      </w:r>
    </w:p>
    <w:p w14:paraId="577FFCB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本项目锅炉废气采用高效除尘脱硫协同除汞，除汞效率70%，锅炉废气经治理措施后烟气中汞及其化合物的排放速率较小，</w:t>
      </w:r>
      <w:r>
        <w:rPr>
          <w:rFonts w:hint="default" w:ascii="Times New Roman" w:hAnsi="Times New Roman" w:eastAsia="宋体" w:cs="Times New Roman"/>
          <w:color w:val="auto"/>
          <w:lang w:val="en-US" w:eastAsia="zh-CN"/>
        </w:rPr>
        <w:t>在大气环境中的浓度非常低，在大气沉降过程中影响可以忽略。本项目采取相应的防渗措施，有效防止污染物通过入渗途径进入土壤环境造成污染，对于泄漏现象应及时发现并采取有效措施停止泄漏，对土壤环境</w:t>
      </w:r>
      <w:r>
        <w:rPr>
          <w:rFonts w:hint="eastAsia" w:ascii="Times New Roman" w:hAnsi="Times New Roman" w:eastAsia="宋体" w:cs="Times New Roman"/>
          <w:color w:val="auto"/>
          <w:lang w:val="en-US" w:eastAsia="zh-CN"/>
        </w:rPr>
        <w:t>影响较小。区内不设储油罐，不会发生柴油泄漏污染土壤环境。</w:t>
      </w:r>
    </w:p>
    <w:p w14:paraId="1145AC7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7、对生态环境的影响</w:t>
      </w:r>
    </w:p>
    <w:p w14:paraId="581DF89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本项目位于原厂界占地范围内，报告类型为污染影响类，性质为改扩建项目，本项目厂址不涉及生态敏感区，对生态环境影响较小。</w:t>
      </w:r>
    </w:p>
    <w:p w14:paraId="60DEB787">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62" w:name="_Toc6360"/>
      <w:bookmarkStart w:id="63" w:name="_Toc4754"/>
      <w:r>
        <w:rPr>
          <w:rFonts w:hint="eastAsia" w:ascii="Times New Roman" w:hAnsi="Times New Roman" w:eastAsia="宋体" w:cs="Times New Roman"/>
          <w:b/>
          <w:bCs/>
          <w:color w:val="auto"/>
          <w:lang w:val="en-US" w:eastAsia="zh-CN"/>
        </w:rPr>
        <w:t xml:space="preserve">1.6 </w:t>
      </w:r>
      <w:r>
        <w:rPr>
          <w:rFonts w:hint="default" w:ascii="Times New Roman" w:hAnsi="Times New Roman" w:eastAsia="宋体" w:cs="Times New Roman"/>
          <w:b/>
          <w:bCs/>
          <w:color w:val="auto"/>
        </w:rPr>
        <w:t>环境影响评价工作主要结论</w:t>
      </w:r>
      <w:bookmarkEnd w:id="62"/>
      <w:bookmarkEnd w:id="63"/>
    </w:p>
    <w:p w14:paraId="4B98645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hint="eastAsia" w:ascii="Times New Roman" w:hAnsi="Times New Roman" w:eastAsia="宋体" w:cs="Times New Roman"/>
          <w:color w:val="auto"/>
          <w:lang w:val="en-US" w:eastAsia="zh-CN"/>
        </w:rPr>
        <w:t>本项目建设内容符合《产业结构调整指导目录（2024年本）》，本项目运营期对周围环境的影响主要表现在对大气环境、地表水环境、地下水环境、声环境、固体废物影响，通过采取相应的环境污染防治措施后能够实现污染物达标排放，从而降低对周围环境及敏感目标的影响。经过预测分析，本项目建设对外环境影响较小，总量控制指标能够落实。综上所述，项目建设是合理可行的。</w:t>
      </w:r>
      <w:r>
        <w:rPr>
          <w:rFonts w:ascii="Times New Roman" w:hAnsi="Times New Roman" w:eastAsia="宋体" w:cs="Times New Roman"/>
          <w:color w:val="auto"/>
        </w:rPr>
        <w:br w:type="page"/>
      </w:r>
    </w:p>
    <w:p w14:paraId="1F6E6925">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default" w:ascii="Times New Roman" w:hAnsi="Times New Roman" w:eastAsia="宋体" w:cs="Times New Roman"/>
          <w:b/>
          <w:bCs/>
          <w:color w:val="auto"/>
          <w:kern w:val="2"/>
          <w:sz w:val="32"/>
          <w:szCs w:val="32"/>
        </w:rPr>
      </w:pPr>
      <w:bookmarkStart w:id="64" w:name="_Toc1257"/>
      <w:bookmarkStart w:id="65" w:name="_Toc16363"/>
      <w:r>
        <w:rPr>
          <w:rStyle w:val="164"/>
          <w:rFonts w:hint="eastAsia" w:ascii="Times New Roman" w:hAnsi="Times New Roman" w:eastAsia="宋体" w:cs="Times New Roman"/>
          <w:b/>
          <w:bCs/>
          <w:color w:val="auto"/>
          <w:kern w:val="2"/>
          <w:sz w:val="32"/>
          <w:szCs w:val="32"/>
          <w:lang w:val="en-US" w:eastAsia="zh-CN"/>
        </w:rPr>
        <w:t>2、</w:t>
      </w:r>
      <w:r>
        <w:rPr>
          <w:rStyle w:val="164"/>
          <w:rFonts w:hint="default" w:ascii="Times New Roman" w:hAnsi="Times New Roman" w:eastAsia="宋体" w:cs="Times New Roman"/>
          <w:b/>
          <w:bCs/>
          <w:color w:val="auto"/>
          <w:kern w:val="2"/>
          <w:sz w:val="32"/>
          <w:szCs w:val="32"/>
        </w:rPr>
        <w:t>总则</w:t>
      </w:r>
      <w:bookmarkEnd w:id="64"/>
      <w:bookmarkEnd w:id="65"/>
    </w:p>
    <w:p w14:paraId="00526589">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66" w:name="_Toc5939"/>
      <w:bookmarkStart w:id="67" w:name="_Toc19009"/>
      <w:r>
        <w:rPr>
          <w:rFonts w:hint="eastAsia" w:ascii="Times New Roman" w:hAnsi="Times New Roman" w:eastAsia="宋体" w:cs="Times New Roman"/>
          <w:b/>
          <w:bCs/>
          <w:color w:val="auto"/>
          <w:lang w:val="en-US" w:eastAsia="zh-CN"/>
        </w:rPr>
        <w:t xml:space="preserve">2.1 </w:t>
      </w:r>
      <w:r>
        <w:rPr>
          <w:rFonts w:hint="default" w:ascii="Times New Roman" w:hAnsi="Times New Roman" w:eastAsia="宋体" w:cs="Times New Roman"/>
          <w:b/>
          <w:bCs/>
          <w:color w:val="auto"/>
        </w:rPr>
        <w:t>编制依据</w:t>
      </w:r>
      <w:bookmarkEnd w:id="66"/>
      <w:bookmarkEnd w:id="67"/>
    </w:p>
    <w:p w14:paraId="52970AD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8" w:name="_Toc105659866"/>
      <w:bookmarkStart w:id="69" w:name="_Toc4110"/>
      <w:bookmarkStart w:id="70" w:name="_Toc2646"/>
      <w:bookmarkStart w:id="71" w:name="_Toc15409"/>
      <w:bookmarkStart w:id="72" w:name="_Toc107238083"/>
      <w:bookmarkStart w:id="73" w:name="_Toc5509"/>
      <w:r>
        <w:rPr>
          <w:rFonts w:hint="eastAsia" w:ascii="Times New Roman" w:hAnsi="Times New Roman" w:eastAsia="宋体" w:cs="Times New Roman"/>
          <w:b/>
          <w:bCs/>
          <w:color w:val="auto"/>
          <w:sz w:val="28"/>
          <w:szCs w:val="28"/>
          <w:lang w:val="en-US" w:eastAsia="zh-CN"/>
        </w:rPr>
        <w:t>2.1.1 国家法律规范及部门规章</w:t>
      </w:r>
    </w:p>
    <w:p w14:paraId="5081BA6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（1）《中华人民共和国环境保护法》（主席令2014年第9号）（2015.1.1实施）；</w:t>
      </w:r>
    </w:p>
    <w:p w14:paraId="1F4D989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（2）《中华人民共和国环境影响评价法》（2018修正版）（2018.12.29实施）；</w:t>
      </w:r>
    </w:p>
    <w:p w14:paraId="2FF8889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（3）《中华人民共和国大气污染防治法》（2018修正版）（2018.10.26实施）；</w:t>
      </w:r>
    </w:p>
    <w:p w14:paraId="08EC0C7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（4）《中华人民共和国水污染防治法》（2018.1.1实施）；</w:t>
      </w:r>
    </w:p>
    <w:p w14:paraId="2B98A19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（5）《中华人民共和国噪声污染防治法》中华人民共和国主席令第一0四号（2022.6.5实施）；</w:t>
      </w:r>
    </w:p>
    <w:p w14:paraId="224C582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（6）《中华人民共和国固体废物污染环境防治法》（2020.9.1实施）；</w:t>
      </w:r>
    </w:p>
    <w:p w14:paraId="3DC5D9C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（7）《中华人民共和国清洁生产促进法》（2012修订，2012年2月29日发布）；</w:t>
      </w:r>
    </w:p>
    <w:p w14:paraId="184A967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（8）《中华人民共和国土壤污染防治法》（2019.1.1）；</w:t>
      </w:r>
    </w:p>
    <w:p w14:paraId="701D2A5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（9）《中华人民共和国土地管理法》（2019.8.26）；</w:t>
      </w:r>
    </w:p>
    <w:p w14:paraId="478A776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2.1.2 法规</w:t>
      </w:r>
      <w:bookmarkEnd w:id="68"/>
      <w:bookmarkEnd w:id="69"/>
      <w:bookmarkEnd w:id="70"/>
      <w:bookmarkEnd w:id="71"/>
      <w:bookmarkEnd w:id="72"/>
      <w:bookmarkEnd w:id="73"/>
    </w:p>
    <w:p w14:paraId="7D9FD7A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（1）中华人民共和国国务院令第682号《建设项目环境保护管理条例》（2017.10.1实施）；</w:t>
      </w:r>
    </w:p>
    <w:p w14:paraId="03F36B6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（2）《国务院关于印发水污染防治行动计划的通知》（国发〔2015〕17号，2015.4.2）。</w:t>
      </w:r>
    </w:p>
    <w:p w14:paraId="23D194A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（3）《排污许可管理条例》（国务院令第736号，2021年3月1日起施行）；</w:t>
      </w:r>
    </w:p>
    <w:p w14:paraId="6C10507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（4）《地下水管理条例》（国务院令第748号，2021年12月1日起施行）;</w:t>
      </w:r>
    </w:p>
    <w:p w14:paraId="1B68E03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（5）《国务院关于印发&lt;空气质量持续改善行动计划的通知&gt;》（国发〔2023〕24号）。</w:t>
      </w:r>
    </w:p>
    <w:p w14:paraId="2010107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74" w:name="_Toc22402"/>
      <w:bookmarkStart w:id="75" w:name="_Toc6910"/>
      <w:bookmarkStart w:id="76" w:name="_Toc105659867"/>
      <w:bookmarkStart w:id="77" w:name="_Toc31830"/>
      <w:bookmarkStart w:id="78" w:name="_Toc107238084"/>
      <w:bookmarkStart w:id="79" w:name="_Toc10704"/>
      <w:r>
        <w:rPr>
          <w:rFonts w:hint="eastAsia" w:ascii="Times New Roman" w:hAnsi="Times New Roman" w:eastAsia="宋体" w:cs="Times New Roman"/>
          <w:b/>
          <w:bCs/>
          <w:color w:val="auto"/>
          <w:sz w:val="28"/>
          <w:szCs w:val="28"/>
          <w:lang w:val="en-US" w:eastAsia="zh-CN"/>
        </w:rPr>
        <w:t>2.1.3 部门规章</w:t>
      </w:r>
      <w:bookmarkEnd w:id="74"/>
      <w:bookmarkEnd w:id="75"/>
      <w:bookmarkEnd w:id="76"/>
      <w:bookmarkEnd w:id="77"/>
      <w:bookmarkEnd w:id="78"/>
      <w:bookmarkEnd w:id="79"/>
    </w:p>
    <w:p w14:paraId="7CE50CA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bookmarkStart w:id="80" w:name="_Toc105659868"/>
      <w:bookmarkStart w:id="81" w:name="_Toc107238085"/>
      <w:r>
        <w:rPr>
          <w:rFonts w:hint="eastAsia" w:ascii="Times New Roman" w:hAnsi="Times New Roman" w:eastAsia="宋体" w:cs="Times New Roman"/>
          <w:color w:val="auto"/>
          <w:lang w:val="en-US" w:eastAsia="zh-CN"/>
        </w:rPr>
        <w:t>（1）《建设项目环境影响评价分类管理名录》（2021年版）（生态环境部，部令第16号，2020年11月30日）；</w:t>
      </w:r>
    </w:p>
    <w:p w14:paraId="311F7CD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（2）《产业结构调整指导目录（2024年本）》（2024年2月1日施行）；</w:t>
      </w:r>
    </w:p>
    <w:p w14:paraId="70D1DF3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（3）《关于切实加强风险防范严格环境影响评价管理的通知》（环发〔2012〕98号）；</w:t>
      </w:r>
    </w:p>
    <w:p w14:paraId="2E6F6C2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（4）《关于进一步加强环境影响评价管理防范环境风险的通知》（环发〔2012〕77号）；</w:t>
      </w:r>
    </w:p>
    <w:p w14:paraId="0FFE56C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（5）《黑龙江省人民政府关于实施“三线一单”生态环境分区管控的意见》（黑政发〔2020〕14号）；</w:t>
      </w:r>
    </w:p>
    <w:p w14:paraId="6E9680A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（6）《双鸭山市人民政府关于实施“三线一单”生态环境分区管控的意见》（双政规〔2021〕2号）；</w:t>
      </w:r>
    </w:p>
    <w:p w14:paraId="081D3A2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（7）《商品煤质量管理暂行办法》（2014.9.3）；</w:t>
      </w:r>
    </w:p>
    <w:p w14:paraId="477922D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（8）《环境空气细颗粒物污染综合防治技术政策》（公告2013年第59号）2013.9.13发布实施；</w:t>
      </w:r>
    </w:p>
    <w:p w14:paraId="5F6CD82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（9）生态环境部《关于加强重点行业建设项目区域削减措施监督管理的通知》（环办环评〔2020〕36号）；</w:t>
      </w:r>
    </w:p>
    <w:p w14:paraId="1151A0D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（11）《黑龙江省国民经济和社会发展第十四个五年规划和二0三五年远景目标纲要的通知》；</w:t>
      </w:r>
    </w:p>
    <w:p w14:paraId="6861213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（12）《黑龙江省“十四五”生态环境保护规划》（2021.12.29）；</w:t>
      </w:r>
    </w:p>
    <w:p w14:paraId="7199051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（13）《国家污染防治技术指导目录》（环办科财函〔2025〕197号）</w:t>
      </w:r>
    </w:p>
    <w:p w14:paraId="6942E29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（14）《黑龙江省大气污染防治条例》（2018修订）（2017.5.1实施）；</w:t>
      </w:r>
    </w:p>
    <w:p w14:paraId="6590AB4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（15）《黑龙江省生态功能区划》（黑政函〔2006〕75号）；</w:t>
      </w:r>
    </w:p>
    <w:p w14:paraId="074B9D7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（16）《黑龙江省人民政府关于印发黑龙江省主体功能区规划的通知》（黑政发〔2012〕29号，2012年4月25日）；</w:t>
      </w:r>
    </w:p>
    <w:p w14:paraId="0700050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（17）《国家危险废物名录（2025年版）》（部令第36号）；</w:t>
      </w:r>
    </w:p>
    <w:p w14:paraId="3321F30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（18）《环境影响评价公众参与办法》（生态环境部令第4号）；</w:t>
      </w:r>
    </w:p>
    <w:p w14:paraId="71245E2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（19）《黑龙江省人民政府关于全面加强生态环境保护坚决打好污染防治攻坚战的实施意见》（2018年9月14日）；</w:t>
      </w:r>
    </w:p>
    <w:p w14:paraId="4730767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（20）《黑龙江省城市供热条例》（2021年10月29日修订）；</w:t>
      </w:r>
    </w:p>
    <w:p w14:paraId="7283D5B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（21）《黑龙江省水污染防治条例》（2023年12月1日施行）；</w:t>
      </w:r>
    </w:p>
    <w:p w14:paraId="4789DCA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（22）《黑龙江省人民政府关于印发&lt;黑龙江省空气质量持续改善行动计划实施方案&gt;的通知》（黑政发〔2023〕19号）。</w:t>
      </w:r>
    </w:p>
    <w:p w14:paraId="13A326B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（23）《双鸭山市“十四五”生态环境保护规划》（双政规〔2022〕9号）.</w:t>
      </w:r>
    </w:p>
    <w:p w14:paraId="494A3BA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（24）《宝清县国土空间总体规划（2021-2035年）》《双鸭山市宝清县八五二农场编制单元国土空间总体规划（2021-2035）公示内容》。</w:t>
      </w:r>
    </w:p>
    <w:p w14:paraId="478F7FE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（25）《</w:t>
      </w:r>
      <w:r>
        <w:rPr>
          <w:rFonts w:hint="default" w:ascii="Times New Roman" w:hAnsi="Times New Roman" w:eastAsia="宋体" w:cs="Times New Roman"/>
          <w:color w:val="auto"/>
          <w:lang w:val="en-US" w:eastAsia="zh-CN"/>
        </w:rPr>
        <w:t>工业其他行业企业温室气体排放核算方法与报告指南（试行）</w:t>
      </w:r>
      <w:r>
        <w:rPr>
          <w:rFonts w:hint="eastAsia" w:ascii="Times New Roman" w:hAnsi="Times New Roman" w:eastAsia="宋体" w:cs="Times New Roman"/>
          <w:color w:val="auto"/>
          <w:lang w:val="en-US" w:eastAsia="zh-CN"/>
        </w:rPr>
        <w:t>》。</w:t>
      </w:r>
    </w:p>
    <w:p w14:paraId="768AD323">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82" w:name="_Toc12884"/>
      <w:bookmarkStart w:id="83" w:name="_Toc16612"/>
      <w:bookmarkStart w:id="84" w:name="_Toc14634"/>
      <w:bookmarkStart w:id="85" w:name="_Toc7008"/>
      <w:r>
        <w:rPr>
          <w:rFonts w:hint="eastAsia" w:ascii="Times New Roman" w:hAnsi="Times New Roman" w:eastAsia="宋体" w:cs="Times New Roman"/>
          <w:b/>
          <w:bCs/>
          <w:color w:val="auto"/>
          <w:sz w:val="28"/>
          <w:szCs w:val="28"/>
          <w:lang w:val="en-US" w:eastAsia="zh-CN"/>
        </w:rPr>
        <w:t>2.1.4 有关标准技术规范</w:t>
      </w:r>
      <w:bookmarkEnd w:id="82"/>
      <w:bookmarkEnd w:id="83"/>
      <w:bookmarkEnd w:id="84"/>
    </w:p>
    <w:p w14:paraId="7955114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（1）《建设项目环境影响评价技术导则</w:t>
      </w:r>
      <w:r>
        <w:rPr>
          <w:rFonts w:hint="eastAsia" w:ascii="Times New Roman" w:hAnsi="Times New Roman" w:eastAsia="宋体" w:cs="Times New Roman"/>
          <w:color w:val="auto"/>
          <w:lang w:val="en-US" w:eastAsia="zh-CN"/>
        </w:rPr>
        <w:t xml:space="preserve"> </w:t>
      </w:r>
      <w:r>
        <w:rPr>
          <w:rFonts w:hint="default" w:ascii="Times New Roman" w:hAnsi="Times New Roman" w:eastAsia="宋体" w:cs="Times New Roman"/>
          <w:color w:val="auto"/>
          <w:lang w:val="en-US" w:eastAsia="zh-CN"/>
        </w:rPr>
        <w:t>总纲》（HJ2.1-2016）；</w:t>
      </w:r>
    </w:p>
    <w:p w14:paraId="23CF1D8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（2）《环境影响评价技术导则 大气环境》（HJ2.2-2018）；</w:t>
      </w:r>
    </w:p>
    <w:p w14:paraId="122B3C5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（3）《环境影响评价技术导则 地表水环境》（HJ2.3-2018）；</w:t>
      </w:r>
    </w:p>
    <w:p w14:paraId="7E382AB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（4）《环境影响评价技术导则 地下水环境》（HJ610-2016）；</w:t>
      </w:r>
    </w:p>
    <w:p w14:paraId="1C887C0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（5）《环境影响评价技术导则 声环境》（HJ2.4-2021）；</w:t>
      </w:r>
    </w:p>
    <w:p w14:paraId="4BD30A9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（6）《环境影响评价技术导则 生态影响》（HJ19-2022）；</w:t>
      </w:r>
    </w:p>
    <w:p w14:paraId="71026FE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（7）《建设项目环境风险评价技术导则》（HJ169-2018）；</w:t>
      </w:r>
    </w:p>
    <w:p w14:paraId="755E697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（8）《环境影响评价技术导则 土壤环境（试行）》（HJ964-2018）；</w:t>
      </w:r>
    </w:p>
    <w:p w14:paraId="14212A7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（9）《排污单位自行监测技术指南 总则》（HJ819-2017）；</w:t>
      </w:r>
    </w:p>
    <w:p w14:paraId="34C45A8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（10）《排污单位自行监测技术指南 火力发电及锅炉》（HJ820-2017）；</w:t>
      </w:r>
    </w:p>
    <w:p w14:paraId="05F252A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（11）《排污许可证申请与核发技术规范 锅炉》（HJ953-2018）；</w:t>
      </w:r>
    </w:p>
    <w:p w14:paraId="2E5031C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（12）《污染源源强核算技术指南 准则》（HJ884-2018）；</w:t>
      </w:r>
    </w:p>
    <w:p w14:paraId="6A683DA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（13）《污染源源强核算技术指南 锅炉》（HJ991-2018）；</w:t>
      </w:r>
    </w:p>
    <w:p w14:paraId="0E68A8E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（14）《给排水构筑物工程施工及验收规范》（GB50141-2008）；</w:t>
      </w:r>
    </w:p>
    <w:p w14:paraId="6E58695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（15）《地下水环境监测技术规范》（HJ164-2020）；</w:t>
      </w:r>
    </w:p>
    <w:p w14:paraId="6D02F0B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（16）《关于发布&lt;建设项目危险废物环境影响评价指南&gt;的公告》（环境保护部公告2017年第43号）；</w:t>
      </w:r>
    </w:p>
    <w:p w14:paraId="5A69FFB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（17）《工业锅炉污染防治可行技术指南》（HJ1178-2021）</w:t>
      </w:r>
      <w:r>
        <w:rPr>
          <w:rFonts w:hint="eastAsia" w:ascii="Times New Roman" w:hAnsi="Times New Roman" w:eastAsia="宋体" w:cs="Times New Roman"/>
          <w:color w:val="auto"/>
          <w:lang w:val="en-US" w:eastAsia="zh-CN"/>
        </w:rPr>
        <w:t>；</w:t>
      </w:r>
    </w:p>
    <w:p w14:paraId="0435A3F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r>
        <w:rPr>
          <w:rFonts w:hint="eastAsia" w:ascii="Times New Roman" w:hAnsi="Times New Roman" w:eastAsia="宋体" w:cs="Times New Roman"/>
          <w:color w:val="auto"/>
          <w:lang w:val="en-US" w:eastAsia="zh-CN"/>
        </w:rPr>
        <w:t>8</w:t>
      </w:r>
      <w:r>
        <w:rPr>
          <w:rFonts w:hint="default" w:ascii="Times New Roman" w:hAnsi="Times New Roman" w:eastAsia="宋体" w:cs="Times New Roman"/>
          <w:color w:val="auto"/>
          <w:lang w:val="en-US" w:eastAsia="zh-CN"/>
        </w:rPr>
        <w:t>）《工业锅炉烟气治理工程技术规范》（HJ 462—2021）。</w:t>
      </w:r>
    </w:p>
    <w:p w14:paraId="5028B14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86" w:name="_Toc29146"/>
      <w:bookmarkStart w:id="87" w:name="_Toc20409"/>
      <w:bookmarkStart w:id="88" w:name="_Toc20366"/>
      <w:r>
        <w:rPr>
          <w:rFonts w:hint="eastAsia" w:ascii="Times New Roman" w:hAnsi="Times New Roman" w:eastAsia="宋体" w:cs="Times New Roman"/>
          <w:b/>
          <w:bCs/>
          <w:color w:val="auto"/>
          <w:sz w:val="28"/>
          <w:szCs w:val="28"/>
          <w:lang w:val="en-US" w:eastAsia="zh-CN"/>
        </w:rPr>
        <w:t>2.1.5 其他技术资料</w:t>
      </w:r>
      <w:bookmarkEnd w:id="80"/>
      <w:bookmarkEnd w:id="81"/>
      <w:bookmarkEnd w:id="85"/>
      <w:bookmarkEnd w:id="86"/>
      <w:bookmarkEnd w:id="87"/>
      <w:bookmarkEnd w:id="88"/>
    </w:p>
    <w:p w14:paraId="0A3AE70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（1）《黑龙江省八五二农场保障性安居工程基础设施配套供热建设项目环境影响报告书》（中国气象科学研究院，2024.7）</w:t>
      </w:r>
    </w:p>
    <w:p w14:paraId="44CFEEF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zh-CN" w:eastAsia="zh-CN"/>
        </w:rPr>
      </w:pPr>
      <w:r>
        <w:rPr>
          <w:rFonts w:hint="eastAsia" w:ascii="Times New Roman" w:hAnsi="Times New Roman" w:eastAsia="宋体" w:cs="Times New Roman"/>
          <w:color w:val="auto"/>
          <w:lang w:val="en-US" w:eastAsia="zh-CN"/>
        </w:rPr>
        <w:t>（2）《关于黑龙江省八五二农场保障性安居工程基础设施配套供热建设项目环境影响报告书审批意见</w:t>
      </w:r>
      <w:r>
        <w:rPr>
          <w:rFonts w:hint="eastAsia" w:ascii="Times New Roman" w:hAnsi="Times New Roman" w:eastAsia="宋体" w:cs="Times New Roman"/>
          <w:color w:val="auto"/>
          <w:lang w:val="zh-CN" w:eastAsia="zh-CN"/>
        </w:rPr>
        <w:t>的</w:t>
      </w:r>
      <w:r>
        <w:rPr>
          <w:rFonts w:hint="eastAsia" w:ascii="Times New Roman" w:hAnsi="Times New Roman" w:eastAsia="宋体" w:cs="Times New Roman"/>
          <w:color w:val="auto"/>
          <w:lang w:val="en-US" w:eastAsia="zh-CN"/>
        </w:rPr>
        <w:t>复函》</w:t>
      </w:r>
      <w:r>
        <w:rPr>
          <w:rFonts w:hint="eastAsia" w:ascii="Times New Roman" w:hAnsi="Times New Roman" w:eastAsia="宋体" w:cs="Times New Roman"/>
          <w:color w:val="auto"/>
          <w:lang w:val="zh-CN" w:eastAsia="zh-CN"/>
        </w:rPr>
        <w:t>（</w:t>
      </w:r>
      <w:r>
        <w:rPr>
          <w:rFonts w:hint="eastAsia" w:ascii="Times New Roman" w:hAnsi="Times New Roman" w:eastAsia="宋体" w:cs="Times New Roman"/>
          <w:color w:val="auto"/>
          <w:lang w:val="en-US" w:eastAsia="zh-CN"/>
        </w:rPr>
        <w:t>黑龙江省环境保护厅垦区环境保护局，黑垦环函〔2014〕22号</w:t>
      </w:r>
      <w:r>
        <w:rPr>
          <w:rFonts w:hint="eastAsia" w:ascii="Times New Roman" w:hAnsi="Times New Roman" w:eastAsia="宋体" w:cs="Times New Roman"/>
          <w:color w:val="auto"/>
          <w:lang w:val="zh-CN" w:eastAsia="zh-CN"/>
        </w:rPr>
        <w:t>）（20</w:t>
      </w:r>
      <w:r>
        <w:rPr>
          <w:rFonts w:hint="eastAsia" w:ascii="Times New Roman" w:hAnsi="Times New Roman" w:eastAsia="宋体" w:cs="Times New Roman"/>
          <w:color w:val="auto"/>
          <w:lang w:val="en-US" w:eastAsia="zh-CN"/>
        </w:rPr>
        <w:t>14</w:t>
      </w:r>
      <w:r>
        <w:rPr>
          <w:rFonts w:hint="eastAsia" w:ascii="Times New Roman" w:hAnsi="Times New Roman" w:eastAsia="宋体" w:cs="Times New Roman"/>
          <w:color w:val="auto"/>
          <w:lang w:val="zh-CN" w:eastAsia="zh-CN"/>
        </w:rPr>
        <w:t>.</w:t>
      </w:r>
      <w:r>
        <w:rPr>
          <w:rFonts w:hint="eastAsia" w:ascii="Times New Roman" w:hAnsi="Times New Roman" w:eastAsia="宋体" w:cs="Times New Roman"/>
          <w:color w:val="auto"/>
          <w:lang w:val="en-US" w:eastAsia="zh-CN"/>
        </w:rPr>
        <w:t>4</w:t>
      </w:r>
      <w:r>
        <w:rPr>
          <w:rFonts w:hint="eastAsia" w:ascii="Times New Roman" w:hAnsi="Times New Roman" w:eastAsia="宋体" w:cs="Times New Roman"/>
          <w:color w:val="auto"/>
          <w:lang w:val="zh-CN" w:eastAsia="zh-CN"/>
        </w:rPr>
        <w:t>.1</w:t>
      </w:r>
      <w:r>
        <w:rPr>
          <w:rFonts w:hint="eastAsia" w:ascii="Times New Roman" w:hAnsi="Times New Roman" w:eastAsia="宋体" w:cs="Times New Roman"/>
          <w:color w:val="auto"/>
          <w:lang w:val="en-US" w:eastAsia="zh-CN"/>
        </w:rPr>
        <w:t>8</w:t>
      </w:r>
      <w:r>
        <w:rPr>
          <w:rFonts w:hint="eastAsia" w:ascii="Times New Roman" w:hAnsi="Times New Roman" w:eastAsia="宋体" w:cs="Times New Roman"/>
          <w:color w:val="auto"/>
          <w:lang w:val="zh-CN" w:eastAsia="zh-CN"/>
        </w:rPr>
        <w:t>）</w:t>
      </w:r>
    </w:p>
    <w:p w14:paraId="6053E7C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zh-CN" w:eastAsia="zh-CN"/>
        </w:rPr>
      </w:pPr>
      <w:r>
        <w:rPr>
          <w:rFonts w:hint="eastAsia" w:ascii="Times New Roman" w:hAnsi="Times New Roman" w:eastAsia="宋体" w:cs="Times New Roman"/>
          <w:color w:val="auto"/>
          <w:lang w:val="zh-CN" w:eastAsia="zh-CN"/>
        </w:rPr>
        <w:t>（</w:t>
      </w:r>
      <w:r>
        <w:rPr>
          <w:rFonts w:hint="eastAsia" w:ascii="Times New Roman" w:hAnsi="Times New Roman" w:eastAsia="宋体" w:cs="Times New Roman"/>
          <w:color w:val="auto"/>
          <w:lang w:val="en-US" w:eastAsia="zh-CN"/>
        </w:rPr>
        <w:t>3</w:t>
      </w:r>
      <w:r>
        <w:rPr>
          <w:rFonts w:hint="eastAsia" w:ascii="Times New Roman" w:hAnsi="Times New Roman" w:eastAsia="宋体" w:cs="Times New Roman"/>
          <w:color w:val="auto"/>
          <w:lang w:val="zh-CN" w:eastAsia="zh-CN"/>
        </w:rPr>
        <w:t>）《</w:t>
      </w:r>
      <w:r>
        <w:rPr>
          <w:rFonts w:hint="eastAsia" w:ascii="Times New Roman" w:hAnsi="Times New Roman" w:eastAsia="宋体" w:cs="Times New Roman"/>
          <w:color w:val="auto"/>
          <w:lang w:val="en-US" w:eastAsia="zh-CN"/>
        </w:rPr>
        <w:t>黑龙江省八五二农场供热中心环保改造项目环境影响登记表</w:t>
      </w:r>
      <w:r>
        <w:rPr>
          <w:rFonts w:hint="eastAsia" w:ascii="Times New Roman" w:hAnsi="Times New Roman" w:eastAsia="宋体" w:cs="Times New Roman"/>
          <w:color w:val="auto"/>
          <w:lang w:val="zh-CN" w:eastAsia="zh-CN"/>
        </w:rPr>
        <w:t>》（</w:t>
      </w:r>
      <w:r>
        <w:rPr>
          <w:rFonts w:hint="eastAsia" w:ascii="Times New Roman" w:hAnsi="Times New Roman" w:eastAsia="宋体" w:cs="Times New Roman"/>
          <w:color w:val="auto"/>
          <w:lang w:val="en-US" w:eastAsia="zh-CN"/>
        </w:rPr>
        <w:t>2021.10.14</w:t>
      </w:r>
      <w:r>
        <w:rPr>
          <w:rFonts w:hint="eastAsia" w:ascii="Times New Roman" w:hAnsi="Times New Roman" w:eastAsia="宋体" w:cs="Times New Roman"/>
          <w:color w:val="auto"/>
          <w:lang w:val="zh-CN" w:eastAsia="zh-CN"/>
        </w:rPr>
        <w:t>）</w:t>
      </w:r>
    </w:p>
    <w:p w14:paraId="72F6E7D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（4）《北大荒集团黑龙江八五二农场农垦公用基础设施建设项目环境影响登记表》（2024.9.4）</w:t>
      </w:r>
    </w:p>
    <w:p w14:paraId="18FE723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（5）《北大荒集团黑龙江八五二农场农垦公用基础设施建设项目超低排放技术改造环境影响分析论证报告》及其专家意见（2025.3）</w:t>
      </w:r>
    </w:p>
    <w:p w14:paraId="649B619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（6）《黑龙江省八五二农场保障性安居工程基础设施配套供热建设项目竣工环境保护验收监测报告》及其专家意见（2026.1）</w:t>
      </w:r>
    </w:p>
    <w:p w14:paraId="4EC26AB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（7）大荒集团黑龙江八五二农场有限公司提供的其他资料。</w:t>
      </w:r>
    </w:p>
    <w:p w14:paraId="30A0002E">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89" w:name="_Toc14598"/>
      <w:bookmarkStart w:id="90" w:name="_Toc25523"/>
      <w:r>
        <w:rPr>
          <w:rFonts w:hint="eastAsia" w:ascii="Times New Roman" w:hAnsi="Times New Roman" w:eastAsia="宋体" w:cs="Times New Roman"/>
          <w:b/>
          <w:bCs/>
          <w:color w:val="auto"/>
          <w:lang w:val="en-US" w:eastAsia="zh-CN"/>
        </w:rPr>
        <w:t xml:space="preserve">2.2 </w:t>
      </w:r>
      <w:r>
        <w:rPr>
          <w:rFonts w:hint="default" w:ascii="Times New Roman" w:hAnsi="Times New Roman" w:eastAsia="宋体" w:cs="Times New Roman"/>
          <w:b/>
          <w:bCs/>
          <w:color w:val="auto"/>
        </w:rPr>
        <w:t>评价目的与原则</w:t>
      </w:r>
      <w:bookmarkEnd w:id="89"/>
      <w:bookmarkEnd w:id="90"/>
    </w:p>
    <w:p w14:paraId="7D1DDF5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91" w:name="_Toc9352"/>
      <w:bookmarkStart w:id="92" w:name="_Toc105659870"/>
      <w:bookmarkStart w:id="93" w:name="_Toc23736"/>
      <w:bookmarkStart w:id="94" w:name="_Toc2030"/>
      <w:bookmarkStart w:id="95" w:name="_Toc27778"/>
      <w:bookmarkStart w:id="96" w:name="_Toc107238087"/>
      <w:r>
        <w:rPr>
          <w:rFonts w:hint="eastAsia" w:ascii="Times New Roman" w:hAnsi="Times New Roman" w:eastAsia="宋体" w:cs="Times New Roman"/>
          <w:b/>
          <w:bCs/>
          <w:color w:val="auto"/>
          <w:sz w:val="28"/>
          <w:szCs w:val="28"/>
          <w:lang w:val="en-US" w:eastAsia="zh-CN"/>
        </w:rPr>
        <w:t>2.2.1 评价目的</w:t>
      </w:r>
      <w:bookmarkEnd w:id="91"/>
      <w:bookmarkEnd w:id="92"/>
      <w:bookmarkEnd w:id="93"/>
      <w:bookmarkEnd w:id="94"/>
      <w:bookmarkEnd w:id="95"/>
      <w:bookmarkEnd w:id="96"/>
    </w:p>
    <w:p w14:paraId="2C784E7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评价主要针对工程建设对周围环境的影响，从环境的角度出发，以科学求实的态度，对工程所在地的环境质量现状进行调查和分析。并根据工程附近的环境特点和该地区环境质量的控制目标，对工程建设、营运时可能带来的环境影响进行评价。因此，本次评价目的如下：</w:t>
      </w:r>
    </w:p>
    <w:p w14:paraId="600ED46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1、根据区域的资源情况，结合国家相关产业政策、环境保护政策，分析论证本项目的环境可行性。</w:t>
      </w:r>
    </w:p>
    <w:p w14:paraId="384CB22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2、通过对项目所在区域环境质量现状调查、监测及污染源调查，掌握该区域环境质量现状和污染源分布情况。</w:t>
      </w:r>
    </w:p>
    <w:p w14:paraId="4591DE8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3、通过工程分析，分析本项目涉及的工艺流程、产物环节及污染物排放特征，弄清“三废”排放规律、排放去向；核算“三废”产生量、排放量及浓度。</w:t>
      </w:r>
    </w:p>
    <w:p w14:paraId="720482C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4、预测或分析本项目排放的污染物对周围环境噪声的影响程度及范围。</w:t>
      </w:r>
    </w:p>
    <w:p w14:paraId="3E5B9E3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5、结合当前技术经济条件，提出技术经济可行的污染防治措施。</w:t>
      </w:r>
    </w:p>
    <w:p w14:paraId="3262622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6、确保污染物达标排放、总量控制，将不利影响降至最低程度。</w:t>
      </w:r>
    </w:p>
    <w:p w14:paraId="17629E0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7、提出项目的环境管理与监测计划。</w:t>
      </w:r>
    </w:p>
    <w:p w14:paraId="2974452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97" w:name="_Toc107238088"/>
      <w:bookmarkStart w:id="98" w:name="_Toc28976"/>
      <w:bookmarkStart w:id="99" w:name="_Toc31640"/>
      <w:bookmarkStart w:id="100" w:name="_Toc105659871"/>
      <w:bookmarkStart w:id="101" w:name="_Toc17612"/>
      <w:bookmarkStart w:id="102" w:name="_Toc687"/>
      <w:r>
        <w:rPr>
          <w:rFonts w:hint="eastAsia" w:ascii="Times New Roman" w:hAnsi="Times New Roman" w:eastAsia="宋体" w:cs="Times New Roman"/>
          <w:b/>
          <w:bCs/>
          <w:color w:val="auto"/>
          <w:sz w:val="28"/>
          <w:szCs w:val="28"/>
          <w:lang w:val="en-US" w:eastAsia="zh-CN"/>
        </w:rPr>
        <w:t>2.2.2 评价原则</w:t>
      </w:r>
      <w:bookmarkEnd w:id="97"/>
      <w:bookmarkEnd w:id="98"/>
      <w:bookmarkEnd w:id="99"/>
      <w:bookmarkEnd w:id="100"/>
      <w:bookmarkEnd w:id="101"/>
      <w:bookmarkEnd w:id="102"/>
    </w:p>
    <w:p w14:paraId="30B5E55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本项目的环境影响评价原则根据评价工作的流程和项目特性，分为以下三个原则，具体情况如下所述。</w:t>
      </w:r>
    </w:p>
    <w:p w14:paraId="5791DEC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（1）依法评价。本次环境影响评价贯彻执行了我国环境保护相关法律法规、标准、政策和规划等，优化了项目建设和环境管理。</w:t>
      </w:r>
    </w:p>
    <w:p w14:paraId="548FD95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（2）科学评价。本次环境影响评价规范了环境影响评价方法，科学分析了项目建设对环境质量的影响。</w:t>
      </w:r>
    </w:p>
    <w:p w14:paraId="75F8DE0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突出重点。本次环境影响评价根据建设项目的工程内容及其特点，明确与环境要素间的作用效应关系，根据规划环境影响评价结论和审查意见，充分利用符合时效的数据资料及成果，对建设项目主要环境影响予以重点分析和评价。</w:t>
      </w:r>
    </w:p>
    <w:p w14:paraId="187D69D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03" w:name="_Toc16979"/>
      <w:bookmarkStart w:id="104" w:name="_Toc3440"/>
      <w:bookmarkStart w:id="105" w:name="_Toc2912"/>
      <w:r>
        <w:rPr>
          <w:rFonts w:hint="eastAsia" w:ascii="Times New Roman" w:hAnsi="Times New Roman" w:eastAsia="宋体" w:cs="Times New Roman"/>
          <w:b/>
          <w:bCs/>
          <w:color w:val="auto"/>
          <w:sz w:val="28"/>
          <w:szCs w:val="28"/>
          <w:lang w:val="en-US" w:eastAsia="zh-CN"/>
        </w:rPr>
        <w:t>2.2.3 评价重点</w:t>
      </w:r>
      <w:bookmarkEnd w:id="103"/>
      <w:bookmarkEnd w:id="104"/>
      <w:bookmarkEnd w:id="105"/>
    </w:p>
    <w:p w14:paraId="5A86680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项目的排污特点及所在区域的环境特点，在工程分析基础上，重点进行大气环境影响评价和声环境影响评价，以及其他环境要素固体废物环境影响分析以及地表水环境影响分析等，有针对性地进一步提出污染防治措施和对策。</w:t>
      </w:r>
    </w:p>
    <w:p w14:paraId="65BCDA01">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106" w:name="_Toc25337"/>
      <w:bookmarkStart w:id="107" w:name="_Toc29945"/>
      <w:r>
        <w:rPr>
          <w:rFonts w:hint="eastAsia" w:ascii="Times New Roman" w:hAnsi="Times New Roman" w:eastAsia="宋体" w:cs="Times New Roman"/>
          <w:b/>
          <w:bCs/>
          <w:color w:val="auto"/>
          <w:lang w:val="en-US" w:eastAsia="zh-CN"/>
        </w:rPr>
        <w:t xml:space="preserve">2.3 </w:t>
      </w:r>
      <w:r>
        <w:rPr>
          <w:rFonts w:hint="default" w:ascii="Times New Roman" w:hAnsi="Times New Roman" w:eastAsia="宋体" w:cs="Times New Roman"/>
          <w:b/>
          <w:bCs/>
          <w:color w:val="auto"/>
        </w:rPr>
        <w:t>评价因子与评价标准</w:t>
      </w:r>
      <w:bookmarkEnd w:id="106"/>
      <w:bookmarkEnd w:id="107"/>
    </w:p>
    <w:p w14:paraId="65031CA3">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08" w:name="_Toc105659873"/>
      <w:bookmarkStart w:id="109" w:name="_Toc107238090"/>
      <w:bookmarkStart w:id="110" w:name="_Toc4272"/>
      <w:bookmarkStart w:id="111" w:name="_Toc13898"/>
      <w:bookmarkStart w:id="112" w:name="_Toc28856"/>
      <w:bookmarkStart w:id="113" w:name="_Toc21892"/>
      <w:r>
        <w:rPr>
          <w:rFonts w:hint="eastAsia" w:ascii="Times New Roman" w:hAnsi="Times New Roman" w:eastAsia="宋体" w:cs="Times New Roman"/>
          <w:b/>
          <w:bCs/>
          <w:color w:val="auto"/>
          <w:sz w:val="28"/>
          <w:szCs w:val="28"/>
          <w:lang w:val="en-US" w:eastAsia="zh-CN"/>
        </w:rPr>
        <w:t>2.3.1 环境影响因素识别</w:t>
      </w:r>
      <w:bookmarkEnd w:id="108"/>
      <w:bookmarkEnd w:id="109"/>
      <w:bookmarkEnd w:id="110"/>
      <w:bookmarkEnd w:id="111"/>
      <w:bookmarkEnd w:id="112"/>
      <w:bookmarkEnd w:id="113"/>
    </w:p>
    <w:p w14:paraId="61BF98E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本项目的生产工艺和排污特征，结合拟选厂址的自然环境特点、环境质量现状、在充分分析本项目建设内容的基础上，识别建设项目实施可能对自然环境和社会环境产生的影响，本项目环境影响因素识别情况见表2.3-1。</w:t>
      </w:r>
    </w:p>
    <w:p w14:paraId="14A8C289">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 xml:space="preserve">表2.3-1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环境影响因素识别矩阵</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1"/>
        <w:gridCol w:w="1401"/>
        <w:gridCol w:w="1007"/>
        <w:gridCol w:w="1179"/>
        <w:gridCol w:w="1212"/>
        <w:gridCol w:w="832"/>
        <w:gridCol w:w="1006"/>
        <w:gridCol w:w="1024"/>
      </w:tblGrid>
      <w:tr w14:paraId="61E88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27" w:type="pct"/>
            <w:gridSpan w:val="2"/>
            <w:tcBorders>
              <w:tl2br w:val="nil"/>
              <w:tr2bl w:val="nil"/>
            </w:tcBorders>
            <w:vAlign w:val="center"/>
          </w:tcPr>
          <w:p w14:paraId="1F4C19CF">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影响因素</w:t>
            </w:r>
          </w:p>
        </w:tc>
        <w:tc>
          <w:tcPr>
            <w:tcW w:w="591" w:type="pct"/>
            <w:tcBorders>
              <w:tl2br w:val="nil"/>
              <w:tr2bl w:val="nil"/>
            </w:tcBorders>
            <w:vAlign w:val="center"/>
          </w:tcPr>
          <w:p w14:paraId="6028C62C">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大气环境</w:t>
            </w:r>
          </w:p>
        </w:tc>
        <w:tc>
          <w:tcPr>
            <w:tcW w:w="692" w:type="pct"/>
            <w:tcBorders>
              <w:tl2br w:val="nil"/>
              <w:tr2bl w:val="nil"/>
            </w:tcBorders>
            <w:vAlign w:val="center"/>
          </w:tcPr>
          <w:p w14:paraId="6DAA59E9">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地表水环境</w:t>
            </w:r>
          </w:p>
        </w:tc>
        <w:tc>
          <w:tcPr>
            <w:tcW w:w="711" w:type="pct"/>
            <w:tcBorders>
              <w:tl2br w:val="nil"/>
              <w:tr2bl w:val="nil"/>
            </w:tcBorders>
            <w:vAlign w:val="center"/>
          </w:tcPr>
          <w:p w14:paraId="15332162">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地下水环境</w:t>
            </w:r>
          </w:p>
        </w:tc>
        <w:tc>
          <w:tcPr>
            <w:tcW w:w="488" w:type="pct"/>
            <w:tcBorders>
              <w:tl2br w:val="nil"/>
              <w:tr2bl w:val="nil"/>
            </w:tcBorders>
            <w:vAlign w:val="center"/>
          </w:tcPr>
          <w:p w14:paraId="137C2299">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声环境</w:t>
            </w:r>
          </w:p>
        </w:tc>
        <w:tc>
          <w:tcPr>
            <w:tcW w:w="590" w:type="pct"/>
            <w:tcBorders>
              <w:tl2br w:val="nil"/>
              <w:tr2bl w:val="nil"/>
            </w:tcBorders>
            <w:vAlign w:val="center"/>
          </w:tcPr>
          <w:p w14:paraId="2261C904">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生态环境</w:t>
            </w:r>
          </w:p>
        </w:tc>
        <w:tc>
          <w:tcPr>
            <w:tcW w:w="596" w:type="pct"/>
            <w:tcBorders>
              <w:tl2br w:val="nil"/>
              <w:tr2bl w:val="nil"/>
            </w:tcBorders>
            <w:vAlign w:val="center"/>
          </w:tcPr>
          <w:p w14:paraId="528C1B5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土壤环境</w:t>
            </w:r>
          </w:p>
        </w:tc>
      </w:tr>
      <w:tr w14:paraId="0E4BA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restart"/>
            <w:tcBorders>
              <w:tl2br w:val="nil"/>
              <w:tr2bl w:val="nil"/>
            </w:tcBorders>
            <w:vAlign w:val="center"/>
          </w:tcPr>
          <w:p w14:paraId="14138089">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施工期</w:t>
            </w:r>
          </w:p>
        </w:tc>
        <w:tc>
          <w:tcPr>
            <w:tcW w:w="821" w:type="pct"/>
            <w:tcBorders>
              <w:tl2br w:val="nil"/>
              <w:tr2bl w:val="nil"/>
            </w:tcBorders>
            <w:vAlign w:val="center"/>
          </w:tcPr>
          <w:p w14:paraId="2FF68F7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物料堆存</w:t>
            </w:r>
          </w:p>
        </w:tc>
        <w:tc>
          <w:tcPr>
            <w:tcW w:w="591" w:type="pct"/>
            <w:tcBorders>
              <w:tl2br w:val="nil"/>
              <w:tr2bl w:val="nil"/>
            </w:tcBorders>
            <w:vAlign w:val="center"/>
          </w:tcPr>
          <w:p w14:paraId="09793306">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692" w:type="pct"/>
            <w:tcBorders>
              <w:tl2br w:val="nil"/>
              <w:tr2bl w:val="nil"/>
            </w:tcBorders>
            <w:vAlign w:val="center"/>
          </w:tcPr>
          <w:p w14:paraId="2240E0D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711" w:type="pct"/>
            <w:tcBorders>
              <w:tl2br w:val="nil"/>
              <w:tr2bl w:val="nil"/>
            </w:tcBorders>
            <w:vAlign w:val="center"/>
          </w:tcPr>
          <w:p w14:paraId="4A36A219">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488" w:type="pct"/>
            <w:tcBorders>
              <w:tl2br w:val="nil"/>
              <w:tr2bl w:val="nil"/>
            </w:tcBorders>
            <w:vAlign w:val="center"/>
          </w:tcPr>
          <w:p w14:paraId="744132A6">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0" w:type="pct"/>
            <w:tcBorders>
              <w:tl2br w:val="nil"/>
              <w:tr2bl w:val="nil"/>
            </w:tcBorders>
            <w:vAlign w:val="center"/>
          </w:tcPr>
          <w:p w14:paraId="1D840738">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596" w:type="pct"/>
            <w:tcBorders>
              <w:tl2br w:val="nil"/>
              <w:tr2bl w:val="nil"/>
            </w:tcBorders>
            <w:vAlign w:val="center"/>
          </w:tcPr>
          <w:p w14:paraId="44AB5A8D">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r>
      <w:tr w14:paraId="696C6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continue"/>
            <w:tcBorders>
              <w:tl2br w:val="nil"/>
              <w:tr2bl w:val="nil"/>
            </w:tcBorders>
            <w:vAlign w:val="center"/>
          </w:tcPr>
          <w:p w14:paraId="518A65CE">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821" w:type="pct"/>
            <w:tcBorders>
              <w:tl2br w:val="nil"/>
              <w:tr2bl w:val="nil"/>
            </w:tcBorders>
            <w:vAlign w:val="center"/>
          </w:tcPr>
          <w:p w14:paraId="2399BDF9">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材料运输</w:t>
            </w:r>
          </w:p>
        </w:tc>
        <w:tc>
          <w:tcPr>
            <w:tcW w:w="591" w:type="pct"/>
            <w:tcBorders>
              <w:tl2br w:val="nil"/>
              <w:tr2bl w:val="nil"/>
            </w:tcBorders>
            <w:vAlign w:val="center"/>
          </w:tcPr>
          <w:p w14:paraId="26B0A6D1">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692" w:type="pct"/>
            <w:tcBorders>
              <w:tl2br w:val="nil"/>
              <w:tr2bl w:val="nil"/>
            </w:tcBorders>
            <w:vAlign w:val="center"/>
          </w:tcPr>
          <w:p w14:paraId="47948708">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711" w:type="pct"/>
            <w:tcBorders>
              <w:tl2br w:val="nil"/>
              <w:tr2bl w:val="nil"/>
            </w:tcBorders>
            <w:vAlign w:val="center"/>
          </w:tcPr>
          <w:p w14:paraId="1F7BD61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488" w:type="pct"/>
            <w:tcBorders>
              <w:tl2br w:val="nil"/>
              <w:tr2bl w:val="nil"/>
            </w:tcBorders>
            <w:vAlign w:val="center"/>
          </w:tcPr>
          <w:p w14:paraId="06D5C09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590" w:type="pct"/>
            <w:tcBorders>
              <w:tl2br w:val="nil"/>
              <w:tr2bl w:val="nil"/>
            </w:tcBorders>
            <w:vAlign w:val="center"/>
          </w:tcPr>
          <w:p w14:paraId="2C92C011">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6" w:type="pct"/>
            <w:tcBorders>
              <w:tl2br w:val="nil"/>
              <w:tr2bl w:val="nil"/>
            </w:tcBorders>
            <w:vAlign w:val="center"/>
          </w:tcPr>
          <w:p w14:paraId="13E15897">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r>
      <w:tr w14:paraId="68A6B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continue"/>
            <w:tcBorders>
              <w:tl2br w:val="nil"/>
              <w:tr2bl w:val="nil"/>
            </w:tcBorders>
            <w:vAlign w:val="center"/>
          </w:tcPr>
          <w:p w14:paraId="0DEC0326">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821" w:type="pct"/>
            <w:tcBorders>
              <w:tl2br w:val="nil"/>
              <w:tr2bl w:val="nil"/>
            </w:tcBorders>
            <w:vAlign w:val="center"/>
          </w:tcPr>
          <w:p w14:paraId="7DC69A2E">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建筑施工</w:t>
            </w:r>
          </w:p>
        </w:tc>
        <w:tc>
          <w:tcPr>
            <w:tcW w:w="591" w:type="pct"/>
            <w:tcBorders>
              <w:tl2br w:val="nil"/>
              <w:tr2bl w:val="nil"/>
            </w:tcBorders>
            <w:vAlign w:val="center"/>
          </w:tcPr>
          <w:p w14:paraId="4705E35F">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692" w:type="pct"/>
            <w:tcBorders>
              <w:tl2br w:val="nil"/>
              <w:tr2bl w:val="nil"/>
            </w:tcBorders>
            <w:vAlign w:val="center"/>
          </w:tcPr>
          <w:p w14:paraId="18D3C758">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711" w:type="pct"/>
            <w:tcBorders>
              <w:tl2br w:val="nil"/>
              <w:tr2bl w:val="nil"/>
            </w:tcBorders>
            <w:vAlign w:val="center"/>
          </w:tcPr>
          <w:p w14:paraId="53265B0E">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488" w:type="pct"/>
            <w:tcBorders>
              <w:tl2br w:val="nil"/>
              <w:tr2bl w:val="nil"/>
            </w:tcBorders>
            <w:vAlign w:val="center"/>
          </w:tcPr>
          <w:p w14:paraId="0E2683D8">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-2D</w:t>
            </w:r>
          </w:p>
        </w:tc>
        <w:tc>
          <w:tcPr>
            <w:tcW w:w="590" w:type="pct"/>
            <w:tcBorders>
              <w:tl2br w:val="nil"/>
              <w:tr2bl w:val="nil"/>
            </w:tcBorders>
            <w:vAlign w:val="center"/>
          </w:tcPr>
          <w:p w14:paraId="30F3340C">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596" w:type="pct"/>
            <w:tcBorders>
              <w:tl2br w:val="nil"/>
              <w:tr2bl w:val="nil"/>
            </w:tcBorders>
            <w:vAlign w:val="center"/>
          </w:tcPr>
          <w:p w14:paraId="09120CF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r>
      <w:tr w14:paraId="121C2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restart"/>
            <w:tcBorders>
              <w:tl2br w:val="nil"/>
              <w:tr2bl w:val="nil"/>
            </w:tcBorders>
            <w:vAlign w:val="center"/>
          </w:tcPr>
          <w:p w14:paraId="19503C81">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运营期</w:t>
            </w:r>
          </w:p>
        </w:tc>
        <w:tc>
          <w:tcPr>
            <w:tcW w:w="821" w:type="pct"/>
            <w:tcBorders>
              <w:tl2br w:val="nil"/>
              <w:tr2bl w:val="nil"/>
            </w:tcBorders>
            <w:vAlign w:val="center"/>
          </w:tcPr>
          <w:p w14:paraId="3FE2018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废气排放</w:t>
            </w:r>
          </w:p>
        </w:tc>
        <w:tc>
          <w:tcPr>
            <w:tcW w:w="591" w:type="pct"/>
            <w:tcBorders>
              <w:tl2br w:val="nil"/>
              <w:tr2bl w:val="nil"/>
            </w:tcBorders>
            <w:vAlign w:val="center"/>
          </w:tcPr>
          <w:p w14:paraId="20BB310D">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-1C</w:t>
            </w:r>
          </w:p>
        </w:tc>
        <w:tc>
          <w:tcPr>
            <w:tcW w:w="692" w:type="pct"/>
            <w:tcBorders>
              <w:tl2br w:val="nil"/>
              <w:tr2bl w:val="nil"/>
            </w:tcBorders>
            <w:vAlign w:val="center"/>
          </w:tcPr>
          <w:p w14:paraId="0322BD63">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711" w:type="pct"/>
            <w:tcBorders>
              <w:tl2br w:val="nil"/>
              <w:tr2bl w:val="nil"/>
            </w:tcBorders>
            <w:vAlign w:val="center"/>
          </w:tcPr>
          <w:p w14:paraId="64C3A7D6">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488" w:type="pct"/>
            <w:tcBorders>
              <w:tl2br w:val="nil"/>
              <w:tr2bl w:val="nil"/>
            </w:tcBorders>
            <w:vAlign w:val="center"/>
          </w:tcPr>
          <w:p w14:paraId="57AB238D">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0" w:type="pct"/>
            <w:tcBorders>
              <w:tl2br w:val="nil"/>
              <w:tr2bl w:val="nil"/>
            </w:tcBorders>
            <w:vAlign w:val="center"/>
          </w:tcPr>
          <w:p w14:paraId="3E93EFC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6" w:type="pct"/>
            <w:tcBorders>
              <w:tl2br w:val="nil"/>
              <w:tr2bl w:val="nil"/>
            </w:tcBorders>
            <w:vAlign w:val="center"/>
          </w:tcPr>
          <w:p w14:paraId="03D503F6">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r>
      <w:tr w14:paraId="517F4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continue"/>
            <w:tcBorders>
              <w:tl2br w:val="nil"/>
              <w:tr2bl w:val="nil"/>
            </w:tcBorders>
            <w:vAlign w:val="center"/>
          </w:tcPr>
          <w:p w14:paraId="79A7135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821" w:type="pct"/>
            <w:tcBorders>
              <w:tl2br w:val="nil"/>
              <w:tr2bl w:val="nil"/>
            </w:tcBorders>
            <w:vAlign w:val="center"/>
          </w:tcPr>
          <w:p w14:paraId="0FE656AD">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废水排放</w:t>
            </w:r>
          </w:p>
        </w:tc>
        <w:tc>
          <w:tcPr>
            <w:tcW w:w="591" w:type="pct"/>
            <w:tcBorders>
              <w:tl2br w:val="nil"/>
              <w:tr2bl w:val="nil"/>
            </w:tcBorders>
            <w:vAlign w:val="center"/>
          </w:tcPr>
          <w:p w14:paraId="58D560A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692" w:type="pct"/>
            <w:tcBorders>
              <w:tl2br w:val="nil"/>
              <w:tr2bl w:val="nil"/>
            </w:tcBorders>
            <w:vAlign w:val="center"/>
          </w:tcPr>
          <w:p w14:paraId="37C854E4">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-1C</w:t>
            </w:r>
          </w:p>
        </w:tc>
        <w:tc>
          <w:tcPr>
            <w:tcW w:w="711" w:type="pct"/>
            <w:tcBorders>
              <w:tl2br w:val="nil"/>
              <w:tr2bl w:val="nil"/>
            </w:tcBorders>
            <w:vAlign w:val="center"/>
          </w:tcPr>
          <w:p w14:paraId="0909ACCE">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488" w:type="pct"/>
            <w:tcBorders>
              <w:tl2br w:val="nil"/>
              <w:tr2bl w:val="nil"/>
            </w:tcBorders>
            <w:vAlign w:val="center"/>
          </w:tcPr>
          <w:p w14:paraId="6346AFAF">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0" w:type="pct"/>
            <w:tcBorders>
              <w:tl2br w:val="nil"/>
              <w:tr2bl w:val="nil"/>
            </w:tcBorders>
            <w:vAlign w:val="center"/>
          </w:tcPr>
          <w:p w14:paraId="5A6E040C">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6" w:type="pct"/>
            <w:tcBorders>
              <w:tl2br w:val="nil"/>
              <w:tr2bl w:val="nil"/>
            </w:tcBorders>
            <w:vAlign w:val="center"/>
          </w:tcPr>
          <w:p w14:paraId="18545573">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r>
      <w:tr w14:paraId="146F4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continue"/>
            <w:tcBorders>
              <w:tl2br w:val="nil"/>
              <w:tr2bl w:val="nil"/>
            </w:tcBorders>
            <w:vAlign w:val="center"/>
          </w:tcPr>
          <w:p w14:paraId="417F1B34">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821" w:type="pct"/>
            <w:tcBorders>
              <w:tl2br w:val="nil"/>
              <w:tr2bl w:val="nil"/>
            </w:tcBorders>
            <w:vAlign w:val="center"/>
          </w:tcPr>
          <w:p w14:paraId="0281515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噪声排放</w:t>
            </w:r>
          </w:p>
        </w:tc>
        <w:tc>
          <w:tcPr>
            <w:tcW w:w="591" w:type="pct"/>
            <w:tcBorders>
              <w:tl2br w:val="nil"/>
              <w:tr2bl w:val="nil"/>
            </w:tcBorders>
            <w:vAlign w:val="center"/>
          </w:tcPr>
          <w:p w14:paraId="5300F7E7">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692" w:type="pct"/>
            <w:tcBorders>
              <w:tl2br w:val="nil"/>
              <w:tr2bl w:val="nil"/>
            </w:tcBorders>
            <w:vAlign w:val="center"/>
          </w:tcPr>
          <w:p w14:paraId="415B9D6A">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711" w:type="pct"/>
            <w:tcBorders>
              <w:tl2br w:val="nil"/>
              <w:tr2bl w:val="nil"/>
            </w:tcBorders>
            <w:vAlign w:val="center"/>
          </w:tcPr>
          <w:p w14:paraId="0A081B9F">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488" w:type="pct"/>
            <w:tcBorders>
              <w:tl2br w:val="nil"/>
              <w:tr2bl w:val="nil"/>
            </w:tcBorders>
            <w:vAlign w:val="center"/>
          </w:tcPr>
          <w:p w14:paraId="22748AF4">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-1C</w:t>
            </w:r>
          </w:p>
        </w:tc>
        <w:tc>
          <w:tcPr>
            <w:tcW w:w="590" w:type="pct"/>
            <w:tcBorders>
              <w:tl2br w:val="nil"/>
              <w:tr2bl w:val="nil"/>
            </w:tcBorders>
            <w:vAlign w:val="center"/>
          </w:tcPr>
          <w:p w14:paraId="504311D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6" w:type="pct"/>
            <w:tcBorders>
              <w:tl2br w:val="nil"/>
              <w:tr2bl w:val="nil"/>
            </w:tcBorders>
            <w:vAlign w:val="center"/>
          </w:tcPr>
          <w:p w14:paraId="0AF11B1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r>
      <w:tr w14:paraId="57E53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continue"/>
            <w:tcBorders>
              <w:tl2br w:val="nil"/>
              <w:tr2bl w:val="nil"/>
            </w:tcBorders>
            <w:vAlign w:val="center"/>
          </w:tcPr>
          <w:p w14:paraId="757A8FD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821" w:type="pct"/>
            <w:tcBorders>
              <w:tl2br w:val="nil"/>
              <w:tr2bl w:val="nil"/>
            </w:tcBorders>
            <w:vAlign w:val="center"/>
          </w:tcPr>
          <w:p w14:paraId="2E17BB98">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固体废物处置</w:t>
            </w:r>
          </w:p>
        </w:tc>
        <w:tc>
          <w:tcPr>
            <w:tcW w:w="591" w:type="pct"/>
            <w:tcBorders>
              <w:tl2br w:val="nil"/>
              <w:tr2bl w:val="nil"/>
            </w:tcBorders>
            <w:vAlign w:val="center"/>
          </w:tcPr>
          <w:p w14:paraId="5985F57F">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692" w:type="pct"/>
            <w:tcBorders>
              <w:tl2br w:val="nil"/>
              <w:tr2bl w:val="nil"/>
            </w:tcBorders>
            <w:vAlign w:val="center"/>
          </w:tcPr>
          <w:p w14:paraId="0958C0D3">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-1C</w:t>
            </w:r>
          </w:p>
        </w:tc>
        <w:tc>
          <w:tcPr>
            <w:tcW w:w="711" w:type="pct"/>
            <w:tcBorders>
              <w:tl2br w:val="nil"/>
              <w:tr2bl w:val="nil"/>
            </w:tcBorders>
            <w:vAlign w:val="center"/>
          </w:tcPr>
          <w:p w14:paraId="420A3EFD">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488" w:type="pct"/>
            <w:tcBorders>
              <w:tl2br w:val="nil"/>
              <w:tr2bl w:val="nil"/>
            </w:tcBorders>
            <w:vAlign w:val="center"/>
          </w:tcPr>
          <w:p w14:paraId="6665F76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0" w:type="pct"/>
            <w:tcBorders>
              <w:tl2br w:val="nil"/>
              <w:tr2bl w:val="nil"/>
            </w:tcBorders>
            <w:vAlign w:val="center"/>
          </w:tcPr>
          <w:p w14:paraId="658DBFE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-1C</w:t>
            </w:r>
          </w:p>
        </w:tc>
        <w:tc>
          <w:tcPr>
            <w:tcW w:w="596" w:type="pct"/>
            <w:tcBorders>
              <w:tl2br w:val="nil"/>
              <w:tr2bl w:val="nil"/>
            </w:tcBorders>
            <w:vAlign w:val="center"/>
          </w:tcPr>
          <w:p w14:paraId="31164845">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r>
      <w:tr w14:paraId="38441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5" w:type="pct"/>
            <w:vMerge w:val="continue"/>
            <w:tcBorders>
              <w:tl2br w:val="nil"/>
              <w:tr2bl w:val="nil"/>
            </w:tcBorders>
            <w:vAlign w:val="center"/>
          </w:tcPr>
          <w:p w14:paraId="184364D8">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821" w:type="pct"/>
            <w:tcBorders>
              <w:tl2br w:val="nil"/>
              <w:tr2bl w:val="nil"/>
            </w:tcBorders>
            <w:vAlign w:val="center"/>
          </w:tcPr>
          <w:p w14:paraId="5406CE97">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事故排放</w:t>
            </w:r>
          </w:p>
        </w:tc>
        <w:tc>
          <w:tcPr>
            <w:tcW w:w="591" w:type="pct"/>
            <w:tcBorders>
              <w:tl2br w:val="nil"/>
              <w:tr2bl w:val="nil"/>
            </w:tcBorders>
            <w:vAlign w:val="center"/>
          </w:tcPr>
          <w:p w14:paraId="3E13D53D">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-2D</w:t>
            </w:r>
          </w:p>
        </w:tc>
        <w:tc>
          <w:tcPr>
            <w:tcW w:w="692" w:type="pct"/>
            <w:tcBorders>
              <w:tl2br w:val="nil"/>
              <w:tr2bl w:val="nil"/>
            </w:tcBorders>
            <w:vAlign w:val="center"/>
          </w:tcPr>
          <w:p w14:paraId="2D0070B1">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lang w:val="en-US" w:eastAsia="zh-CN"/>
              </w:rPr>
              <w:t>D</w:t>
            </w:r>
          </w:p>
        </w:tc>
        <w:tc>
          <w:tcPr>
            <w:tcW w:w="711" w:type="pct"/>
            <w:tcBorders>
              <w:tl2br w:val="nil"/>
              <w:tr2bl w:val="nil"/>
            </w:tcBorders>
            <w:vAlign w:val="center"/>
          </w:tcPr>
          <w:p w14:paraId="2CAF5C9B">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488" w:type="pct"/>
            <w:tcBorders>
              <w:tl2br w:val="nil"/>
              <w:tr2bl w:val="nil"/>
            </w:tcBorders>
            <w:vAlign w:val="center"/>
          </w:tcPr>
          <w:p w14:paraId="10417241">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-1D</w:t>
            </w:r>
          </w:p>
        </w:tc>
        <w:tc>
          <w:tcPr>
            <w:tcW w:w="590" w:type="pct"/>
            <w:tcBorders>
              <w:tl2br w:val="nil"/>
              <w:tr2bl w:val="nil"/>
            </w:tcBorders>
            <w:vAlign w:val="center"/>
          </w:tcPr>
          <w:p w14:paraId="169502A0">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c>
          <w:tcPr>
            <w:tcW w:w="596" w:type="pct"/>
            <w:tcBorders>
              <w:tl2br w:val="nil"/>
              <w:tr2bl w:val="nil"/>
            </w:tcBorders>
            <w:vAlign w:val="center"/>
          </w:tcPr>
          <w:p w14:paraId="5791DCDE">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p>
        </w:tc>
      </w:tr>
      <w:tr w14:paraId="0EF47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8"/>
            <w:tcBorders>
              <w:tl2br w:val="nil"/>
              <w:tr2bl w:val="nil"/>
            </w:tcBorders>
            <w:vAlign w:val="center"/>
          </w:tcPr>
          <w:p w14:paraId="48D27D07">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left"/>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注：1、表中“+”表示正效益，“-”表示负效益。</w:t>
            </w:r>
          </w:p>
          <w:p w14:paraId="7BA6C877">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left"/>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2、表中数字表示影响的相对程度，“1”表示影响较小，“2”表示影响中等，“3”表示影响较大。</w:t>
            </w:r>
          </w:p>
          <w:p w14:paraId="66B027B5">
            <w:pPr>
              <w:pStyle w:val="129"/>
              <w:keepNext w:val="0"/>
              <w:keepLines w:val="0"/>
              <w:pageBreakBefore w:val="0"/>
              <w:widowControl/>
              <w:kinsoku/>
              <w:wordWrap/>
              <w:overflowPunct/>
              <w:topLinePunct w:val="0"/>
              <w:autoSpaceDE/>
              <w:autoSpaceDN/>
              <w:bidi w:val="0"/>
              <w:adjustRightInd w:val="0"/>
              <w:snapToGrid w:val="0"/>
              <w:spacing w:line="320" w:lineRule="exact"/>
              <w:ind w:firstLine="0" w:firstLineChars="0"/>
              <w:jc w:val="left"/>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3、表中“D”表示短期影响，“C表示长期影响”。</w:t>
            </w:r>
          </w:p>
        </w:tc>
      </w:tr>
    </w:tbl>
    <w:p w14:paraId="5CC9842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bookmarkStart w:id="114" w:name="_Toc107238091"/>
      <w:bookmarkStart w:id="115" w:name="_Toc21649"/>
      <w:bookmarkStart w:id="116" w:name="_Toc105659874"/>
      <w:r>
        <w:rPr>
          <w:rFonts w:hint="eastAsia" w:ascii="Times New Roman" w:hAnsi="Times New Roman" w:eastAsia="宋体" w:cs="Times New Roman"/>
          <w:color w:val="auto"/>
          <w:lang w:val="en-US" w:eastAsia="zh-CN"/>
        </w:rPr>
        <w:t>由表2.3-1可知，本项目施工期对周围环境产生的主要负面影响主要是对大气环境、声环境和土壤环境质量产生的短期影响，运营期主要负面影响是废气和废水污染对环境质量产生的影响。本项目产生的废气、废水、噪声、固体废物均采取了妥善的处理处置措施，不会对周边大气环境、声环境、地表水及地下水环境产生明显影响。</w:t>
      </w:r>
    </w:p>
    <w:p w14:paraId="72013F6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17" w:name="_Toc13569"/>
      <w:bookmarkStart w:id="118" w:name="_Toc27929"/>
      <w:bookmarkStart w:id="119" w:name="_Toc2754"/>
      <w:r>
        <w:rPr>
          <w:rFonts w:hint="eastAsia" w:ascii="Times New Roman" w:hAnsi="Times New Roman" w:eastAsia="宋体" w:cs="Times New Roman"/>
          <w:b/>
          <w:bCs/>
          <w:color w:val="auto"/>
          <w:sz w:val="28"/>
          <w:szCs w:val="28"/>
          <w:lang w:val="en-US" w:eastAsia="zh-CN"/>
        </w:rPr>
        <w:t>2.3.2 评价因子</w:t>
      </w:r>
      <w:bookmarkEnd w:id="114"/>
      <w:bookmarkEnd w:id="115"/>
      <w:bookmarkEnd w:id="116"/>
      <w:bookmarkEnd w:id="117"/>
      <w:bookmarkEnd w:id="118"/>
      <w:bookmarkEnd w:id="119"/>
    </w:p>
    <w:p w14:paraId="14E887B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根据本项目污染物排放特点和对环境影响因子的识别，确定了本项目环境影响评价因子，评价因子详见表2.3-2~表2.3-3。</w:t>
      </w:r>
    </w:p>
    <w:p w14:paraId="5C00769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表2.3-2  本项目环境影响评价因子筛选表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0"/>
        <w:gridCol w:w="963"/>
        <w:gridCol w:w="1146"/>
        <w:gridCol w:w="5743"/>
      </w:tblGrid>
      <w:tr w14:paraId="6B209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93" w:type="pct"/>
            <w:tcBorders>
              <w:tl2br w:val="nil"/>
              <w:tr2bl w:val="nil"/>
            </w:tcBorders>
            <w:vAlign w:val="center"/>
          </w:tcPr>
          <w:p w14:paraId="0AB404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bookmarkStart w:id="120" w:name="_Toc105659875"/>
            <w:bookmarkStart w:id="121" w:name="_Toc28697"/>
            <w:bookmarkStart w:id="122" w:name="_Toc107238092"/>
            <w:r>
              <w:rPr>
                <w:rFonts w:eastAsia="宋体" w:cs="Times New Roman"/>
                <w:color w:val="auto"/>
                <w:sz w:val="21"/>
                <w:szCs w:val="21"/>
              </w:rPr>
              <w:t>序号</w:t>
            </w:r>
          </w:p>
        </w:tc>
        <w:tc>
          <w:tcPr>
            <w:tcW w:w="565" w:type="pct"/>
            <w:tcBorders>
              <w:tl2br w:val="nil"/>
              <w:tr2bl w:val="nil"/>
            </w:tcBorders>
            <w:vAlign w:val="center"/>
          </w:tcPr>
          <w:p w14:paraId="2852DD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环境</w:t>
            </w:r>
          </w:p>
          <w:p w14:paraId="62DB35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要素</w:t>
            </w:r>
          </w:p>
        </w:tc>
        <w:tc>
          <w:tcPr>
            <w:tcW w:w="672" w:type="pct"/>
            <w:tcBorders>
              <w:tl2br w:val="nil"/>
              <w:tr2bl w:val="nil"/>
            </w:tcBorders>
            <w:vAlign w:val="center"/>
          </w:tcPr>
          <w:p w14:paraId="08945C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评价专题</w:t>
            </w:r>
          </w:p>
        </w:tc>
        <w:tc>
          <w:tcPr>
            <w:tcW w:w="3369" w:type="pct"/>
            <w:tcBorders>
              <w:tl2br w:val="nil"/>
              <w:tr2bl w:val="nil"/>
            </w:tcBorders>
            <w:vAlign w:val="center"/>
          </w:tcPr>
          <w:p w14:paraId="1C5B87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评价因子</w:t>
            </w:r>
          </w:p>
        </w:tc>
      </w:tr>
      <w:tr w14:paraId="5339E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restart"/>
            <w:tcBorders>
              <w:tl2br w:val="nil"/>
              <w:tr2bl w:val="nil"/>
            </w:tcBorders>
            <w:vAlign w:val="center"/>
          </w:tcPr>
          <w:p w14:paraId="25D5E2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1</w:t>
            </w:r>
          </w:p>
        </w:tc>
        <w:tc>
          <w:tcPr>
            <w:tcW w:w="565" w:type="pct"/>
            <w:vMerge w:val="restart"/>
            <w:tcBorders>
              <w:tl2br w:val="nil"/>
              <w:tr2bl w:val="nil"/>
            </w:tcBorders>
            <w:vAlign w:val="center"/>
          </w:tcPr>
          <w:p w14:paraId="2C3998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环境</w:t>
            </w:r>
          </w:p>
          <w:p w14:paraId="6D107D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空气</w:t>
            </w:r>
          </w:p>
        </w:tc>
        <w:tc>
          <w:tcPr>
            <w:tcW w:w="672" w:type="pct"/>
            <w:tcBorders>
              <w:tl2br w:val="nil"/>
              <w:tr2bl w:val="nil"/>
            </w:tcBorders>
            <w:vAlign w:val="center"/>
          </w:tcPr>
          <w:p w14:paraId="3F9B71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现状评价</w:t>
            </w:r>
          </w:p>
        </w:tc>
        <w:tc>
          <w:tcPr>
            <w:tcW w:w="3369" w:type="pct"/>
            <w:tcBorders>
              <w:tl2br w:val="nil"/>
              <w:tr2bl w:val="nil"/>
            </w:tcBorders>
            <w:vAlign w:val="center"/>
          </w:tcPr>
          <w:p w14:paraId="4C1B47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eastAsia="宋体" w:cs="Times New Roman"/>
                <w:color w:val="auto"/>
                <w:kern w:val="0"/>
                <w:sz w:val="21"/>
                <w:szCs w:val="21"/>
              </w:rPr>
            </w:pPr>
            <w:r>
              <w:rPr>
                <w:rFonts w:eastAsia="宋体" w:cs="Times New Roman"/>
                <w:color w:val="auto"/>
                <w:sz w:val="21"/>
                <w:szCs w:val="21"/>
              </w:rPr>
              <w:t>PM</w:t>
            </w:r>
            <w:r>
              <w:rPr>
                <w:rFonts w:eastAsia="宋体" w:cs="Times New Roman"/>
                <w:color w:val="auto"/>
                <w:sz w:val="21"/>
                <w:szCs w:val="21"/>
                <w:vertAlign w:val="subscript"/>
              </w:rPr>
              <w:t>10</w:t>
            </w:r>
            <w:r>
              <w:rPr>
                <w:rFonts w:eastAsia="宋体" w:cs="Times New Roman"/>
                <w:color w:val="auto"/>
                <w:sz w:val="21"/>
                <w:szCs w:val="21"/>
              </w:rPr>
              <w:t>、</w:t>
            </w:r>
            <w:r>
              <w:rPr>
                <w:rFonts w:eastAsia="宋体" w:cs="Times New Roman"/>
                <w:color w:val="auto"/>
                <w:kern w:val="0"/>
                <w:sz w:val="21"/>
                <w:szCs w:val="21"/>
              </w:rPr>
              <w:t>PM</w:t>
            </w:r>
            <w:r>
              <w:rPr>
                <w:rFonts w:eastAsia="宋体" w:cs="Times New Roman"/>
                <w:color w:val="auto"/>
                <w:kern w:val="0"/>
                <w:sz w:val="21"/>
                <w:szCs w:val="21"/>
                <w:vertAlign w:val="subscript"/>
              </w:rPr>
              <w:t>2.5</w:t>
            </w:r>
            <w:r>
              <w:rPr>
                <w:rFonts w:eastAsia="宋体" w:cs="Times New Roman"/>
                <w:color w:val="auto"/>
                <w:sz w:val="21"/>
                <w:szCs w:val="21"/>
              </w:rPr>
              <w:t>、SO</w:t>
            </w:r>
            <w:r>
              <w:rPr>
                <w:rFonts w:eastAsia="宋体" w:cs="Times New Roman"/>
                <w:color w:val="auto"/>
                <w:sz w:val="21"/>
                <w:szCs w:val="21"/>
                <w:vertAlign w:val="subscript"/>
              </w:rPr>
              <w:t>2</w:t>
            </w:r>
            <w:r>
              <w:rPr>
                <w:rFonts w:eastAsia="宋体" w:cs="Times New Roman"/>
                <w:color w:val="auto"/>
                <w:sz w:val="21"/>
                <w:szCs w:val="21"/>
              </w:rPr>
              <w:t>、NO</w:t>
            </w:r>
            <w:r>
              <w:rPr>
                <w:rFonts w:hint="eastAsia" w:eastAsia="宋体" w:cs="Times New Roman"/>
                <w:color w:val="auto"/>
                <w:sz w:val="21"/>
                <w:szCs w:val="21"/>
                <w:vertAlign w:val="subscript"/>
                <w:lang w:val="en-US" w:eastAsia="zh-CN"/>
              </w:rPr>
              <w:t>x</w:t>
            </w:r>
            <w:r>
              <w:rPr>
                <w:rFonts w:eastAsia="宋体" w:cs="Times New Roman"/>
                <w:color w:val="auto"/>
                <w:sz w:val="21"/>
                <w:szCs w:val="21"/>
              </w:rPr>
              <w:t>、</w:t>
            </w:r>
            <w:r>
              <w:rPr>
                <w:rFonts w:hint="default" w:ascii="Times New Roman" w:hAnsi="Times New Roman" w:cs="Times New Roman"/>
                <w:color w:val="auto"/>
                <w:spacing w:val="0"/>
                <w:sz w:val="21"/>
                <w:szCs w:val="21"/>
                <w:highlight w:val="none"/>
              </w:rPr>
              <w:t>NO</w:t>
            </w:r>
            <w:r>
              <w:rPr>
                <w:rFonts w:hint="default" w:ascii="Times New Roman" w:hAnsi="Times New Roman" w:cs="Times New Roman"/>
                <w:color w:val="auto"/>
                <w:spacing w:val="0"/>
                <w:sz w:val="21"/>
                <w:szCs w:val="21"/>
                <w:highlight w:val="none"/>
                <w:vertAlign w:val="subscript"/>
              </w:rPr>
              <w:t>2</w:t>
            </w:r>
            <w:r>
              <w:rPr>
                <w:rFonts w:hint="default" w:ascii="Times New Roman" w:hAnsi="Times New Roman" w:cs="Times New Roman"/>
                <w:color w:val="auto"/>
                <w:spacing w:val="0"/>
                <w:sz w:val="21"/>
                <w:szCs w:val="21"/>
                <w:highlight w:val="none"/>
              </w:rPr>
              <w:t>、</w:t>
            </w:r>
            <w:r>
              <w:rPr>
                <w:rFonts w:eastAsia="宋体" w:cs="Times New Roman"/>
                <w:color w:val="auto"/>
                <w:kern w:val="0"/>
                <w:sz w:val="21"/>
                <w:szCs w:val="21"/>
              </w:rPr>
              <w:t>CO、O</w:t>
            </w:r>
            <w:r>
              <w:rPr>
                <w:rFonts w:eastAsia="宋体" w:cs="Times New Roman"/>
                <w:color w:val="auto"/>
                <w:kern w:val="0"/>
                <w:sz w:val="21"/>
                <w:szCs w:val="21"/>
                <w:vertAlign w:val="subscript"/>
              </w:rPr>
              <w:t>3</w:t>
            </w:r>
            <w:r>
              <w:rPr>
                <w:rFonts w:eastAsia="宋体" w:cs="Times New Roman"/>
                <w:color w:val="auto"/>
                <w:sz w:val="21"/>
                <w:szCs w:val="21"/>
              </w:rPr>
              <w:t>、TSP、</w:t>
            </w:r>
            <w:r>
              <w:rPr>
                <w:rFonts w:eastAsia="宋体" w:cs="Times New Roman"/>
                <w:color w:val="auto"/>
                <w:kern w:val="0"/>
                <w:sz w:val="21"/>
                <w:szCs w:val="21"/>
              </w:rPr>
              <w:t>NH</w:t>
            </w:r>
            <w:r>
              <w:rPr>
                <w:rFonts w:eastAsia="宋体" w:cs="Times New Roman"/>
                <w:color w:val="auto"/>
                <w:kern w:val="0"/>
                <w:sz w:val="21"/>
                <w:szCs w:val="21"/>
                <w:vertAlign w:val="subscript"/>
              </w:rPr>
              <w:t>3</w:t>
            </w:r>
            <w:r>
              <w:rPr>
                <w:rFonts w:eastAsia="宋体" w:cs="Times New Roman"/>
                <w:color w:val="auto"/>
                <w:sz w:val="21"/>
                <w:szCs w:val="21"/>
              </w:rPr>
              <w:t>、Hg</w:t>
            </w:r>
          </w:p>
        </w:tc>
      </w:tr>
      <w:tr w14:paraId="4B54B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continue"/>
            <w:tcBorders>
              <w:tl2br w:val="nil"/>
              <w:tr2bl w:val="nil"/>
            </w:tcBorders>
            <w:vAlign w:val="center"/>
          </w:tcPr>
          <w:p w14:paraId="0FBE75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565" w:type="pct"/>
            <w:vMerge w:val="continue"/>
            <w:tcBorders>
              <w:tl2br w:val="nil"/>
              <w:tr2bl w:val="nil"/>
            </w:tcBorders>
            <w:vAlign w:val="center"/>
          </w:tcPr>
          <w:p w14:paraId="0088A6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672" w:type="pct"/>
            <w:tcBorders>
              <w:tl2br w:val="nil"/>
              <w:tr2bl w:val="nil"/>
            </w:tcBorders>
            <w:vAlign w:val="center"/>
          </w:tcPr>
          <w:p w14:paraId="5DF60F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预测评价</w:t>
            </w:r>
          </w:p>
        </w:tc>
        <w:tc>
          <w:tcPr>
            <w:tcW w:w="3369" w:type="pct"/>
            <w:tcBorders>
              <w:tl2br w:val="nil"/>
              <w:tr2bl w:val="nil"/>
            </w:tcBorders>
            <w:vAlign w:val="center"/>
          </w:tcPr>
          <w:p w14:paraId="2FE092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default" w:eastAsia="宋体" w:cs="Times New Roman"/>
                <w:color w:val="auto"/>
                <w:sz w:val="21"/>
                <w:szCs w:val="21"/>
                <w:lang w:val="en-US" w:eastAsia="zh-CN"/>
              </w:rPr>
            </w:pPr>
            <w:r>
              <w:rPr>
                <w:rFonts w:eastAsia="宋体" w:cs="Times New Roman"/>
                <w:color w:val="auto"/>
                <w:sz w:val="21"/>
                <w:szCs w:val="21"/>
              </w:rPr>
              <w:t>PM</w:t>
            </w:r>
            <w:r>
              <w:rPr>
                <w:rFonts w:eastAsia="宋体" w:cs="Times New Roman"/>
                <w:color w:val="auto"/>
                <w:sz w:val="21"/>
                <w:szCs w:val="21"/>
                <w:vertAlign w:val="subscript"/>
              </w:rPr>
              <w:t>10</w:t>
            </w:r>
            <w:r>
              <w:rPr>
                <w:rFonts w:eastAsia="宋体" w:cs="Times New Roman"/>
                <w:color w:val="auto"/>
                <w:sz w:val="21"/>
                <w:szCs w:val="21"/>
              </w:rPr>
              <w:t>、</w:t>
            </w:r>
            <w:r>
              <w:rPr>
                <w:rFonts w:eastAsia="宋体" w:cs="Times New Roman"/>
                <w:color w:val="auto"/>
                <w:kern w:val="0"/>
                <w:sz w:val="21"/>
                <w:szCs w:val="21"/>
              </w:rPr>
              <w:t>PM</w:t>
            </w:r>
            <w:r>
              <w:rPr>
                <w:rFonts w:eastAsia="宋体" w:cs="Times New Roman"/>
                <w:color w:val="auto"/>
                <w:kern w:val="0"/>
                <w:sz w:val="21"/>
                <w:szCs w:val="21"/>
                <w:vertAlign w:val="subscript"/>
              </w:rPr>
              <w:t>2.5</w:t>
            </w:r>
            <w:r>
              <w:rPr>
                <w:rFonts w:eastAsia="宋体" w:cs="Times New Roman"/>
                <w:color w:val="auto"/>
                <w:sz w:val="21"/>
                <w:szCs w:val="21"/>
              </w:rPr>
              <w:t>、SO</w:t>
            </w:r>
            <w:r>
              <w:rPr>
                <w:rFonts w:eastAsia="宋体" w:cs="Times New Roman"/>
                <w:color w:val="auto"/>
                <w:sz w:val="21"/>
                <w:szCs w:val="21"/>
                <w:vertAlign w:val="subscript"/>
              </w:rPr>
              <w:t>2</w:t>
            </w:r>
            <w:r>
              <w:rPr>
                <w:rFonts w:eastAsia="宋体" w:cs="Times New Roman"/>
                <w:color w:val="auto"/>
                <w:sz w:val="21"/>
                <w:szCs w:val="21"/>
              </w:rPr>
              <w:t>、NO</w:t>
            </w:r>
            <w:r>
              <w:rPr>
                <w:rFonts w:hint="eastAsia" w:eastAsia="宋体" w:cs="Times New Roman"/>
                <w:color w:val="auto"/>
                <w:sz w:val="21"/>
                <w:szCs w:val="21"/>
                <w:vertAlign w:val="subscript"/>
                <w:lang w:val="en-US" w:eastAsia="zh-CN"/>
              </w:rPr>
              <w:t>x</w:t>
            </w:r>
            <w:r>
              <w:rPr>
                <w:rFonts w:eastAsia="宋体" w:cs="Times New Roman"/>
                <w:color w:val="auto"/>
                <w:sz w:val="21"/>
                <w:szCs w:val="21"/>
              </w:rPr>
              <w:t>、</w:t>
            </w:r>
            <w:r>
              <w:rPr>
                <w:rFonts w:hint="default" w:ascii="Times New Roman" w:hAnsi="Times New Roman" w:cs="Times New Roman"/>
                <w:color w:val="auto"/>
                <w:spacing w:val="0"/>
                <w:sz w:val="21"/>
                <w:szCs w:val="21"/>
                <w:highlight w:val="none"/>
              </w:rPr>
              <w:t>NO</w:t>
            </w:r>
            <w:r>
              <w:rPr>
                <w:rFonts w:hint="default" w:ascii="Times New Roman" w:hAnsi="Times New Roman" w:cs="Times New Roman"/>
                <w:color w:val="auto"/>
                <w:spacing w:val="0"/>
                <w:sz w:val="21"/>
                <w:szCs w:val="21"/>
                <w:highlight w:val="none"/>
                <w:vertAlign w:val="subscript"/>
              </w:rPr>
              <w:t>2</w:t>
            </w:r>
            <w:r>
              <w:rPr>
                <w:rFonts w:hint="default" w:ascii="Times New Roman" w:hAnsi="Times New Roman" w:cs="Times New Roman"/>
                <w:color w:val="auto"/>
                <w:spacing w:val="0"/>
                <w:sz w:val="21"/>
                <w:szCs w:val="21"/>
                <w:highlight w:val="none"/>
              </w:rPr>
              <w:t>、</w:t>
            </w:r>
            <w:r>
              <w:rPr>
                <w:rFonts w:eastAsia="宋体" w:cs="Times New Roman"/>
                <w:color w:val="auto"/>
                <w:sz w:val="21"/>
                <w:szCs w:val="21"/>
              </w:rPr>
              <w:t>TSP、</w:t>
            </w:r>
            <w:r>
              <w:rPr>
                <w:rFonts w:eastAsia="宋体" w:cs="Times New Roman"/>
                <w:color w:val="auto"/>
                <w:kern w:val="0"/>
                <w:sz w:val="21"/>
                <w:szCs w:val="21"/>
              </w:rPr>
              <w:t>NH</w:t>
            </w:r>
            <w:r>
              <w:rPr>
                <w:rFonts w:eastAsia="宋体" w:cs="Times New Roman"/>
                <w:color w:val="auto"/>
                <w:kern w:val="0"/>
                <w:sz w:val="21"/>
                <w:szCs w:val="21"/>
                <w:vertAlign w:val="subscript"/>
              </w:rPr>
              <w:t>3</w:t>
            </w:r>
            <w:r>
              <w:rPr>
                <w:rFonts w:eastAsia="宋体" w:cs="Times New Roman"/>
                <w:color w:val="auto"/>
                <w:sz w:val="21"/>
                <w:szCs w:val="21"/>
              </w:rPr>
              <w:t>、</w:t>
            </w:r>
            <w:r>
              <w:rPr>
                <w:rFonts w:hint="eastAsia" w:eastAsia="宋体" w:cs="Times New Roman"/>
                <w:color w:val="FF0000"/>
                <w:sz w:val="21"/>
                <w:szCs w:val="21"/>
                <w:lang w:val="en-US" w:eastAsia="zh-CN"/>
              </w:rPr>
              <w:t>汞及其化合物</w:t>
            </w:r>
          </w:p>
        </w:tc>
      </w:tr>
      <w:tr w14:paraId="10B81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restart"/>
            <w:tcBorders>
              <w:tl2br w:val="nil"/>
              <w:tr2bl w:val="nil"/>
            </w:tcBorders>
            <w:vAlign w:val="center"/>
          </w:tcPr>
          <w:p w14:paraId="04E131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2</w:t>
            </w:r>
          </w:p>
        </w:tc>
        <w:tc>
          <w:tcPr>
            <w:tcW w:w="565" w:type="pct"/>
            <w:vMerge w:val="restart"/>
            <w:tcBorders>
              <w:tl2br w:val="nil"/>
              <w:tr2bl w:val="nil"/>
            </w:tcBorders>
            <w:vAlign w:val="center"/>
          </w:tcPr>
          <w:p w14:paraId="475D4A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地表水</w:t>
            </w:r>
          </w:p>
          <w:p w14:paraId="29A170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环境</w:t>
            </w:r>
          </w:p>
        </w:tc>
        <w:tc>
          <w:tcPr>
            <w:tcW w:w="672" w:type="pct"/>
            <w:tcBorders>
              <w:tl2br w:val="nil"/>
              <w:tr2bl w:val="nil"/>
            </w:tcBorders>
            <w:vAlign w:val="center"/>
          </w:tcPr>
          <w:p w14:paraId="7438C5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现状评价</w:t>
            </w:r>
          </w:p>
        </w:tc>
        <w:tc>
          <w:tcPr>
            <w:tcW w:w="3369" w:type="pct"/>
            <w:tcBorders>
              <w:tl2br w:val="nil"/>
              <w:tr2bl w:val="nil"/>
            </w:tcBorders>
            <w:vAlign w:val="center"/>
          </w:tcPr>
          <w:p w14:paraId="48479367">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COD、BOD</w:t>
            </w:r>
            <w:r>
              <w:rPr>
                <w:rFonts w:ascii="Times New Roman" w:hAnsi="Times New Roman" w:eastAsia="宋体" w:cs="Times New Roman"/>
                <w:color w:val="auto"/>
                <w:sz w:val="21"/>
                <w:szCs w:val="21"/>
                <w:vertAlign w:val="subscript"/>
              </w:rPr>
              <w:t>5</w:t>
            </w:r>
            <w:r>
              <w:rPr>
                <w:rFonts w:ascii="Times New Roman" w:hAnsi="Times New Roman" w:eastAsia="宋体" w:cs="Times New Roman"/>
                <w:color w:val="auto"/>
                <w:sz w:val="21"/>
                <w:szCs w:val="21"/>
              </w:rPr>
              <w:t>、NH</w:t>
            </w:r>
            <w:r>
              <w:rPr>
                <w:rFonts w:ascii="Times New Roman" w:hAnsi="Times New Roman" w:eastAsia="宋体" w:cs="Times New Roman"/>
                <w:color w:val="auto"/>
                <w:sz w:val="21"/>
                <w:szCs w:val="21"/>
                <w:vertAlign w:val="subscript"/>
              </w:rPr>
              <w:t>3</w:t>
            </w:r>
            <w:r>
              <w:rPr>
                <w:rFonts w:ascii="Times New Roman" w:hAnsi="Times New Roman" w:eastAsia="宋体" w:cs="Times New Roman"/>
                <w:color w:val="auto"/>
                <w:sz w:val="21"/>
                <w:szCs w:val="21"/>
              </w:rPr>
              <w:t>-N、高锰酸盐指数、总磷、氟化物、溶解氧</w:t>
            </w:r>
            <w:r>
              <w:rPr>
                <w:rFonts w:hint="eastAsia" w:ascii="Times New Roman" w:hAnsi="Times New Roman" w:eastAsia="宋体" w:cs="Times New Roman"/>
                <w:color w:val="auto"/>
                <w:sz w:val="21"/>
                <w:szCs w:val="21"/>
              </w:rPr>
              <w:t>、PH值、悬浮物、硫化物、总砷、总汞、总铅、总铬。</w:t>
            </w:r>
          </w:p>
        </w:tc>
      </w:tr>
      <w:tr w14:paraId="47D04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continue"/>
            <w:tcBorders>
              <w:tl2br w:val="nil"/>
              <w:tr2bl w:val="nil"/>
            </w:tcBorders>
            <w:vAlign w:val="center"/>
          </w:tcPr>
          <w:p w14:paraId="38E0F5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565" w:type="pct"/>
            <w:vMerge w:val="continue"/>
            <w:tcBorders>
              <w:tl2br w:val="nil"/>
              <w:tr2bl w:val="nil"/>
            </w:tcBorders>
            <w:vAlign w:val="center"/>
          </w:tcPr>
          <w:p w14:paraId="544BAE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672" w:type="pct"/>
            <w:tcBorders>
              <w:tl2br w:val="nil"/>
              <w:tr2bl w:val="nil"/>
            </w:tcBorders>
            <w:vAlign w:val="center"/>
          </w:tcPr>
          <w:p w14:paraId="1A0500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预测评价</w:t>
            </w:r>
          </w:p>
        </w:tc>
        <w:tc>
          <w:tcPr>
            <w:tcW w:w="3369" w:type="pct"/>
            <w:tcBorders>
              <w:tl2br w:val="nil"/>
              <w:tr2bl w:val="nil"/>
            </w:tcBorders>
            <w:vAlign w:val="center"/>
          </w:tcPr>
          <w:p w14:paraId="32F98C76">
            <w:pPr>
              <w:pStyle w:val="69"/>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color w:val="auto"/>
                <w:sz w:val="21"/>
              </w:rPr>
            </w:pPr>
            <w:r>
              <w:rPr>
                <w:rFonts w:ascii="Times New Roman" w:hAnsi="Times New Roman"/>
                <w:color w:val="auto"/>
                <w:sz w:val="21"/>
              </w:rPr>
              <w:t>论述水污染控制和水环境影响减缓措施有效性评价和依托污水处理设施的环境可行性评价</w:t>
            </w:r>
          </w:p>
        </w:tc>
      </w:tr>
      <w:tr w14:paraId="403E7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restart"/>
            <w:tcBorders>
              <w:tl2br w:val="nil"/>
              <w:tr2bl w:val="nil"/>
            </w:tcBorders>
            <w:vAlign w:val="center"/>
          </w:tcPr>
          <w:p w14:paraId="337A4B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3</w:t>
            </w:r>
          </w:p>
        </w:tc>
        <w:tc>
          <w:tcPr>
            <w:tcW w:w="565" w:type="pct"/>
            <w:vMerge w:val="restart"/>
            <w:tcBorders>
              <w:tl2br w:val="nil"/>
              <w:tr2bl w:val="nil"/>
            </w:tcBorders>
            <w:vAlign w:val="center"/>
          </w:tcPr>
          <w:p w14:paraId="0AD42C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声环境</w:t>
            </w:r>
          </w:p>
        </w:tc>
        <w:tc>
          <w:tcPr>
            <w:tcW w:w="672" w:type="pct"/>
            <w:tcBorders>
              <w:tl2br w:val="nil"/>
              <w:tr2bl w:val="nil"/>
            </w:tcBorders>
            <w:vAlign w:val="center"/>
          </w:tcPr>
          <w:p w14:paraId="58553F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现状评价</w:t>
            </w:r>
          </w:p>
        </w:tc>
        <w:tc>
          <w:tcPr>
            <w:tcW w:w="3369" w:type="pct"/>
            <w:tcBorders>
              <w:tl2br w:val="nil"/>
              <w:tr2bl w:val="nil"/>
            </w:tcBorders>
            <w:vAlign w:val="center"/>
          </w:tcPr>
          <w:p w14:paraId="521CFD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eastAsia="宋体" w:cs="Times New Roman"/>
                <w:color w:val="auto"/>
                <w:sz w:val="21"/>
                <w:szCs w:val="21"/>
              </w:rPr>
            </w:pPr>
            <w:r>
              <w:rPr>
                <w:rFonts w:eastAsia="宋体" w:cs="Times New Roman"/>
                <w:color w:val="auto"/>
                <w:sz w:val="21"/>
                <w:szCs w:val="21"/>
              </w:rPr>
              <w:t>等效连续A声级Leq（A）</w:t>
            </w:r>
          </w:p>
        </w:tc>
      </w:tr>
      <w:tr w14:paraId="0CDB1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continue"/>
            <w:tcBorders>
              <w:tl2br w:val="nil"/>
              <w:tr2bl w:val="nil"/>
            </w:tcBorders>
            <w:vAlign w:val="center"/>
          </w:tcPr>
          <w:p w14:paraId="4B31FF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565" w:type="pct"/>
            <w:vMerge w:val="continue"/>
            <w:tcBorders>
              <w:tl2br w:val="nil"/>
              <w:tr2bl w:val="nil"/>
            </w:tcBorders>
            <w:vAlign w:val="center"/>
          </w:tcPr>
          <w:p w14:paraId="3EDDCD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672" w:type="pct"/>
            <w:tcBorders>
              <w:tl2br w:val="nil"/>
              <w:tr2bl w:val="nil"/>
            </w:tcBorders>
            <w:vAlign w:val="center"/>
          </w:tcPr>
          <w:p w14:paraId="025F7F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预测评价</w:t>
            </w:r>
          </w:p>
        </w:tc>
        <w:tc>
          <w:tcPr>
            <w:tcW w:w="3369" w:type="pct"/>
            <w:tcBorders>
              <w:tl2br w:val="nil"/>
              <w:tr2bl w:val="nil"/>
            </w:tcBorders>
            <w:vAlign w:val="center"/>
          </w:tcPr>
          <w:p w14:paraId="1174C2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eastAsia="宋体" w:cs="Times New Roman"/>
                <w:color w:val="auto"/>
                <w:sz w:val="21"/>
                <w:szCs w:val="21"/>
              </w:rPr>
            </w:pPr>
            <w:r>
              <w:rPr>
                <w:rFonts w:eastAsia="宋体" w:cs="Times New Roman"/>
                <w:color w:val="auto"/>
                <w:sz w:val="21"/>
                <w:szCs w:val="21"/>
              </w:rPr>
              <w:t>等效连续A声级Leq（A）</w:t>
            </w:r>
          </w:p>
        </w:tc>
      </w:tr>
      <w:tr w14:paraId="52B07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restart"/>
            <w:tcBorders>
              <w:tl2br w:val="nil"/>
              <w:tr2bl w:val="nil"/>
            </w:tcBorders>
            <w:vAlign w:val="center"/>
          </w:tcPr>
          <w:p w14:paraId="557D53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4</w:t>
            </w:r>
          </w:p>
        </w:tc>
        <w:tc>
          <w:tcPr>
            <w:tcW w:w="565" w:type="pct"/>
            <w:vMerge w:val="restart"/>
            <w:tcBorders>
              <w:tl2br w:val="nil"/>
              <w:tr2bl w:val="nil"/>
            </w:tcBorders>
            <w:vAlign w:val="center"/>
          </w:tcPr>
          <w:p w14:paraId="404F78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固体</w:t>
            </w:r>
          </w:p>
          <w:p w14:paraId="090883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废物</w:t>
            </w:r>
          </w:p>
        </w:tc>
        <w:tc>
          <w:tcPr>
            <w:tcW w:w="672" w:type="pct"/>
            <w:tcBorders>
              <w:tl2br w:val="nil"/>
              <w:tr2bl w:val="nil"/>
            </w:tcBorders>
            <w:vAlign w:val="center"/>
          </w:tcPr>
          <w:p w14:paraId="092E5E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现状评价</w:t>
            </w:r>
          </w:p>
        </w:tc>
        <w:tc>
          <w:tcPr>
            <w:tcW w:w="3369" w:type="pct"/>
            <w:tcBorders>
              <w:tl2br w:val="nil"/>
              <w:tr2bl w:val="nil"/>
            </w:tcBorders>
            <w:vAlign w:val="center"/>
          </w:tcPr>
          <w:p w14:paraId="6FE634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hint="eastAsia" w:eastAsia="宋体" w:cs="Times New Roman"/>
                <w:color w:val="auto"/>
                <w:sz w:val="21"/>
                <w:szCs w:val="21"/>
              </w:rPr>
              <w:t>/</w:t>
            </w:r>
          </w:p>
        </w:tc>
      </w:tr>
      <w:tr w14:paraId="6B0F9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continue"/>
            <w:tcBorders>
              <w:tl2br w:val="nil"/>
              <w:tr2bl w:val="nil"/>
            </w:tcBorders>
            <w:vAlign w:val="center"/>
          </w:tcPr>
          <w:p w14:paraId="164217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565" w:type="pct"/>
            <w:vMerge w:val="continue"/>
            <w:tcBorders>
              <w:tl2br w:val="nil"/>
              <w:tr2bl w:val="nil"/>
            </w:tcBorders>
            <w:vAlign w:val="center"/>
          </w:tcPr>
          <w:p w14:paraId="55FA13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672" w:type="pct"/>
            <w:tcBorders>
              <w:tl2br w:val="nil"/>
              <w:tr2bl w:val="nil"/>
            </w:tcBorders>
            <w:vAlign w:val="center"/>
          </w:tcPr>
          <w:p w14:paraId="29FA49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预测评价</w:t>
            </w:r>
          </w:p>
        </w:tc>
        <w:tc>
          <w:tcPr>
            <w:tcW w:w="3369" w:type="pct"/>
            <w:tcBorders>
              <w:tl2br w:val="nil"/>
              <w:tr2bl w:val="nil"/>
            </w:tcBorders>
            <w:vAlign w:val="center"/>
          </w:tcPr>
          <w:p w14:paraId="1242A0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default" w:eastAsia="宋体" w:cs="Times New Roman"/>
                <w:color w:val="auto"/>
                <w:sz w:val="21"/>
                <w:szCs w:val="21"/>
                <w:lang w:val="en-US" w:eastAsia="zh-CN"/>
              </w:rPr>
            </w:pPr>
            <w:r>
              <w:rPr>
                <w:rFonts w:eastAsia="宋体" w:cs="Times New Roman"/>
                <w:color w:val="auto"/>
                <w:sz w:val="21"/>
                <w:szCs w:val="21"/>
              </w:rPr>
              <w:t>生活垃圾、</w:t>
            </w:r>
            <w:r>
              <w:rPr>
                <w:rFonts w:hint="eastAsia" w:eastAsia="宋体" w:cs="Times New Roman"/>
                <w:color w:val="auto"/>
                <w:sz w:val="21"/>
                <w:szCs w:val="21"/>
              </w:rPr>
              <w:t>脱硫副产物、</w:t>
            </w:r>
            <w:r>
              <w:rPr>
                <w:rFonts w:eastAsia="宋体" w:cs="Times New Roman"/>
                <w:color w:val="auto"/>
                <w:sz w:val="21"/>
                <w:szCs w:val="21"/>
              </w:rPr>
              <w:t>锅炉灰渣</w:t>
            </w:r>
            <w:r>
              <w:rPr>
                <w:rFonts w:eastAsia="宋体" w:cs="Times New Roman"/>
                <w:bCs/>
                <w:color w:val="auto"/>
                <w:sz w:val="21"/>
                <w:szCs w:val="21"/>
              </w:rPr>
              <w:t>、废脱硝催化剂、废布袋</w:t>
            </w:r>
            <w:r>
              <w:rPr>
                <w:rFonts w:hint="eastAsia" w:eastAsia="宋体" w:cs="Times New Roman"/>
                <w:bCs/>
                <w:color w:val="auto"/>
                <w:sz w:val="21"/>
                <w:szCs w:val="21"/>
                <w:lang w:eastAsia="zh-CN"/>
              </w:rPr>
              <w:t>、</w:t>
            </w:r>
            <w:r>
              <w:rPr>
                <w:rFonts w:hint="eastAsia" w:eastAsia="宋体" w:cs="Times New Roman"/>
                <w:bCs/>
                <w:color w:val="auto"/>
                <w:sz w:val="21"/>
                <w:szCs w:val="21"/>
                <w:lang w:val="en-US" w:eastAsia="zh-CN"/>
              </w:rPr>
              <w:t>废离子交换树脂、初期雨水收集池沉渣</w:t>
            </w:r>
          </w:p>
        </w:tc>
      </w:tr>
      <w:tr w14:paraId="5750D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restart"/>
            <w:tcBorders>
              <w:tl2br w:val="nil"/>
              <w:tr2bl w:val="nil"/>
            </w:tcBorders>
            <w:vAlign w:val="center"/>
          </w:tcPr>
          <w:p w14:paraId="75E9D9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5</w:t>
            </w:r>
          </w:p>
        </w:tc>
        <w:tc>
          <w:tcPr>
            <w:tcW w:w="565" w:type="pct"/>
            <w:vMerge w:val="restart"/>
            <w:tcBorders>
              <w:tl2br w:val="nil"/>
              <w:tr2bl w:val="nil"/>
            </w:tcBorders>
            <w:vAlign w:val="center"/>
          </w:tcPr>
          <w:p w14:paraId="43435E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土壤</w:t>
            </w:r>
          </w:p>
          <w:p w14:paraId="13AB31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环境</w:t>
            </w:r>
          </w:p>
        </w:tc>
        <w:tc>
          <w:tcPr>
            <w:tcW w:w="672" w:type="pct"/>
            <w:tcBorders>
              <w:tl2br w:val="nil"/>
              <w:tr2bl w:val="nil"/>
            </w:tcBorders>
            <w:vAlign w:val="center"/>
          </w:tcPr>
          <w:p w14:paraId="083FBA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现状评价</w:t>
            </w:r>
          </w:p>
        </w:tc>
        <w:tc>
          <w:tcPr>
            <w:tcW w:w="3369" w:type="pct"/>
            <w:tcBorders>
              <w:tl2br w:val="nil"/>
              <w:tr2bl w:val="nil"/>
            </w:tcBorders>
            <w:vAlign w:val="center"/>
          </w:tcPr>
          <w:p w14:paraId="35CE0B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eastAsia="宋体" w:cs="Times New Roman"/>
                <w:color w:val="auto"/>
                <w:sz w:val="21"/>
                <w:szCs w:val="21"/>
                <w:lang w:eastAsia="zh-CN"/>
              </w:rPr>
            </w:pPr>
            <w:r>
              <w:rPr>
                <w:rFonts w:eastAsia="宋体" w:cs="Times New Roman"/>
                <w:color w:val="auto"/>
                <w:sz w:val="21"/>
                <w:szCs w:val="21"/>
              </w:rPr>
              <w:t>砷、镉、铬（六价）、铜、铅、汞、镍、四氯化碳、氯仿、氯甲烷、1,1-二氯乙烷、1,2-二氯乙烷、1,1-二氯乙烯、顺-1,2-二氯乙烯、反-1,2-二氯乙烯、二氯甲烷、1,2-二氯丙烷、1,1,1,2-四氯乙烷、1,1,2,2-四氯乙烷、四氯乙烯、1,1,1-三氯乙烷、1,1,2-三氯乙烷、三氯乙烯、1,2,3-三氯丙烷、氯乙烯、氯苯、1,2-二氯苯、1,4-二氯苯、乙苯、苯乙烯、硝基苯、苯胺、2-氯酚、苯并[a]蒽、苯并[a]芘、苯并[b]荧蒽、苯并[k]荧蒽、䓛（又名1，2-苯并菲）、二苯并[a,h]蒽、茚并[1,2,3-cd]芘、萘、苯、甲苯、间二甲苯+对二甲苯、邻二甲苯、</w:t>
            </w:r>
            <w:r>
              <w:rPr>
                <w:rFonts w:hint="eastAsia" w:eastAsia="宋体" w:cs="Times New Roman"/>
                <w:color w:val="auto"/>
                <w:sz w:val="21"/>
                <w:szCs w:val="21"/>
                <w:lang w:val="en-US" w:eastAsia="zh-CN"/>
              </w:rPr>
              <w:t>石油烃</w:t>
            </w:r>
          </w:p>
        </w:tc>
      </w:tr>
      <w:tr w14:paraId="29F9B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vMerge w:val="continue"/>
            <w:tcBorders>
              <w:tl2br w:val="nil"/>
              <w:tr2bl w:val="nil"/>
            </w:tcBorders>
            <w:vAlign w:val="center"/>
          </w:tcPr>
          <w:p w14:paraId="3F329F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565" w:type="pct"/>
            <w:vMerge w:val="continue"/>
            <w:tcBorders>
              <w:tl2br w:val="nil"/>
              <w:tr2bl w:val="nil"/>
            </w:tcBorders>
            <w:vAlign w:val="center"/>
          </w:tcPr>
          <w:p w14:paraId="549035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p>
        </w:tc>
        <w:tc>
          <w:tcPr>
            <w:tcW w:w="672" w:type="pct"/>
            <w:tcBorders>
              <w:tl2br w:val="nil"/>
              <w:tr2bl w:val="nil"/>
            </w:tcBorders>
            <w:vAlign w:val="center"/>
          </w:tcPr>
          <w:p w14:paraId="0F834B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color w:val="auto"/>
                <w:sz w:val="21"/>
                <w:szCs w:val="21"/>
              </w:rPr>
            </w:pPr>
            <w:r>
              <w:rPr>
                <w:rFonts w:eastAsia="宋体" w:cs="Times New Roman"/>
                <w:color w:val="auto"/>
                <w:sz w:val="21"/>
                <w:szCs w:val="21"/>
              </w:rPr>
              <w:t>预测评价</w:t>
            </w:r>
          </w:p>
        </w:tc>
        <w:tc>
          <w:tcPr>
            <w:tcW w:w="3369" w:type="pct"/>
            <w:tcBorders>
              <w:tl2br w:val="nil"/>
              <w:tr2bl w:val="nil"/>
            </w:tcBorders>
            <w:vAlign w:val="center"/>
          </w:tcPr>
          <w:p w14:paraId="740C1A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eastAsia="宋体" w:cs="Times New Roman"/>
                <w:color w:val="auto"/>
                <w:sz w:val="21"/>
                <w:szCs w:val="21"/>
              </w:rPr>
            </w:pPr>
            <w:r>
              <w:rPr>
                <w:rFonts w:eastAsia="宋体" w:cs="Times New Roman"/>
                <w:color w:val="auto"/>
                <w:sz w:val="21"/>
                <w:szCs w:val="21"/>
              </w:rPr>
              <w:t>汞</w:t>
            </w:r>
          </w:p>
        </w:tc>
      </w:tr>
      <w:tr w14:paraId="72233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3" w:type="pct"/>
            <w:tcBorders>
              <w:tl2br w:val="nil"/>
              <w:tr2bl w:val="nil"/>
            </w:tcBorders>
            <w:vAlign w:val="center"/>
          </w:tcPr>
          <w:p w14:paraId="7DB1BF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eastAsia="宋体" w:cs="Times New Roman"/>
                <w:color w:val="auto"/>
                <w:sz w:val="21"/>
                <w:szCs w:val="21"/>
                <w:lang w:val="en-US" w:eastAsia="zh-CN"/>
              </w:rPr>
            </w:pPr>
            <w:r>
              <w:rPr>
                <w:rFonts w:hint="eastAsia" w:eastAsia="宋体" w:cs="Times New Roman"/>
                <w:color w:val="auto"/>
                <w:sz w:val="21"/>
                <w:szCs w:val="21"/>
                <w:lang w:val="en-US" w:eastAsia="zh-CN"/>
              </w:rPr>
              <w:t>6</w:t>
            </w:r>
          </w:p>
        </w:tc>
        <w:tc>
          <w:tcPr>
            <w:tcW w:w="565" w:type="pct"/>
            <w:tcBorders>
              <w:tl2br w:val="nil"/>
              <w:tr2bl w:val="nil"/>
            </w:tcBorders>
            <w:vAlign w:val="center"/>
          </w:tcPr>
          <w:p w14:paraId="481966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eastAsia="宋体" w:cs="Times New Roman"/>
                <w:color w:val="auto"/>
                <w:sz w:val="21"/>
                <w:szCs w:val="21"/>
                <w:lang w:val="en-US" w:eastAsia="zh-CN"/>
              </w:rPr>
            </w:pPr>
            <w:r>
              <w:rPr>
                <w:rFonts w:hint="eastAsia" w:eastAsia="宋体" w:cs="Times New Roman"/>
                <w:color w:val="auto"/>
                <w:sz w:val="21"/>
                <w:szCs w:val="21"/>
                <w:lang w:val="en-US" w:eastAsia="zh-CN"/>
              </w:rPr>
              <w:t>环境</w:t>
            </w:r>
          </w:p>
          <w:p w14:paraId="67BD34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风险</w:t>
            </w:r>
          </w:p>
        </w:tc>
        <w:tc>
          <w:tcPr>
            <w:tcW w:w="672" w:type="pct"/>
            <w:tcBorders>
              <w:tl2br w:val="nil"/>
              <w:tr2bl w:val="nil"/>
            </w:tcBorders>
            <w:vAlign w:val="center"/>
          </w:tcPr>
          <w:p w14:paraId="1AFDC0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预测评价</w:t>
            </w:r>
          </w:p>
        </w:tc>
        <w:tc>
          <w:tcPr>
            <w:tcW w:w="3369" w:type="pct"/>
            <w:tcBorders>
              <w:tl2br w:val="nil"/>
              <w:tr2bl w:val="nil"/>
            </w:tcBorders>
            <w:vAlign w:val="center"/>
          </w:tcPr>
          <w:p w14:paraId="3E481D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eastAsia="宋体" w:cs="Times New Roman"/>
                <w:color w:val="auto"/>
                <w:sz w:val="21"/>
                <w:szCs w:val="21"/>
                <w:lang w:val="en-US" w:eastAsia="zh-CN"/>
              </w:rPr>
            </w:pPr>
            <w:r>
              <w:rPr>
                <w:rFonts w:hint="eastAsia" w:eastAsia="宋体" w:cs="Times New Roman"/>
                <w:color w:val="auto"/>
                <w:sz w:val="21"/>
                <w:szCs w:val="21"/>
                <w:lang w:val="en-US" w:eastAsia="zh-CN"/>
              </w:rPr>
              <w:t>废矿物油以及伴生/次生污染物排放</w:t>
            </w:r>
          </w:p>
        </w:tc>
      </w:tr>
    </w:tbl>
    <w:p w14:paraId="315DEC5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表2.3-3  本项目生态评价因子的识别与筛选</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1"/>
        <w:gridCol w:w="1385"/>
        <w:gridCol w:w="2270"/>
        <w:gridCol w:w="1815"/>
        <w:gridCol w:w="1265"/>
        <w:gridCol w:w="1086"/>
      </w:tblGrid>
      <w:tr w14:paraId="2766A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1" w:type="pct"/>
            <w:tcBorders>
              <w:tl2br w:val="nil"/>
              <w:tr2bl w:val="nil"/>
            </w:tcBorders>
            <w:vAlign w:val="center"/>
          </w:tcPr>
          <w:p w14:paraId="1B6E5A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时期</w:t>
            </w:r>
          </w:p>
        </w:tc>
        <w:tc>
          <w:tcPr>
            <w:tcW w:w="812" w:type="pct"/>
            <w:tcBorders>
              <w:tl2br w:val="nil"/>
              <w:tr2bl w:val="nil"/>
            </w:tcBorders>
            <w:vAlign w:val="center"/>
          </w:tcPr>
          <w:p w14:paraId="17A647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受影响对象</w:t>
            </w:r>
          </w:p>
        </w:tc>
        <w:tc>
          <w:tcPr>
            <w:tcW w:w="1331" w:type="pct"/>
            <w:tcBorders>
              <w:tl2br w:val="nil"/>
              <w:tr2bl w:val="nil"/>
            </w:tcBorders>
            <w:vAlign w:val="center"/>
          </w:tcPr>
          <w:p w14:paraId="48E776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评价因子</w:t>
            </w:r>
          </w:p>
        </w:tc>
        <w:tc>
          <w:tcPr>
            <w:tcW w:w="1064" w:type="pct"/>
            <w:tcBorders>
              <w:tl2br w:val="nil"/>
              <w:tr2bl w:val="nil"/>
            </w:tcBorders>
            <w:vAlign w:val="center"/>
          </w:tcPr>
          <w:p w14:paraId="751D3E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工程内容及影响方式</w:t>
            </w:r>
          </w:p>
        </w:tc>
        <w:tc>
          <w:tcPr>
            <w:tcW w:w="742" w:type="pct"/>
            <w:tcBorders>
              <w:tl2br w:val="nil"/>
              <w:tr2bl w:val="nil"/>
            </w:tcBorders>
            <w:vAlign w:val="center"/>
          </w:tcPr>
          <w:p w14:paraId="4CDA6A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影响性质</w:t>
            </w:r>
          </w:p>
        </w:tc>
        <w:tc>
          <w:tcPr>
            <w:tcW w:w="637" w:type="pct"/>
            <w:tcBorders>
              <w:tl2br w:val="nil"/>
              <w:tr2bl w:val="nil"/>
            </w:tcBorders>
            <w:vAlign w:val="center"/>
          </w:tcPr>
          <w:p w14:paraId="4C1ADB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影响程度</w:t>
            </w:r>
          </w:p>
        </w:tc>
      </w:tr>
      <w:tr w14:paraId="01177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1" w:type="pct"/>
            <w:vMerge w:val="restart"/>
            <w:tcBorders>
              <w:tl2br w:val="nil"/>
              <w:tr2bl w:val="nil"/>
            </w:tcBorders>
            <w:vAlign w:val="center"/>
          </w:tcPr>
          <w:p w14:paraId="2287FA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施</w:t>
            </w:r>
          </w:p>
          <w:p w14:paraId="1D1A1A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工</w:t>
            </w:r>
          </w:p>
          <w:p w14:paraId="382918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期</w:t>
            </w:r>
          </w:p>
        </w:tc>
        <w:tc>
          <w:tcPr>
            <w:tcW w:w="812" w:type="pct"/>
            <w:tcBorders>
              <w:tl2br w:val="nil"/>
              <w:tr2bl w:val="nil"/>
            </w:tcBorders>
            <w:vAlign w:val="center"/>
          </w:tcPr>
          <w:p w14:paraId="3B55D9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物种</w:t>
            </w:r>
          </w:p>
        </w:tc>
        <w:tc>
          <w:tcPr>
            <w:tcW w:w="1331" w:type="pct"/>
            <w:tcBorders>
              <w:tl2br w:val="nil"/>
              <w:tr2bl w:val="nil"/>
            </w:tcBorders>
            <w:vAlign w:val="center"/>
          </w:tcPr>
          <w:p w14:paraId="656E89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分布范围、种群数量、种群结构、行为</w:t>
            </w:r>
          </w:p>
        </w:tc>
        <w:tc>
          <w:tcPr>
            <w:tcW w:w="1064" w:type="pct"/>
            <w:tcBorders>
              <w:tl2br w:val="nil"/>
              <w:tr2bl w:val="nil"/>
            </w:tcBorders>
            <w:vAlign w:val="center"/>
          </w:tcPr>
          <w:p w14:paraId="5F0330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土石方施工等施工建设内容/间接</w:t>
            </w:r>
          </w:p>
        </w:tc>
        <w:tc>
          <w:tcPr>
            <w:tcW w:w="742" w:type="pct"/>
            <w:tcBorders>
              <w:tl2br w:val="nil"/>
              <w:tr2bl w:val="nil"/>
            </w:tcBorders>
            <w:vAlign w:val="center"/>
          </w:tcPr>
          <w:p w14:paraId="7F65E8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短期可逆</w:t>
            </w:r>
          </w:p>
        </w:tc>
        <w:tc>
          <w:tcPr>
            <w:tcW w:w="637" w:type="pct"/>
            <w:tcBorders>
              <w:tl2br w:val="nil"/>
              <w:tr2bl w:val="nil"/>
            </w:tcBorders>
            <w:vAlign w:val="center"/>
          </w:tcPr>
          <w:p w14:paraId="480C7D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弱</w:t>
            </w:r>
          </w:p>
        </w:tc>
      </w:tr>
      <w:tr w14:paraId="2D7E2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1" w:type="pct"/>
            <w:vMerge w:val="continue"/>
            <w:tcBorders>
              <w:tl2br w:val="nil"/>
              <w:tr2bl w:val="nil"/>
            </w:tcBorders>
            <w:vAlign w:val="center"/>
          </w:tcPr>
          <w:p w14:paraId="643499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812" w:type="pct"/>
            <w:tcBorders>
              <w:tl2br w:val="nil"/>
              <w:tr2bl w:val="nil"/>
            </w:tcBorders>
            <w:vAlign w:val="center"/>
          </w:tcPr>
          <w:p w14:paraId="1AD092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生物群落</w:t>
            </w:r>
          </w:p>
        </w:tc>
        <w:tc>
          <w:tcPr>
            <w:tcW w:w="1331" w:type="pct"/>
            <w:tcBorders>
              <w:tl2br w:val="nil"/>
              <w:tr2bl w:val="nil"/>
            </w:tcBorders>
            <w:vAlign w:val="center"/>
          </w:tcPr>
          <w:p w14:paraId="617CF3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物种组成、群落结构</w:t>
            </w:r>
          </w:p>
        </w:tc>
        <w:tc>
          <w:tcPr>
            <w:tcW w:w="1064" w:type="pct"/>
            <w:tcBorders>
              <w:tl2br w:val="nil"/>
              <w:tr2bl w:val="nil"/>
            </w:tcBorders>
            <w:vAlign w:val="center"/>
          </w:tcPr>
          <w:p w14:paraId="3D6AA5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土石方施工等施工建设内容/间接</w:t>
            </w:r>
          </w:p>
        </w:tc>
        <w:tc>
          <w:tcPr>
            <w:tcW w:w="742" w:type="pct"/>
            <w:tcBorders>
              <w:tl2br w:val="nil"/>
              <w:tr2bl w:val="nil"/>
            </w:tcBorders>
            <w:vAlign w:val="center"/>
          </w:tcPr>
          <w:p w14:paraId="4C0849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短期可逆</w:t>
            </w:r>
          </w:p>
        </w:tc>
        <w:tc>
          <w:tcPr>
            <w:tcW w:w="637" w:type="pct"/>
            <w:tcBorders>
              <w:tl2br w:val="nil"/>
              <w:tr2bl w:val="nil"/>
            </w:tcBorders>
            <w:vAlign w:val="center"/>
          </w:tcPr>
          <w:p w14:paraId="5623AA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w:t>
            </w:r>
          </w:p>
        </w:tc>
      </w:tr>
      <w:tr w14:paraId="2F2CE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1" w:type="pct"/>
            <w:vMerge w:val="continue"/>
            <w:tcBorders>
              <w:tl2br w:val="nil"/>
              <w:tr2bl w:val="nil"/>
            </w:tcBorders>
            <w:vAlign w:val="center"/>
          </w:tcPr>
          <w:p w14:paraId="055D16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812" w:type="pct"/>
            <w:tcBorders>
              <w:tl2br w:val="nil"/>
              <w:tr2bl w:val="nil"/>
            </w:tcBorders>
            <w:vAlign w:val="center"/>
          </w:tcPr>
          <w:p w14:paraId="0B1153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生物多样性</w:t>
            </w:r>
          </w:p>
        </w:tc>
        <w:tc>
          <w:tcPr>
            <w:tcW w:w="1331" w:type="pct"/>
            <w:tcBorders>
              <w:tl2br w:val="nil"/>
              <w:tr2bl w:val="nil"/>
            </w:tcBorders>
            <w:vAlign w:val="center"/>
          </w:tcPr>
          <w:p w14:paraId="45403C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物种丰富度、均匀度、优势度</w:t>
            </w:r>
          </w:p>
        </w:tc>
        <w:tc>
          <w:tcPr>
            <w:tcW w:w="1064" w:type="pct"/>
            <w:tcBorders>
              <w:tl2br w:val="nil"/>
              <w:tr2bl w:val="nil"/>
            </w:tcBorders>
            <w:vAlign w:val="center"/>
          </w:tcPr>
          <w:p w14:paraId="778497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土石方施工等施工建设内容/间接</w:t>
            </w:r>
          </w:p>
        </w:tc>
        <w:tc>
          <w:tcPr>
            <w:tcW w:w="742" w:type="pct"/>
            <w:tcBorders>
              <w:tl2br w:val="nil"/>
              <w:tr2bl w:val="nil"/>
            </w:tcBorders>
            <w:vAlign w:val="center"/>
          </w:tcPr>
          <w:p w14:paraId="67FF49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短期可逆</w:t>
            </w:r>
          </w:p>
        </w:tc>
        <w:tc>
          <w:tcPr>
            <w:tcW w:w="637" w:type="pct"/>
            <w:tcBorders>
              <w:tl2br w:val="nil"/>
              <w:tr2bl w:val="nil"/>
            </w:tcBorders>
            <w:vAlign w:val="center"/>
          </w:tcPr>
          <w:p w14:paraId="60FC57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w:t>
            </w:r>
          </w:p>
        </w:tc>
      </w:tr>
      <w:tr w14:paraId="34211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1" w:type="pct"/>
            <w:vMerge w:val="restart"/>
            <w:tcBorders>
              <w:tl2br w:val="nil"/>
              <w:tr2bl w:val="nil"/>
            </w:tcBorders>
            <w:vAlign w:val="center"/>
          </w:tcPr>
          <w:p w14:paraId="5485E1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运</w:t>
            </w:r>
          </w:p>
          <w:p w14:paraId="3C31D1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营</w:t>
            </w:r>
          </w:p>
          <w:p w14:paraId="629AA6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期</w:t>
            </w:r>
          </w:p>
        </w:tc>
        <w:tc>
          <w:tcPr>
            <w:tcW w:w="812" w:type="pct"/>
            <w:tcBorders>
              <w:tl2br w:val="nil"/>
              <w:tr2bl w:val="nil"/>
            </w:tcBorders>
            <w:vAlign w:val="center"/>
          </w:tcPr>
          <w:p w14:paraId="2B565E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物种</w:t>
            </w:r>
          </w:p>
        </w:tc>
        <w:tc>
          <w:tcPr>
            <w:tcW w:w="1331" w:type="pct"/>
            <w:tcBorders>
              <w:tl2br w:val="nil"/>
              <w:tr2bl w:val="nil"/>
            </w:tcBorders>
            <w:vAlign w:val="center"/>
          </w:tcPr>
          <w:p w14:paraId="646AE2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分布范围、种群数量、种群结构、行为</w:t>
            </w:r>
          </w:p>
        </w:tc>
        <w:tc>
          <w:tcPr>
            <w:tcW w:w="1064" w:type="pct"/>
            <w:tcBorders>
              <w:tl2br w:val="nil"/>
              <w:tr2bl w:val="nil"/>
            </w:tcBorders>
            <w:vAlign w:val="center"/>
          </w:tcPr>
          <w:p w14:paraId="15F350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锅炉废气、噪声/间接</w:t>
            </w:r>
          </w:p>
        </w:tc>
        <w:tc>
          <w:tcPr>
            <w:tcW w:w="742" w:type="pct"/>
            <w:tcBorders>
              <w:tl2br w:val="nil"/>
              <w:tr2bl w:val="nil"/>
            </w:tcBorders>
            <w:vAlign w:val="center"/>
          </w:tcPr>
          <w:p w14:paraId="4B761B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长期可逆</w:t>
            </w:r>
          </w:p>
        </w:tc>
        <w:tc>
          <w:tcPr>
            <w:tcW w:w="637" w:type="pct"/>
            <w:tcBorders>
              <w:tl2br w:val="nil"/>
              <w:tr2bl w:val="nil"/>
            </w:tcBorders>
            <w:vAlign w:val="center"/>
          </w:tcPr>
          <w:p w14:paraId="5839FE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w:t>
            </w:r>
          </w:p>
        </w:tc>
      </w:tr>
      <w:tr w14:paraId="26EE1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1" w:type="pct"/>
            <w:vMerge w:val="continue"/>
            <w:tcBorders>
              <w:tl2br w:val="nil"/>
              <w:tr2bl w:val="nil"/>
            </w:tcBorders>
            <w:vAlign w:val="center"/>
          </w:tcPr>
          <w:p w14:paraId="067305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812" w:type="pct"/>
            <w:tcBorders>
              <w:tl2br w:val="nil"/>
              <w:tr2bl w:val="nil"/>
            </w:tcBorders>
            <w:vAlign w:val="center"/>
          </w:tcPr>
          <w:p w14:paraId="683B3D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生物群落</w:t>
            </w:r>
          </w:p>
        </w:tc>
        <w:tc>
          <w:tcPr>
            <w:tcW w:w="1331" w:type="pct"/>
            <w:tcBorders>
              <w:tl2br w:val="nil"/>
              <w:tr2bl w:val="nil"/>
            </w:tcBorders>
            <w:vAlign w:val="center"/>
          </w:tcPr>
          <w:p w14:paraId="791762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物种组成、群落结构</w:t>
            </w:r>
          </w:p>
        </w:tc>
        <w:tc>
          <w:tcPr>
            <w:tcW w:w="1064" w:type="pct"/>
            <w:tcBorders>
              <w:tl2br w:val="nil"/>
              <w:tr2bl w:val="nil"/>
            </w:tcBorders>
            <w:vAlign w:val="center"/>
          </w:tcPr>
          <w:p w14:paraId="40516B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锅炉废气、噪声/间接</w:t>
            </w:r>
          </w:p>
        </w:tc>
        <w:tc>
          <w:tcPr>
            <w:tcW w:w="742" w:type="pct"/>
            <w:tcBorders>
              <w:tl2br w:val="nil"/>
              <w:tr2bl w:val="nil"/>
            </w:tcBorders>
            <w:vAlign w:val="center"/>
          </w:tcPr>
          <w:p w14:paraId="358EEE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长期可逆</w:t>
            </w:r>
          </w:p>
        </w:tc>
        <w:tc>
          <w:tcPr>
            <w:tcW w:w="637" w:type="pct"/>
            <w:tcBorders>
              <w:tl2br w:val="nil"/>
              <w:tr2bl w:val="nil"/>
            </w:tcBorders>
            <w:vAlign w:val="center"/>
          </w:tcPr>
          <w:p w14:paraId="62C208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w:t>
            </w:r>
          </w:p>
        </w:tc>
      </w:tr>
    </w:tbl>
    <w:p w14:paraId="42298D5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23" w:name="_Toc25960"/>
      <w:bookmarkStart w:id="124" w:name="_Toc14612"/>
      <w:bookmarkStart w:id="125" w:name="_Toc22110"/>
      <w:r>
        <w:rPr>
          <w:rFonts w:hint="eastAsia" w:ascii="Times New Roman" w:hAnsi="Times New Roman" w:eastAsia="宋体" w:cs="Times New Roman"/>
          <w:b/>
          <w:bCs/>
          <w:color w:val="auto"/>
          <w:sz w:val="28"/>
          <w:szCs w:val="28"/>
          <w:lang w:val="en-US" w:eastAsia="zh-CN"/>
        </w:rPr>
        <w:t>2.3.3 环境功能区</w:t>
      </w:r>
      <w:bookmarkEnd w:id="123"/>
      <w:bookmarkEnd w:id="124"/>
      <w:bookmarkEnd w:id="125"/>
    </w:p>
    <w:p w14:paraId="47F5274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大气环境功能区划为《环境空气质量标准》（GB3095-2026）二类功能区，执行《环境空气质量标准》（GB3095-2026）二级标准中的相关规定；声环境功能区属于《声环境质量标准》（GB3096-2008）2类声环境功能区，本项目周边环境保护目标执行《声环境质量标准》（GB3096-2008）表1环境噪声限值中的2类标准；本项目最终纳污水蛤蟆通河，此段水体水质目标为III类，执行《地表水环境质量标准》（GB3838-2002）III类标准。本项目所在区域为规划的公共设施用地，项目厂区内土壤环境执行《土壤环境质量建设用地土壤污染风险管控标准（试行）》（GB36600-2018）表1中筛选值第二类用地限值要求。</w:t>
      </w:r>
    </w:p>
    <w:p w14:paraId="53C0CC2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26" w:name="_Toc10525"/>
      <w:bookmarkStart w:id="127" w:name="_Toc17228"/>
      <w:bookmarkStart w:id="128" w:name="_Toc28226"/>
      <w:r>
        <w:rPr>
          <w:rFonts w:hint="eastAsia" w:ascii="Times New Roman" w:hAnsi="Times New Roman" w:cs="Times New Roman"/>
          <w:b/>
          <w:bCs/>
          <w:color w:val="auto"/>
          <w:sz w:val="28"/>
          <w:szCs w:val="28"/>
          <w:lang w:val="en-US" w:eastAsia="zh-CN"/>
        </w:rPr>
        <w:t xml:space="preserve">2.3.4 </w:t>
      </w:r>
      <w:r>
        <w:rPr>
          <w:rFonts w:hint="eastAsia" w:ascii="Times New Roman" w:hAnsi="Times New Roman" w:eastAsia="宋体" w:cs="Times New Roman"/>
          <w:b/>
          <w:bCs/>
          <w:color w:val="auto"/>
          <w:sz w:val="28"/>
          <w:szCs w:val="28"/>
          <w:lang w:val="en-US" w:eastAsia="zh-CN"/>
        </w:rPr>
        <w:t>评价标准</w:t>
      </w:r>
      <w:bookmarkEnd w:id="120"/>
      <w:bookmarkEnd w:id="121"/>
      <w:bookmarkEnd w:id="122"/>
      <w:bookmarkEnd w:id="126"/>
      <w:bookmarkEnd w:id="127"/>
      <w:bookmarkEnd w:id="128"/>
    </w:p>
    <w:p w14:paraId="67460716">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2.3.4.1 </w:t>
      </w:r>
      <w:r>
        <w:rPr>
          <w:rFonts w:hint="eastAsia" w:ascii="Times New Roman" w:hAnsi="Times New Roman" w:eastAsia="宋体" w:cs="Times New Roman"/>
          <w:b/>
          <w:bCs w:val="0"/>
          <w:color w:val="auto"/>
          <w:sz w:val="24"/>
          <w:szCs w:val="24"/>
        </w:rPr>
        <w:t>环境</w:t>
      </w:r>
      <w:r>
        <w:rPr>
          <w:rFonts w:hint="eastAsia" w:ascii="Times New Roman" w:hAnsi="Times New Roman" w:eastAsia="宋体" w:cs="Times New Roman"/>
          <w:b/>
          <w:bCs w:val="0"/>
          <w:color w:val="auto"/>
          <w:sz w:val="24"/>
          <w:szCs w:val="24"/>
          <w:lang w:val="en-US" w:eastAsia="zh-CN"/>
        </w:rPr>
        <w:t>空气</w:t>
      </w:r>
      <w:r>
        <w:rPr>
          <w:rFonts w:hint="eastAsia" w:ascii="Times New Roman" w:hAnsi="Times New Roman" w:eastAsia="宋体" w:cs="Times New Roman"/>
          <w:b/>
          <w:bCs w:val="0"/>
          <w:color w:val="auto"/>
          <w:sz w:val="24"/>
          <w:szCs w:val="24"/>
        </w:rPr>
        <w:t>质量标准</w:t>
      </w:r>
    </w:p>
    <w:p w14:paraId="30B9146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本项目环境空气质量标准执行情况见表2.3-4。</w:t>
      </w:r>
    </w:p>
    <w:p w14:paraId="5CE699B5">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表2.3-4本项目环境空气质量标准情况表  单位：μg/m</w:t>
      </w:r>
      <w:r>
        <w:rPr>
          <w:rFonts w:hint="default" w:ascii="Times New Roman" w:hAnsi="Times New Roman" w:eastAsia="宋体" w:cs="Times New Roman"/>
          <w:b/>
          <w:bCs/>
          <w:color w:val="auto"/>
          <w:sz w:val="24"/>
          <w:szCs w:val="24"/>
          <w:vertAlign w:val="superscript"/>
          <w:lang w:eastAsia="zh-CN"/>
        </w:rPr>
        <w:t>3</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8"/>
        <w:gridCol w:w="1260"/>
        <w:gridCol w:w="1983"/>
        <w:gridCol w:w="1064"/>
        <w:gridCol w:w="3037"/>
      </w:tblGrid>
      <w:tr w14:paraId="02D99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91" w:type="pct"/>
            <w:tcBorders>
              <w:tl2br w:val="nil"/>
              <w:tr2bl w:val="nil"/>
            </w:tcBorders>
            <w:vAlign w:val="center"/>
          </w:tcPr>
          <w:p w14:paraId="2238E4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739" w:type="pct"/>
            <w:tcBorders>
              <w:tl2br w:val="nil"/>
              <w:tr2bl w:val="nil"/>
            </w:tcBorders>
            <w:vAlign w:val="center"/>
          </w:tcPr>
          <w:p w14:paraId="5B6382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污染物</w:t>
            </w:r>
          </w:p>
        </w:tc>
        <w:tc>
          <w:tcPr>
            <w:tcW w:w="1163" w:type="pct"/>
            <w:tcBorders>
              <w:tl2br w:val="nil"/>
              <w:tr2bl w:val="nil"/>
            </w:tcBorders>
            <w:vAlign w:val="center"/>
          </w:tcPr>
          <w:p w14:paraId="01DA7A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取值时间</w:t>
            </w:r>
          </w:p>
        </w:tc>
        <w:tc>
          <w:tcPr>
            <w:tcW w:w="624" w:type="pct"/>
            <w:tcBorders>
              <w:tl2br w:val="nil"/>
              <w:tr2bl w:val="nil"/>
            </w:tcBorders>
            <w:vAlign w:val="center"/>
          </w:tcPr>
          <w:p w14:paraId="531BB3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浓度限值</w:t>
            </w:r>
          </w:p>
        </w:tc>
        <w:tc>
          <w:tcPr>
            <w:tcW w:w="1781" w:type="pct"/>
            <w:tcBorders>
              <w:tl2br w:val="nil"/>
              <w:tr2bl w:val="nil"/>
            </w:tcBorders>
            <w:vAlign w:val="center"/>
          </w:tcPr>
          <w:p w14:paraId="6286A5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标准来源</w:t>
            </w:r>
          </w:p>
        </w:tc>
      </w:tr>
      <w:tr w14:paraId="4BE15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restart"/>
            <w:tcBorders>
              <w:tl2br w:val="nil"/>
              <w:tr2bl w:val="nil"/>
            </w:tcBorders>
            <w:vAlign w:val="center"/>
          </w:tcPr>
          <w:p w14:paraId="19CEC6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739" w:type="pct"/>
            <w:vMerge w:val="restart"/>
            <w:tcBorders>
              <w:tl2br w:val="nil"/>
              <w:tr2bl w:val="nil"/>
            </w:tcBorders>
            <w:vAlign w:val="center"/>
          </w:tcPr>
          <w:p w14:paraId="4EED67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SO</w:t>
            </w:r>
            <w:r>
              <w:rPr>
                <w:rFonts w:hint="eastAsia" w:ascii="Times New Roman" w:hAnsi="Times New Roman" w:eastAsia="宋体" w:cs="Times New Roman"/>
                <w:color w:val="auto"/>
                <w:sz w:val="21"/>
                <w:szCs w:val="21"/>
                <w:vertAlign w:val="subscript"/>
                <w:lang w:val="en-US" w:eastAsia="zh-CN"/>
              </w:rPr>
              <w:t>2</w:t>
            </w:r>
          </w:p>
        </w:tc>
        <w:tc>
          <w:tcPr>
            <w:tcW w:w="1163" w:type="pct"/>
            <w:tcBorders>
              <w:tl2br w:val="nil"/>
              <w:tr2bl w:val="nil"/>
            </w:tcBorders>
            <w:vAlign w:val="center"/>
          </w:tcPr>
          <w:p w14:paraId="630FD9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年平均</w:t>
            </w:r>
          </w:p>
        </w:tc>
        <w:tc>
          <w:tcPr>
            <w:tcW w:w="624" w:type="pct"/>
            <w:tcBorders>
              <w:tl2br w:val="nil"/>
              <w:tr2bl w:val="nil"/>
            </w:tcBorders>
            <w:vAlign w:val="center"/>
          </w:tcPr>
          <w:p w14:paraId="5653D8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1781" w:type="pct"/>
            <w:vMerge w:val="restart"/>
            <w:tcBorders>
              <w:tl2br w:val="nil"/>
              <w:tr2bl w:val="nil"/>
            </w:tcBorders>
            <w:vAlign w:val="center"/>
          </w:tcPr>
          <w:p w14:paraId="6CD369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《环境空气质量标准》（GB3095-20</w:t>
            </w:r>
            <w:r>
              <w:rPr>
                <w:rFonts w:hint="eastAsia" w:eastAsia="宋体" w:cs="Times New Roman"/>
                <w:color w:val="auto"/>
                <w:sz w:val="21"/>
                <w:szCs w:val="21"/>
                <w:lang w:val="en-US" w:eastAsia="zh-CN"/>
              </w:rPr>
              <w:t>26</w:t>
            </w:r>
            <w:r>
              <w:rPr>
                <w:rFonts w:hint="eastAsia" w:ascii="Times New Roman" w:hAnsi="Times New Roman" w:eastAsia="宋体" w:cs="Times New Roman"/>
                <w:color w:val="auto"/>
                <w:sz w:val="21"/>
                <w:szCs w:val="21"/>
                <w:lang w:val="en-US" w:eastAsia="zh-CN"/>
              </w:rPr>
              <w:t>）</w:t>
            </w:r>
            <w:r>
              <w:rPr>
                <w:rFonts w:hint="eastAsia" w:eastAsia="宋体" w:cs="Times New Roman"/>
                <w:color w:val="auto"/>
                <w:sz w:val="21"/>
                <w:szCs w:val="21"/>
                <w:lang w:val="en-US" w:eastAsia="zh-CN"/>
              </w:rPr>
              <w:t>过渡阶段</w:t>
            </w:r>
            <w:r>
              <w:rPr>
                <w:rFonts w:hint="eastAsia" w:ascii="Times New Roman" w:hAnsi="Times New Roman" w:eastAsia="宋体" w:cs="Times New Roman"/>
                <w:color w:val="auto"/>
                <w:sz w:val="21"/>
                <w:szCs w:val="21"/>
                <w:lang w:val="en-US" w:eastAsia="zh-CN"/>
              </w:rPr>
              <w:t>二级标准</w:t>
            </w:r>
          </w:p>
        </w:tc>
      </w:tr>
      <w:tr w14:paraId="34BAB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4F2B5A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22CBC5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1DB034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24小时平均</w:t>
            </w:r>
          </w:p>
        </w:tc>
        <w:tc>
          <w:tcPr>
            <w:tcW w:w="624" w:type="pct"/>
            <w:tcBorders>
              <w:tl2br w:val="nil"/>
              <w:tr2bl w:val="nil"/>
            </w:tcBorders>
            <w:vAlign w:val="center"/>
          </w:tcPr>
          <w:p w14:paraId="1BEA94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150</w:t>
            </w:r>
          </w:p>
        </w:tc>
        <w:tc>
          <w:tcPr>
            <w:tcW w:w="1781" w:type="pct"/>
            <w:vMerge w:val="continue"/>
            <w:tcBorders>
              <w:tl2br w:val="nil"/>
              <w:tr2bl w:val="nil"/>
            </w:tcBorders>
            <w:vAlign w:val="center"/>
          </w:tcPr>
          <w:p w14:paraId="7616E0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421C0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4B53F8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2062E7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2ABA2A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1小时平均</w:t>
            </w:r>
          </w:p>
        </w:tc>
        <w:tc>
          <w:tcPr>
            <w:tcW w:w="624" w:type="pct"/>
            <w:tcBorders>
              <w:tl2br w:val="nil"/>
              <w:tr2bl w:val="nil"/>
            </w:tcBorders>
            <w:vAlign w:val="center"/>
          </w:tcPr>
          <w:p w14:paraId="332271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w:t>
            </w:r>
          </w:p>
        </w:tc>
        <w:tc>
          <w:tcPr>
            <w:tcW w:w="1781" w:type="pct"/>
            <w:vMerge w:val="continue"/>
            <w:tcBorders>
              <w:tl2br w:val="nil"/>
              <w:tr2bl w:val="nil"/>
            </w:tcBorders>
            <w:vAlign w:val="center"/>
          </w:tcPr>
          <w:p w14:paraId="301F5C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44B3A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restart"/>
            <w:tcBorders>
              <w:tl2br w:val="nil"/>
              <w:tr2bl w:val="nil"/>
            </w:tcBorders>
            <w:vAlign w:val="center"/>
          </w:tcPr>
          <w:p w14:paraId="10AA82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739" w:type="pct"/>
            <w:vMerge w:val="restart"/>
            <w:tcBorders>
              <w:tl2br w:val="nil"/>
              <w:tr2bl w:val="nil"/>
            </w:tcBorders>
            <w:vAlign w:val="center"/>
          </w:tcPr>
          <w:p w14:paraId="0F7865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PM</w:t>
            </w:r>
            <w:r>
              <w:rPr>
                <w:rFonts w:hint="eastAsia" w:ascii="Times New Roman" w:hAnsi="Times New Roman" w:eastAsia="宋体" w:cs="Times New Roman"/>
                <w:color w:val="auto"/>
                <w:sz w:val="21"/>
                <w:szCs w:val="21"/>
                <w:vertAlign w:val="subscript"/>
                <w:lang w:val="en-US" w:eastAsia="zh-CN"/>
              </w:rPr>
              <w:t>10</w:t>
            </w:r>
          </w:p>
        </w:tc>
        <w:tc>
          <w:tcPr>
            <w:tcW w:w="1163" w:type="pct"/>
            <w:tcBorders>
              <w:tl2br w:val="nil"/>
              <w:tr2bl w:val="nil"/>
            </w:tcBorders>
            <w:vAlign w:val="center"/>
          </w:tcPr>
          <w:p w14:paraId="7159D8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年平均</w:t>
            </w:r>
          </w:p>
        </w:tc>
        <w:tc>
          <w:tcPr>
            <w:tcW w:w="624" w:type="pct"/>
            <w:tcBorders>
              <w:tl2br w:val="nil"/>
              <w:tr2bl w:val="nil"/>
            </w:tcBorders>
            <w:vAlign w:val="center"/>
          </w:tcPr>
          <w:p w14:paraId="43E453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6</w:t>
            </w:r>
            <w:r>
              <w:rPr>
                <w:rFonts w:hint="eastAsia" w:ascii="Times New Roman" w:hAnsi="Times New Roman" w:eastAsia="宋体" w:cs="Times New Roman"/>
                <w:color w:val="auto"/>
                <w:sz w:val="21"/>
                <w:szCs w:val="21"/>
                <w:lang w:val="en-US" w:eastAsia="zh-CN"/>
              </w:rPr>
              <w:t>0</w:t>
            </w:r>
          </w:p>
        </w:tc>
        <w:tc>
          <w:tcPr>
            <w:tcW w:w="1781" w:type="pct"/>
            <w:vMerge w:val="continue"/>
            <w:tcBorders>
              <w:tl2br w:val="nil"/>
              <w:tr2bl w:val="nil"/>
            </w:tcBorders>
            <w:vAlign w:val="center"/>
          </w:tcPr>
          <w:p w14:paraId="71A9FA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433AA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3C1910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67F876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0DB3F9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24小时平均</w:t>
            </w:r>
          </w:p>
        </w:tc>
        <w:tc>
          <w:tcPr>
            <w:tcW w:w="624" w:type="pct"/>
            <w:tcBorders>
              <w:tl2br w:val="nil"/>
              <w:tr2bl w:val="nil"/>
            </w:tcBorders>
            <w:vAlign w:val="center"/>
          </w:tcPr>
          <w:p w14:paraId="40E609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r>
              <w:rPr>
                <w:rFonts w:hint="eastAsia" w:eastAsia="宋体" w:cs="Times New Roman"/>
                <w:color w:val="auto"/>
                <w:sz w:val="21"/>
                <w:szCs w:val="21"/>
                <w:lang w:val="en-US" w:eastAsia="zh-CN"/>
              </w:rPr>
              <w:t>2</w:t>
            </w:r>
            <w:r>
              <w:rPr>
                <w:rFonts w:hint="eastAsia" w:ascii="Times New Roman" w:hAnsi="Times New Roman" w:eastAsia="宋体" w:cs="Times New Roman"/>
                <w:color w:val="auto"/>
                <w:sz w:val="21"/>
                <w:szCs w:val="21"/>
                <w:lang w:val="en-US" w:eastAsia="zh-CN"/>
              </w:rPr>
              <w:t>0</w:t>
            </w:r>
          </w:p>
        </w:tc>
        <w:tc>
          <w:tcPr>
            <w:tcW w:w="1781" w:type="pct"/>
            <w:vMerge w:val="continue"/>
            <w:tcBorders>
              <w:tl2br w:val="nil"/>
              <w:tr2bl w:val="nil"/>
            </w:tcBorders>
            <w:vAlign w:val="center"/>
          </w:tcPr>
          <w:p w14:paraId="137B8E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61FEC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restart"/>
            <w:tcBorders>
              <w:tl2br w:val="nil"/>
              <w:tr2bl w:val="nil"/>
            </w:tcBorders>
            <w:vAlign w:val="center"/>
          </w:tcPr>
          <w:p w14:paraId="71703C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739" w:type="pct"/>
            <w:vMerge w:val="restart"/>
            <w:tcBorders>
              <w:tl2br w:val="nil"/>
              <w:tr2bl w:val="nil"/>
            </w:tcBorders>
            <w:vAlign w:val="center"/>
          </w:tcPr>
          <w:p w14:paraId="0BA473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NO</w:t>
            </w:r>
            <w:r>
              <w:rPr>
                <w:rFonts w:hint="eastAsia" w:ascii="Times New Roman" w:hAnsi="Times New Roman" w:eastAsia="宋体" w:cs="Times New Roman"/>
                <w:color w:val="auto"/>
                <w:sz w:val="21"/>
                <w:szCs w:val="21"/>
                <w:vertAlign w:val="subscript"/>
                <w:lang w:val="en-US" w:eastAsia="zh-CN"/>
              </w:rPr>
              <w:t>2</w:t>
            </w:r>
          </w:p>
        </w:tc>
        <w:tc>
          <w:tcPr>
            <w:tcW w:w="1163" w:type="pct"/>
            <w:tcBorders>
              <w:tl2br w:val="nil"/>
              <w:tr2bl w:val="nil"/>
            </w:tcBorders>
            <w:vAlign w:val="center"/>
          </w:tcPr>
          <w:p w14:paraId="713F91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年平均</w:t>
            </w:r>
          </w:p>
        </w:tc>
        <w:tc>
          <w:tcPr>
            <w:tcW w:w="624" w:type="pct"/>
            <w:tcBorders>
              <w:tl2br w:val="nil"/>
              <w:tr2bl w:val="nil"/>
            </w:tcBorders>
            <w:vAlign w:val="center"/>
          </w:tcPr>
          <w:p w14:paraId="77DC71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1781" w:type="pct"/>
            <w:vMerge w:val="continue"/>
            <w:tcBorders>
              <w:tl2br w:val="nil"/>
              <w:tr2bl w:val="nil"/>
            </w:tcBorders>
            <w:vAlign w:val="center"/>
          </w:tcPr>
          <w:p w14:paraId="4227D2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17ACD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06DAD9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670DC1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4A2C34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24小时平均</w:t>
            </w:r>
          </w:p>
        </w:tc>
        <w:tc>
          <w:tcPr>
            <w:tcW w:w="624" w:type="pct"/>
            <w:tcBorders>
              <w:tl2br w:val="nil"/>
              <w:tr2bl w:val="nil"/>
            </w:tcBorders>
            <w:vAlign w:val="center"/>
          </w:tcPr>
          <w:p w14:paraId="4516F6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w:t>
            </w:r>
          </w:p>
        </w:tc>
        <w:tc>
          <w:tcPr>
            <w:tcW w:w="1781" w:type="pct"/>
            <w:vMerge w:val="continue"/>
            <w:tcBorders>
              <w:tl2br w:val="nil"/>
              <w:tr2bl w:val="nil"/>
            </w:tcBorders>
            <w:vAlign w:val="center"/>
          </w:tcPr>
          <w:p w14:paraId="180F0F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63E2A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02280C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1F86B5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4FDD89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1小时平均</w:t>
            </w:r>
          </w:p>
        </w:tc>
        <w:tc>
          <w:tcPr>
            <w:tcW w:w="624" w:type="pct"/>
            <w:tcBorders>
              <w:tl2br w:val="nil"/>
              <w:tr2bl w:val="nil"/>
            </w:tcBorders>
            <w:vAlign w:val="center"/>
          </w:tcPr>
          <w:p w14:paraId="61594F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c>
          <w:tcPr>
            <w:tcW w:w="1781" w:type="pct"/>
            <w:vMerge w:val="continue"/>
            <w:tcBorders>
              <w:tl2br w:val="nil"/>
              <w:tr2bl w:val="nil"/>
            </w:tcBorders>
            <w:vAlign w:val="center"/>
          </w:tcPr>
          <w:p w14:paraId="77F891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07C8C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restart"/>
            <w:tcBorders>
              <w:tl2br w:val="nil"/>
              <w:tr2bl w:val="nil"/>
            </w:tcBorders>
            <w:vAlign w:val="center"/>
          </w:tcPr>
          <w:p w14:paraId="7E343D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739" w:type="pct"/>
            <w:vMerge w:val="restart"/>
            <w:tcBorders>
              <w:tl2br w:val="nil"/>
              <w:tr2bl w:val="nil"/>
            </w:tcBorders>
            <w:vAlign w:val="center"/>
          </w:tcPr>
          <w:p w14:paraId="139948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PM</w:t>
            </w:r>
            <w:r>
              <w:rPr>
                <w:rFonts w:hint="eastAsia" w:ascii="Times New Roman" w:hAnsi="Times New Roman" w:eastAsia="宋体" w:cs="Times New Roman"/>
                <w:color w:val="auto"/>
                <w:sz w:val="21"/>
                <w:szCs w:val="21"/>
                <w:vertAlign w:val="subscript"/>
                <w:lang w:val="en-US" w:eastAsia="zh-CN"/>
              </w:rPr>
              <w:t>2.5</w:t>
            </w:r>
          </w:p>
        </w:tc>
        <w:tc>
          <w:tcPr>
            <w:tcW w:w="1163" w:type="pct"/>
            <w:tcBorders>
              <w:tl2br w:val="nil"/>
              <w:tr2bl w:val="nil"/>
            </w:tcBorders>
            <w:vAlign w:val="center"/>
          </w:tcPr>
          <w:p w14:paraId="6B2DFE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年平均</w:t>
            </w:r>
          </w:p>
        </w:tc>
        <w:tc>
          <w:tcPr>
            <w:tcW w:w="624" w:type="pct"/>
            <w:tcBorders>
              <w:tl2br w:val="nil"/>
              <w:tr2bl w:val="nil"/>
            </w:tcBorders>
            <w:vAlign w:val="center"/>
          </w:tcPr>
          <w:p w14:paraId="422640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30</w:t>
            </w:r>
          </w:p>
        </w:tc>
        <w:tc>
          <w:tcPr>
            <w:tcW w:w="1781" w:type="pct"/>
            <w:vMerge w:val="continue"/>
            <w:tcBorders>
              <w:tl2br w:val="nil"/>
              <w:tr2bl w:val="nil"/>
            </w:tcBorders>
            <w:vAlign w:val="center"/>
          </w:tcPr>
          <w:p w14:paraId="36437E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76650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2AE0FE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15864D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6964D3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24小时平均</w:t>
            </w:r>
          </w:p>
        </w:tc>
        <w:tc>
          <w:tcPr>
            <w:tcW w:w="624" w:type="pct"/>
            <w:tcBorders>
              <w:tl2br w:val="nil"/>
              <w:tr2bl w:val="nil"/>
            </w:tcBorders>
            <w:vAlign w:val="center"/>
          </w:tcPr>
          <w:p w14:paraId="4476E0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60</w:t>
            </w:r>
          </w:p>
        </w:tc>
        <w:tc>
          <w:tcPr>
            <w:tcW w:w="1781" w:type="pct"/>
            <w:vMerge w:val="continue"/>
            <w:tcBorders>
              <w:tl2br w:val="nil"/>
              <w:tr2bl w:val="nil"/>
            </w:tcBorders>
            <w:vAlign w:val="center"/>
          </w:tcPr>
          <w:p w14:paraId="7F58CA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5725D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restart"/>
            <w:tcBorders>
              <w:tl2br w:val="nil"/>
              <w:tr2bl w:val="nil"/>
            </w:tcBorders>
            <w:vAlign w:val="center"/>
          </w:tcPr>
          <w:p w14:paraId="790734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739" w:type="pct"/>
            <w:vMerge w:val="restart"/>
            <w:tcBorders>
              <w:tl2br w:val="nil"/>
              <w:tr2bl w:val="nil"/>
            </w:tcBorders>
            <w:vAlign w:val="center"/>
          </w:tcPr>
          <w:p w14:paraId="742301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CO</w:t>
            </w:r>
          </w:p>
        </w:tc>
        <w:tc>
          <w:tcPr>
            <w:tcW w:w="1163" w:type="pct"/>
            <w:tcBorders>
              <w:tl2br w:val="nil"/>
              <w:tr2bl w:val="nil"/>
            </w:tcBorders>
            <w:vAlign w:val="center"/>
          </w:tcPr>
          <w:p w14:paraId="285314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24小时平均</w:t>
            </w:r>
          </w:p>
        </w:tc>
        <w:tc>
          <w:tcPr>
            <w:tcW w:w="624" w:type="pct"/>
            <w:tcBorders>
              <w:tl2br w:val="nil"/>
              <w:tr2bl w:val="nil"/>
            </w:tcBorders>
            <w:vAlign w:val="center"/>
          </w:tcPr>
          <w:p w14:paraId="5EF2C3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4mg/m</w:t>
            </w:r>
            <w:r>
              <w:rPr>
                <w:rFonts w:hint="eastAsia" w:ascii="Times New Roman" w:hAnsi="Times New Roman" w:eastAsia="宋体" w:cs="Times New Roman"/>
                <w:color w:val="auto"/>
                <w:sz w:val="21"/>
                <w:szCs w:val="21"/>
                <w:vertAlign w:val="superscript"/>
                <w:lang w:val="en-US" w:eastAsia="zh-CN"/>
              </w:rPr>
              <w:t>3</w:t>
            </w:r>
          </w:p>
        </w:tc>
        <w:tc>
          <w:tcPr>
            <w:tcW w:w="1781" w:type="pct"/>
            <w:vMerge w:val="continue"/>
            <w:tcBorders>
              <w:tl2br w:val="nil"/>
              <w:tr2bl w:val="nil"/>
            </w:tcBorders>
            <w:vAlign w:val="center"/>
          </w:tcPr>
          <w:p w14:paraId="7DF3F7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73297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59C326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50D190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7B25A9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1小时平均</w:t>
            </w:r>
          </w:p>
        </w:tc>
        <w:tc>
          <w:tcPr>
            <w:tcW w:w="624" w:type="pct"/>
            <w:tcBorders>
              <w:tl2br w:val="nil"/>
              <w:tr2bl w:val="nil"/>
            </w:tcBorders>
            <w:vAlign w:val="center"/>
          </w:tcPr>
          <w:p w14:paraId="692418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10mg/m</w:t>
            </w:r>
            <w:r>
              <w:rPr>
                <w:rFonts w:hint="eastAsia" w:ascii="Times New Roman" w:hAnsi="Times New Roman" w:eastAsia="宋体" w:cs="Times New Roman"/>
                <w:color w:val="auto"/>
                <w:sz w:val="21"/>
                <w:szCs w:val="21"/>
                <w:vertAlign w:val="superscript"/>
                <w:lang w:val="en-US" w:eastAsia="zh-CN"/>
              </w:rPr>
              <w:t>3</w:t>
            </w:r>
          </w:p>
        </w:tc>
        <w:tc>
          <w:tcPr>
            <w:tcW w:w="1781" w:type="pct"/>
            <w:vMerge w:val="continue"/>
            <w:tcBorders>
              <w:tl2br w:val="nil"/>
              <w:tr2bl w:val="nil"/>
            </w:tcBorders>
            <w:vAlign w:val="center"/>
          </w:tcPr>
          <w:p w14:paraId="6CE828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18DEA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restart"/>
            <w:tcBorders>
              <w:tl2br w:val="nil"/>
              <w:tr2bl w:val="nil"/>
            </w:tcBorders>
            <w:vAlign w:val="center"/>
          </w:tcPr>
          <w:p w14:paraId="0FE449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739" w:type="pct"/>
            <w:vMerge w:val="restart"/>
            <w:tcBorders>
              <w:tl2br w:val="nil"/>
              <w:tr2bl w:val="nil"/>
            </w:tcBorders>
            <w:vAlign w:val="center"/>
          </w:tcPr>
          <w:p w14:paraId="35D9A5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O</w:t>
            </w:r>
            <w:r>
              <w:rPr>
                <w:rFonts w:hint="eastAsia" w:ascii="Times New Roman" w:hAnsi="Times New Roman" w:eastAsia="宋体" w:cs="Times New Roman"/>
                <w:color w:val="auto"/>
                <w:sz w:val="21"/>
                <w:szCs w:val="21"/>
                <w:vertAlign w:val="subscript"/>
                <w:lang w:val="en-US" w:eastAsia="zh-CN"/>
              </w:rPr>
              <w:t>3</w:t>
            </w:r>
          </w:p>
        </w:tc>
        <w:tc>
          <w:tcPr>
            <w:tcW w:w="1163" w:type="pct"/>
            <w:tcBorders>
              <w:tl2br w:val="nil"/>
              <w:tr2bl w:val="nil"/>
            </w:tcBorders>
            <w:vAlign w:val="center"/>
          </w:tcPr>
          <w:p w14:paraId="0EBA05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日最大8小时平均</w:t>
            </w:r>
          </w:p>
        </w:tc>
        <w:tc>
          <w:tcPr>
            <w:tcW w:w="624" w:type="pct"/>
            <w:tcBorders>
              <w:tl2br w:val="nil"/>
              <w:tr2bl w:val="nil"/>
            </w:tcBorders>
            <w:vAlign w:val="center"/>
          </w:tcPr>
          <w:p w14:paraId="050A6F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160</w:t>
            </w:r>
          </w:p>
        </w:tc>
        <w:tc>
          <w:tcPr>
            <w:tcW w:w="1781" w:type="pct"/>
            <w:vMerge w:val="continue"/>
            <w:tcBorders>
              <w:tl2br w:val="nil"/>
              <w:tr2bl w:val="nil"/>
            </w:tcBorders>
            <w:vAlign w:val="center"/>
          </w:tcPr>
          <w:p w14:paraId="46A001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72155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pct"/>
            <w:vMerge w:val="continue"/>
            <w:tcBorders>
              <w:tl2br w:val="nil"/>
              <w:tr2bl w:val="nil"/>
            </w:tcBorders>
            <w:vAlign w:val="center"/>
          </w:tcPr>
          <w:p w14:paraId="2F92CE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28CE3E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497913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1小时平均</w:t>
            </w:r>
          </w:p>
        </w:tc>
        <w:tc>
          <w:tcPr>
            <w:tcW w:w="624" w:type="pct"/>
            <w:tcBorders>
              <w:tl2br w:val="nil"/>
              <w:tr2bl w:val="nil"/>
            </w:tcBorders>
            <w:vAlign w:val="center"/>
          </w:tcPr>
          <w:p w14:paraId="481EE0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c>
          <w:tcPr>
            <w:tcW w:w="1781" w:type="pct"/>
            <w:vMerge w:val="continue"/>
            <w:tcBorders>
              <w:tl2br w:val="nil"/>
              <w:tr2bl w:val="nil"/>
            </w:tcBorders>
            <w:vAlign w:val="center"/>
          </w:tcPr>
          <w:p w14:paraId="0678F1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32BBC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 w:hRule="atLeast"/>
          <w:jc w:val="center"/>
        </w:trPr>
        <w:tc>
          <w:tcPr>
            <w:tcW w:w="691" w:type="pct"/>
            <w:vMerge w:val="restart"/>
            <w:tcBorders>
              <w:tl2br w:val="nil"/>
              <w:tr2bl w:val="nil"/>
            </w:tcBorders>
            <w:vAlign w:val="center"/>
          </w:tcPr>
          <w:p w14:paraId="524937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739" w:type="pct"/>
            <w:vMerge w:val="restart"/>
            <w:tcBorders>
              <w:tl2br w:val="nil"/>
              <w:tr2bl w:val="nil"/>
            </w:tcBorders>
            <w:vAlign w:val="center"/>
          </w:tcPr>
          <w:p w14:paraId="23E37E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TSP</w:t>
            </w:r>
          </w:p>
        </w:tc>
        <w:tc>
          <w:tcPr>
            <w:tcW w:w="1163" w:type="pct"/>
            <w:tcBorders>
              <w:tl2br w:val="nil"/>
              <w:tr2bl w:val="nil"/>
            </w:tcBorders>
            <w:vAlign w:val="center"/>
          </w:tcPr>
          <w:p w14:paraId="33A071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年平均</w:t>
            </w:r>
          </w:p>
        </w:tc>
        <w:tc>
          <w:tcPr>
            <w:tcW w:w="624" w:type="pct"/>
            <w:tcBorders>
              <w:tl2br w:val="nil"/>
              <w:tr2bl w:val="nil"/>
            </w:tcBorders>
            <w:vAlign w:val="center"/>
          </w:tcPr>
          <w:p w14:paraId="055EFB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c>
          <w:tcPr>
            <w:tcW w:w="1781" w:type="pct"/>
            <w:vMerge w:val="continue"/>
            <w:tcBorders>
              <w:tl2br w:val="nil"/>
              <w:tr2bl w:val="nil"/>
            </w:tcBorders>
            <w:vAlign w:val="center"/>
          </w:tcPr>
          <w:p w14:paraId="07F780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0D13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1" w:type="pct"/>
            <w:vMerge w:val="continue"/>
            <w:tcBorders>
              <w:tl2br w:val="nil"/>
              <w:tr2bl w:val="nil"/>
            </w:tcBorders>
            <w:vAlign w:val="center"/>
          </w:tcPr>
          <w:p w14:paraId="7EAB0A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39" w:type="pct"/>
            <w:vMerge w:val="continue"/>
            <w:tcBorders>
              <w:tl2br w:val="nil"/>
              <w:tr2bl w:val="nil"/>
            </w:tcBorders>
            <w:vAlign w:val="center"/>
          </w:tcPr>
          <w:p w14:paraId="6C0BCA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63" w:type="pct"/>
            <w:tcBorders>
              <w:tl2br w:val="nil"/>
              <w:tr2bl w:val="nil"/>
            </w:tcBorders>
            <w:vAlign w:val="center"/>
          </w:tcPr>
          <w:p w14:paraId="4E4B2C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24小时平均</w:t>
            </w:r>
          </w:p>
        </w:tc>
        <w:tc>
          <w:tcPr>
            <w:tcW w:w="624" w:type="pct"/>
            <w:tcBorders>
              <w:tl2br w:val="nil"/>
              <w:tr2bl w:val="nil"/>
            </w:tcBorders>
            <w:vAlign w:val="center"/>
          </w:tcPr>
          <w:p w14:paraId="00537A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c>
          <w:tcPr>
            <w:tcW w:w="1781" w:type="pct"/>
            <w:vMerge w:val="continue"/>
            <w:tcBorders>
              <w:tl2br w:val="nil"/>
              <w:tr2bl w:val="nil"/>
            </w:tcBorders>
            <w:vAlign w:val="center"/>
          </w:tcPr>
          <w:p w14:paraId="19909D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66813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1" w:type="pct"/>
            <w:tcBorders>
              <w:tl2br w:val="nil"/>
              <w:tr2bl w:val="nil"/>
            </w:tcBorders>
            <w:vAlign w:val="center"/>
          </w:tcPr>
          <w:p w14:paraId="1FA02F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739" w:type="pct"/>
            <w:tcBorders>
              <w:tl2br w:val="nil"/>
              <w:tr2bl w:val="nil"/>
            </w:tcBorders>
            <w:vAlign w:val="center"/>
          </w:tcPr>
          <w:p w14:paraId="081358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Hg</w:t>
            </w:r>
          </w:p>
        </w:tc>
        <w:tc>
          <w:tcPr>
            <w:tcW w:w="1163" w:type="pct"/>
            <w:tcBorders>
              <w:tl2br w:val="nil"/>
              <w:tr2bl w:val="nil"/>
            </w:tcBorders>
            <w:vAlign w:val="center"/>
          </w:tcPr>
          <w:p w14:paraId="41491B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年平均</w:t>
            </w:r>
          </w:p>
        </w:tc>
        <w:tc>
          <w:tcPr>
            <w:tcW w:w="624" w:type="pct"/>
            <w:tcBorders>
              <w:tl2br w:val="nil"/>
              <w:tr2bl w:val="nil"/>
            </w:tcBorders>
            <w:vAlign w:val="center"/>
          </w:tcPr>
          <w:p w14:paraId="08E7CD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1781" w:type="pct"/>
            <w:tcBorders>
              <w:tl2br w:val="nil"/>
              <w:tr2bl w:val="nil"/>
            </w:tcBorders>
            <w:vAlign w:val="center"/>
          </w:tcPr>
          <w:p w14:paraId="753219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《环境空气质量标准》（GB3095-20</w:t>
            </w:r>
            <w:r>
              <w:rPr>
                <w:rFonts w:hint="eastAsia" w:eastAsia="宋体" w:cs="Times New Roman"/>
                <w:color w:val="auto"/>
                <w:sz w:val="21"/>
                <w:szCs w:val="21"/>
                <w:lang w:val="en-US" w:eastAsia="zh-CN"/>
              </w:rPr>
              <w:t>26</w:t>
            </w:r>
            <w:r>
              <w:rPr>
                <w:rFonts w:hint="eastAsia" w:ascii="Times New Roman" w:hAnsi="Times New Roman" w:eastAsia="宋体" w:cs="Times New Roman"/>
                <w:color w:val="auto"/>
                <w:sz w:val="21"/>
                <w:szCs w:val="21"/>
                <w:lang w:val="en-US" w:eastAsia="zh-CN"/>
              </w:rPr>
              <w:t>）附录A</w:t>
            </w:r>
          </w:p>
        </w:tc>
      </w:tr>
      <w:tr w14:paraId="31AEA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1" w:type="pct"/>
            <w:tcBorders>
              <w:tl2br w:val="nil"/>
              <w:tr2bl w:val="nil"/>
            </w:tcBorders>
            <w:vAlign w:val="center"/>
          </w:tcPr>
          <w:p w14:paraId="58A746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739" w:type="pct"/>
            <w:tcBorders>
              <w:tl2br w:val="nil"/>
              <w:tr2bl w:val="nil"/>
            </w:tcBorders>
            <w:vAlign w:val="center"/>
          </w:tcPr>
          <w:p w14:paraId="1C402D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NH</w:t>
            </w:r>
            <w:r>
              <w:rPr>
                <w:rFonts w:hint="eastAsia" w:ascii="Times New Roman" w:hAnsi="Times New Roman" w:eastAsia="宋体" w:cs="Times New Roman"/>
                <w:color w:val="auto"/>
                <w:sz w:val="21"/>
                <w:szCs w:val="21"/>
                <w:vertAlign w:val="subscript"/>
                <w:lang w:val="en-US" w:eastAsia="zh-CN"/>
              </w:rPr>
              <w:t>3</w:t>
            </w:r>
          </w:p>
        </w:tc>
        <w:tc>
          <w:tcPr>
            <w:tcW w:w="1163" w:type="pct"/>
            <w:tcBorders>
              <w:tl2br w:val="nil"/>
              <w:tr2bl w:val="nil"/>
            </w:tcBorders>
            <w:vAlign w:val="center"/>
          </w:tcPr>
          <w:p w14:paraId="6793F8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1小时平均</w:t>
            </w:r>
          </w:p>
        </w:tc>
        <w:tc>
          <w:tcPr>
            <w:tcW w:w="624" w:type="pct"/>
            <w:tcBorders>
              <w:tl2br w:val="nil"/>
              <w:tr2bl w:val="nil"/>
            </w:tcBorders>
            <w:vAlign w:val="center"/>
          </w:tcPr>
          <w:p w14:paraId="03AB13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c>
          <w:tcPr>
            <w:tcW w:w="1781" w:type="pct"/>
            <w:tcBorders>
              <w:tl2br w:val="nil"/>
              <w:tr2bl w:val="nil"/>
            </w:tcBorders>
            <w:vAlign w:val="center"/>
          </w:tcPr>
          <w:p w14:paraId="44FB12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《环境影响评价技术导则 大气环境》（HJ2.2-2018）附录D</w:t>
            </w:r>
          </w:p>
        </w:tc>
      </w:tr>
    </w:tbl>
    <w:p w14:paraId="37C213D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2.3.4.2 </w:t>
      </w:r>
      <w:r>
        <w:rPr>
          <w:rFonts w:hint="eastAsia" w:ascii="Times New Roman" w:hAnsi="Times New Roman" w:eastAsia="宋体" w:cs="Times New Roman"/>
          <w:b/>
          <w:bCs w:val="0"/>
          <w:color w:val="auto"/>
          <w:sz w:val="24"/>
          <w:szCs w:val="24"/>
        </w:rPr>
        <w:t>地表水环境质量标准</w:t>
      </w:r>
    </w:p>
    <w:p w14:paraId="33F93E6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最终纳污水体位蛤蟆通河，蛤蟆通河发源于完达山山脉蛤蟆顶子北麓，由南向北流经黑龙江省宝清县境内，在东升乡北部注入挠力河，属于乌苏里江水系二级支流。根据《全国重要江河湖泊水功能区划（2011~2030年）》，蛤蟆通河无规划水功能区及水质目标。蛤蟆通河为挠力河支流，根据《全国重要江河湖泊水功能区划（2011-2030年）》，挠力河规划水体功能类别为III类，因此蛤蟆通河水体类别参照挠力河水体功能，执行《地表水环境质量标准》（GB3838-2002）III类标准。本项目地表水环境质量标准执行情况见表2-3-5。</w:t>
      </w:r>
    </w:p>
    <w:p w14:paraId="7268874A">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表2.3-5</w:t>
      </w:r>
      <w:r>
        <w:rPr>
          <w:rFonts w:hint="eastAsia"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地表水水质评价标准  单位：mg/L（pH值除外）</w:t>
      </w:r>
    </w:p>
    <w:tbl>
      <w:tblPr>
        <w:tblStyle w:val="4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0"/>
        <w:gridCol w:w="1403"/>
        <w:gridCol w:w="5037"/>
      </w:tblGrid>
      <w:tr w14:paraId="34400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44" w:type="pct"/>
            <w:gridSpan w:val="2"/>
            <w:vMerge w:val="restart"/>
            <w:tcBorders>
              <w:tl2br w:val="nil"/>
              <w:tr2bl w:val="nil"/>
            </w:tcBorders>
            <w:vAlign w:val="center"/>
          </w:tcPr>
          <w:p w14:paraId="3F9D04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评价标准</w:t>
            </w:r>
          </w:p>
          <w:p w14:paraId="49F890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指标</w:t>
            </w:r>
          </w:p>
        </w:tc>
        <w:tc>
          <w:tcPr>
            <w:tcW w:w="2955" w:type="pct"/>
            <w:tcBorders>
              <w:tl2br w:val="nil"/>
              <w:tr2bl w:val="nil"/>
            </w:tcBorders>
            <w:vAlign w:val="center"/>
          </w:tcPr>
          <w:p w14:paraId="494FF6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《地表水环境质量标准》（GB3838-2002）</w:t>
            </w:r>
          </w:p>
        </w:tc>
      </w:tr>
      <w:tr w14:paraId="64462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44" w:type="pct"/>
            <w:gridSpan w:val="2"/>
            <w:vMerge w:val="continue"/>
            <w:tcBorders>
              <w:tl2br w:val="nil"/>
              <w:tr2bl w:val="nil"/>
            </w:tcBorders>
            <w:vAlign w:val="center"/>
          </w:tcPr>
          <w:p w14:paraId="4FC5E4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955" w:type="pct"/>
            <w:tcBorders>
              <w:tl2br w:val="nil"/>
              <w:tr2bl w:val="nil"/>
            </w:tcBorders>
            <w:vAlign w:val="center"/>
          </w:tcPr>
          <w:p w14:paraId="688DEC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Ⅲ类</w:t>
            </w:r>
          </w:p>
        </w:tc>
      </w:tr>
      <w:tr w14:paraId="794E9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44" w:type="pct"/>
            <w:gridSpan w:val="2"/>
            <w:tcBorders>
              <w:tl2br w:val="nil"/>
              <w:tr2bl w:val="nil"/>
            </w:tcBorders>
            <w:vAlign w:val="center"/>
          </w:tcPr>
          <w:p w14:paraId="2EA64B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pH（无量纲）</w:t>
            </w:r>
          </w:p>
        </w:tc>
        <w:tc>
          <w:tcPr>
            <w:tcW w:w="2955" w:type="pct"/>
            <w:tcBorders>
              <w:tl2br w:val="nil"/>
              <w:tr2bl w:val="nil"/>
            </w:tcBorders>
            <w:vAlign w:val="center"/>
          </w:tcPr>
          <w:p w14:paraId="2788D7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6-9</w:t>
            </w:r>
          </w:p>
        </w:tc>
      </w:tr>
      <w:tr w14:paraId="5E631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6C0965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溶解氧</w:t>
            </w:r>
          </w:p>
        </w:tc>
        <w:tc>
          <w:tcPr>
            <w:tcW w:w="823" w:type="pct"/>
            <w:tcBorders>
              <w:tl2br w:val="nil"/>
              <w:tr2bl w:val="nil"/>
            </w:tcBorders>
            <w:vAlign w:val="center"/>
          </w:tcPr>
          <w:p w14:paraId="58D1BE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239A38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r>
      <w:tr w14:paraId="17134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4D65BC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COD</w:t>
            </w:r>
            <w:r>
              <w:rPr>
                <w:rFonts w:hint="eastAsia" w:ascii="Times New Roman" w:hAnsi="Times New Roman" w:eastAsia="宋体" w:cs="Times New Roman"/>
                <w:color w:val="auto"/>
                <w:sz w:val="21"/>
                <w:szCs w:val="21"/>
                <w:vertAlign w:val="subscript"/>
                <w:lang w:val="en-US" w:eastAsia="zh-CN"/>
              </w:rPr>
              <w:t>cr</w:t>
            </w:r>
          </w:p>
        </w:tc>
        <w:tc>
          <w:tcPr>
            <w:tcW w:w="823" w:type="pct"/>
            <w:tcBorders>
              <w:tl2br w:val="nil"/>
              <w:tr2bl w:val="nil"/>
            </w:tcBorders>
            <w:vAlign w:val="center"/>
          </w:tcPr>
          <w:p w14:paraId="3F67AF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64B540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r>
      <w:tr w14:paraId="7C752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6181DF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BOD</w:t>
            </w:r>
            <w:r>
              <w:rPr>
                <w:rFonts w:hint="eastAsia" w:ascii="Times New Roman" w:hAnsi="Times New Roman" w:eastAsia="宋体" w:cs="Times New Roman"/>
                <w:color w:val="auto"/>
                <w:sz w:val="21"/>
                <w:szCs w:val="21"/>
                <w:vertAlign w:val="subscript"/>
                <w:lang w:val="en-US" w:eastAsia="zh-CN"/>
              </w:rPr>
              <w:t>5</w:t>
            </w:r>
          </w:p>
        </w:tc>
        <w:tc>
          <w:tcPr>
            <w:tcW w:w="823" w:type="pct"/>
            <w:tcBorders>
              <w:tl2br w:val="nil"/>
              <w:tr2bl w:val="nil"/>
            </w:tcBorders>
            <w:vAlign w:val="center"/>
          </w:tcPr>
          <w:p w14:paraId="11E189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0C8500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r>
      <w:tr w14:paraId="0A002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08BDC9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高锰酸盐指数</w:t>
            </w:r>
          </w:p>
        </w:tc>
        <w:tc>
          <w:tcPr>
            <w:tcW w:w="823" w:type="pct"/>
            <w:tcBorders>
              <w:tl2br w:val="nil"/>
              <w:tr2bl w:val="nil"/>
            </w:tcBorders>
            <w:vAlign w:val="center"/>
          </w:tcPr>
          <w:p w14:paraId="2B9934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20F056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r>
      <w:tr w14:paraId="30C7D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1D726C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NH</w:t>
            </w:r>
            <w:r>
              <w:rPr>
                <w:rFonts w:hint="eastAsia" w:ascii="Times New Roman" w:hAnsi="Times New Roman" w:eastAsia="宋体" w:cs="Times New Roman"/>
                <w:color w:val="auto"/>
                <w:sz w:val="21"/>
                <w:szCs w:val="21"/>
                <w:vertAlign w:val="subscript"/>
                <w:lang w:val="en-US" w:eastAsia="zh-CN"/>
              </w:rPr>
              <w:t>3</w:t>
            </w:r>
            <w:r>
              <w:rPr>
                <w:rFonts w:hint="eastAsia" w:ascii="Times New Roman" w:hAnsi="Times New Roman" w:eastAsia="宋体" w:cs="Times New Roman"/>
                <w:color w:val="auto"/>
                <w:sz w:val="21"/>
                <w:szCs w:val="21"/>
                <w:lang w:val="en-US" w:eastAsia="zh-CN"/>
              </w:rPr>
              <w:t>-N</w:t>
            </w:r>
          </w:p>
        </w:tc>
        <w:tc>
          <w:tcPr>
            <w:tcW w:w="823" w:type="pct"/>
            <w:tcBorders>
              <w:tl2br w:val="nil"/>
              <w:tr2bl w:val="nil"/>
            </w:tcBorders>
            <w:vAlign w:val="center"/>
          </w:tcPr>
          <w:p w14:paraId="594D49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2DDE2B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r>
      <w:tr w14:paraId="48682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52CC1F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总磷</w:t>
            </w:r>
          </w:p>
        </w:tc>
        <w:tc>
          <w:tcPr>
            <w:tcW w:w="823" w:type="pct"/>
            <w:tcBorders>
              <w:tl2br w:val="nil"/>
              <w:tr2bl w:val="nil"/>
            </w:tcBorders>
            <w:vAlign w:val="center"/>
          </w:tcPr>
          <w:p w14:paraId="7065B9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447DFA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r>
      <w:tr w14:paraId="1B92C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53C482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总氮</w:t>
            </w:r>
          </w:p>
        </w:tc>
        <w:tc>
          <w:tcPr>
            <w:tcW w:w="823" w:type="pct"/>
            <w:tcBorders>
              <w:tl2br w:val="nil"/>
              <w:tr2bl w:val="nil"/>
            </w:tcBorders>
            <w:vAlign w:val="center"/>
          </w:tcPr>
          <w:p w14:paraId="080DB7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63D1E0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r>
      <w:tr w14:paraId="72BA9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50D91F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挥发酚</w:t>
            </w:r>
          </w:p>
        </w:tc>
        <w:tc>
          <w:tcPr>
            <w:tcW w:w="823" w:type="pct"/>
            <w:tcBorders>
              <w:tl2br w:val="nil"/>
              <w:tr2bl w:val="nil"/>
            </w:tcBorders>
            <w:vAlign w:val="center"/>
          </w:tcPr>
          <w:p w14:paraId="4BF9AA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547795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0.005</w:t>
            </w:r>
          </w:p>
        </w:tc>
      </w:tr>
      <w:tr w14:paraId="25169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6EFCCA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氟化物</w:t>
            </w:r>
          </w:p>
        </w:tc>
        <w:tc>
          <w:tcPr>
            <w:tcW w:w="823" w:type="pct"/>
            <w:tcBorders>
              <w:tl2br w:val="nil"/>
              <w:tr2bl w:val="nil"/>
            </w:tcBorders>
            <w:vAlign w:val="center"/>
          </w:tcPr>
          <w:p w14:paraId="321FCD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717E69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r>
      <w:tr w14:paraId="274F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2E6348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硫化物</w:t>
            </w:r>
          </w:p>
        </w:tc>
        <w:tc>
          <w:tcPr>
            <w:tcW w:w="823" w:type="pct"/>
            <w:tcBorders>
              <w:tl2br w:val="nil"/>
              <w:tr2bl w:val="nil"/>
            </w:tcBorders>
            <w:vAlign w:val="center"/>
          </w:tcPr>
          <w:p w14:paraId="486BFB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6B0D6F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w:t>
            </w:r>
          </w:p>
        </w:tc>
      </w:tr>
      <w:tr w14:paraId="66C32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554BDF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石油类</w:t>
            </w:r>
          </w:p>
        </w:tc>
        <w:tc>
          <w:tcPr>
            <w:tcW w:w="823" w:type="pct"/>
            <w:tcBorders>
              <w:tl2br w:val="nil"/>
              <w:tr2bl w:val="nil"/>
            </w:tcBorders>
            <w:vAlign w:val="center"/>
          </w:tcPr>
          <w:p w14:paraId="40D0D8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7FE42E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r>
      <w:tr w14:paraId="77E6E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50B707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砷</w:t>
            </w:r>
          </w:p>
        </w:tc>
        <w:tc>
          <w:tcPr>
            <w:tcW w:w="823" w:type="pct"/>
            <w:tcBorders>
              <w:tl2br w:val="nil"/>
              <w:tr2bl w:val="nil"/>
            </w:tcBorders>
            <w:vAlign w:val="center"/>
          </w:tcPr>
          <w:p w14:paraId="59B697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665D73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r>
      <w:tr w14:paraId="6E763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2D482C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汞</w:t>
            </w:r>
          </w:p>
        </w:tc>
        <w:tc>
          <w:tcPr>
            <w:tcW w:w="823" w:type="pct"/>
            <w:tcBorders>
              <w:tl2br w:val="nil"/>
              <w:tr2bl w:val="nil"/>
            </w:tcBorders>
            <w:vAlign w:val="center"/>
          </w:tcPr>
          <w:p w14:paraId="51ECB2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253BA4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0.0001</w:t>
            </w:r>
          </w:p>
        </w:tc>
      </w:tr>
      <w:tr w14:paraId="47475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42DE1E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铅</w:t>
            </w:r>
          </w:p>
        </w:tc>
        <w:tc>
          <w:tcPr>
            <w:tcW w:w="823" w:type="pct"/>
            <w:tcBorders>
              <w:tl2br w:val="nil"/>
              <w:tr2bl w:val="nil"/>
            </w:tcBorders>
            <w:vAlign w:val="center"/>
          </w:tcPr>
          <w:p w14:paraId="40F79C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076B7F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r>
      <w:tr w14:paraId="39B62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21" w:type="pct"/>
            <w:tcBorders>
              <w:tl2br w:val="nil"/>
              <w:tr2bl w:val="nil"/>
            </w:tcBorders>
            <w:vAlign w:val="center"/>
          </w:tcPr>
          <w:p w14:paraId="1CCB57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铬（六价）</w:t>
            </w:r>
          </w:p>
        </w:tc>
        <w:tc>
          <w:tcPr>
            <w:tcW w:w="823" w:type="pct"/>
            <w:tcBorders>
              <w:tl2br w:val="nil"/>
              <w:tr2bl w:val="nil"/>
            </w:tcBorders>
            <w:vAlign w:val="center"/>
          </w:tcPr>
          <w:p w14:paraId="5B8AD6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955" w:type="pct"/>
            <w:tcBorders>
              <w:tl2br w:val="nil"/>
              <w:tr2bl w:val="nil"/>
            </w:tcBorders>
            <w:vAlign w:val="center"/>
          </w:tcPr>
          <w:p w14:paraId="629CC3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r>
    </w:tbl>
    <w:p w14:paraId="214531A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2.3.4.3 </w:t>
      </w:r>
      <w:r>
        <w:rPr>
          <w:rFonts w:hint="eastAsia" w:ascii="Times New Roman" w:hAnsi="Times New Roman" w:eastAsia="宋体" w:cs="Times New Roman"/>
          <w:b/>
          <w:bCs w:val="0"/>
          <w:color w:val="auto"/>
          <w:sz w:val="24"/>
          <w:szCs w:val="24"/>
        </w:rPr>
        <w:t>声环境质量标准</w:t>
      </w:r>
    </w:p>
    <w:p w14:paraId="123D8F9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本项目所在区域执行《声环境质量标准》（GB3096-2008）中2类标准，项目周围敏感点执行《声环境质量标准》（GB3096-2008）中2类区标准；详见表2.3-6。</w:t>
      </w:r>
    </w:p>
    <w:p w14:paraId="3A6705DC">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表2.3-6</w:t>
      </w:r>
      <w:r>
        <w:rPr>
          <w:rFonts w:hint="eastAsia"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声环境质量标准值  单位：dB（A）</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996"/>
        <w:gridCol w:w="2666"/>
        <w:gridCol w:w="750"/>
        <w:gridCol w:w="866"/>
        <w:gridCol w:w="667"/>
        <w:gridCol w:w="689"/>
      </w:tblGrid>
      <w:tr w14:paraId="470AB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21" w:type="pct"/>
            <w:vMerge w:val="restart"/>
            <w:tcBorders>
              <w:tl2br w:val="nil"/>
              <w:tr2bl w:val="nil"/>
            </w:tcBorders>
            <w:vAlign w:val="center"/>
          </w:tcPr>
          <w:p w14:paraId="13864A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类别</w:t>
            </w:r>
          </w:p>
        </w:tc>
        <w:tc>
          <w:tcPr>
            <w:tcW w:w="1171" w:type="pct"/>
            <w:vMerge w:val="restart"/>
            <w:tcBorders>
              <w:tl2br w:val="nil"/>
              <w:tr2bl w:val="nil"/>
            </w:tcBorders>
            <w:vAlign w:val="center"/>
          </w:tcPr>
          <w:p w14:paraId="5D3190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范围</w:t>
            </w:r>
          </w:p>
        </w:tc>
        <w:tc>
          <w:tcPr>
            <w:tcW w:w="1564" w:type="pct"/>
            <w:vMerge w:val="restart"/>
            <w:tcBorders>
              <w:tl2br w:val="nil"/>
              <w:tr2bl w:val="nil"/>
            </w:tcBorders>
            <w:vAlign w:val="center"/>
          </w:tcPr>
          <w:p w14:paraId="416A43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标准名称及类别</w:t>
            </w:r>
          </w:p>
        </w:tc>
        <w:tc>
          <w:tcPr>
            <w:tcW w:w="440" w:type="pct"/>
            <w:vMerge w:val="restart"/>
            <w:tcBorders>
              <w:tl2br w:val="nil"/>
              <w:tr2bl w:val="nil"/>
            </w:tcBorders>
            <w:vAlign w:val="center"/>
          </w:tcPr>
          <w:p w14:paraId="293BBF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污染因子</w:t>
            </w:r>
          </w:p>
        </w:tc>
        <w:tc>
          <w:tcPr>
            <w:tcW w:w="1303" w:type="pct"/>
            <w:gridSpan w:val="3"/>
            <w:tcBorders>
              <w:tl2br w:val="nil"/>
              <w:tr2bl w:val="nil"/>
            </w:tcBorders>
            <w:vAlign w:val="center"/>
          </w:tcPr>
          <w:p w14:paraId="748607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标准值</w:t>
            </w:r>
          </w:p>
        </w:tc>
      </w:tr>
      <w:tr w14:paraId="3BE35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521" w:type="pct"/>
            <w:vMerge w:val="continue"/>
            <w:tcBorders>
              <w:tl2br w:val="nil"/>
              <w:tr2bl w:val="nil"/>
            </w:tcBorders>
            <w:vAlign w:val="center"/>
          </w:tcPr>
          <w:p w14:paraId="00587A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71" w:type="pct"/>
            <w:vMerge w:val="continue"/>
            <w:tcBorders>
              <w:tl2br w:val="nil"/>
              <w:tr2bl w:val="nil"/>
            </w:tcBorders>
            <w:vAlign w:val="center"/>
          </w:tcPr>
          <w:p w14:paraId="332406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564" w:type="pct"/>
            <w:vMerge w:val="continue"/>
            <w:tcBorders>
              <w:tl2br w:val="nil"/>
              <w:tr2bl w:val="nil"/>
            </w:tcBorders>
            <w:vAlign w:val="center"/>
          </w:tcPr>
          <w:p w14:paraId="612519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440" w:type="pct"/>
            <w:vMerge w:val="continue"/>
            <w:tcBorders>
              <w:tl2br w:val="nil"/>
              <w:tr2bl w:val="nil"/>
            </w:tcBorders>
            <w:vAlign w:val="center"/>
          </w:tcPr>
          <w:p w14:paraId="57E269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899" w:type="pct"/>
            <w:gridSpan w:val="2"/>
            <w:tcBorders>
              <w:tl2br w:val="nil"/>
              <w:tr2bl w:val="nil"/>
            </w:tcBorders>
            <w:vAlign w:val="center"/>
          </w:tcPr>
          <w:p w14:paraId="5D86B7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单位</w:t>
            </w:r>
          </w:p>
        </w:tc>
        <w:tc>
          <w:tcPr>
            <w:tcW w:w="403" w:type="pct"/>
            <w:tcBorders>
              <w:tl2br w:val="nil"/>
              <w:tr2bl w:val="nil"/>
            </w:tcBorders>
            <w:vAlign w:val="center"/>
          </w:tcPr>
          <w:p w14:paraId="1ADCC2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数值</w:t>
            </w:r>
          </w:p>
        </w:tc>
      </w:tr>
      <w:tr w14:paraId="23687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521" w:type="pct"/>
            <w:vMerge w:val="restart"/>
            <w:tcBorders>
              <w:tl2br w:val="nil"/>
              <w:tr2bl w:val="nil"/>
            </w:tcBorders>
            <w:vAlign w:val="center"/>
          </w:tcPr>
          <w:p w14:paraId="53F9EF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声环境</w:t>
            </w:r>
          </w:p>
        </w:tc>
        <w:tc>
          <w:tcPr>
            <w:tcW w:w="1171" w:type="pct"/>
            <w:vMerge w:val="restart"/>
            <w:tcBorders>
              <w:tl2br w:val="nil"/>
              <w:tr2bl w:val="nil"/>
            </w:tcBorders>
            <w:vAlign w:val="center"/>
          </w:tcPr>
          <w:p w14:paraId="6CF64D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厂址、周边环境保护目标</w:t>
            </w:r>
          </w:p>
        </w:tc>
        <w:tc>
          <w:tcPr>
            <w:tcW w:w="1564" w:type="pct"/>
            <w:vMerge w:val="restart"/>
            <w:tcBorders>
              <w:tl2br w:val="nil"/>
              <w:tr2bl w:val="nil"/>
            </w:tcBorders>
            <w:vAlign w:val="center"/>
          </w:tcPr>
          <w:p w14:paraId="28BA14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《声环境质量标准》（GB3096-2008）2类标准</w:t>
            </w:r>
          </w:p>
        </w:tc>
        <w:tc>
          <w:tcPr>
            <w:tcW w:w="440" w:type="pct"/>
            <w:vMerge w:val="restart"/>
            <w:tcBorders>
              <w:tl2br w:val="nil"/>
              <w:tr2bl w:val="nil"/>
            </w:tcBorders>
            <w:vAlign w:val="center"/>
          </w:tcPr>
          <w:p w14:paraId="65AB78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噪声</w:t>
            </w:r>
          </w:p>
        </w:tc>
        <w:tc>
          <w:tcPr>
            <w:tcW w:w="508" w:type="pct"/>
            <w:vMerge w:val="restart"/>
            <w:tcBorders>
              <w:tl2br w:val="nil"/>
              <w:tr2bl w:val="nil"/>
            </w:tcBorders>
            <w:vAlign w:val="center"/>
          </w:tcPr>
          <w:p w14:paraId="73918D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dB（A）</w:t>
            </w:r>
          </w:p>
        </w:tc>
        <w:tc>
          <w:tcPr>
            <w:tcW w:w="391" w:type="pct"/>
            <w:tcBorders>
              <w:tl2br w:val="nil"/>
              <w:tr2bl w:val="nil"/>
            </w:tcBorders>
            <w:vAlign w:val="center"/>
          </w:tcPr>
          <w:p w14:paraId="72E8AF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昼间</w:t>
            </w:r>
          </w:p>
        </w:tc>
        <w:tc>
          <w:tcPr>
            <w:tcW w:w="403" w:type="pct"/>
            <w:tcBorders>
              <w:tl2br w:val="nil"/>
              <w:tr2bl w:val="nil"/>
            </w:tcBorders>
            <w:vAlign w:val="center"/>
          </w:tcPr>
          <w:p w14:paraId="2DEEBE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r>
      <w:tr w14:paraId="4A51C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21" w:type="pct"/>
            <w:vMerge w:val="continue"/>
            <w:tcBorders>
              <w:tl2br w:val="nil"/>
              <w:tr2bl w:val="nil"/>
            </w:tcBorders>
            <w:vAlign w:val="center"/>
          </w:tcPr>
          <w:p w14:paraId="35205A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71" w:type="pct"/>
            <w:vMerge w:val="continue"/>
            <w:tcBorders>
              <w:tl2br w:val="nil"/>
              <w:tr2bl w:val="nil"/>
            </w:tcBorders>
            <w:vAlign w:val="center"/>
          </w:tcPr>
          <w:p w14:paraId="4800E9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564" w:type="pct"/>
            <w:vMerge w:val="continue"/>
            <w:tcBorders>
              <w:tl2br w:val="nil"/>
              <w:tr2bl w:val="nil"/>
            </w:tcBorders>
            <w:vAlign w:val="center"/>
          </w:tcPr>
          <w:p w14:paraId="3CA94C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440" w:type="pct"/>
            <w:vMerge w:val="continue"/>
            <w:tcBorders>
              <w:tl2br w:val="nil"/>
              <w:tr2bl w:val="nil"/>
            </w:tcBorders>
            <w:vAlign w:val="center"/>
          </w:tcPr>
          <w:p w14:paraId="004E61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08" w:type="pct"/>
            <w:vMerge w:val="continue"/>
            <w:tcBorders>
              <w:tl2br w:val="nil"/>
              <w:tr2bl w:val="nil"/>
            </w:tcBorders>
            <w:vAlign w:val="center"/>
          </w:tcPr>
          <w:p w14:paraId="1B3A3D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391" w:type="pct"/>
            <w:tcBorders>
              <w:tl2br w:val="nil"/>
              <w:tr2bl w:val="nil"/>
            </w:tcBorders>
            <w:vAlign w:val="center"/>
          </w:tcPr>
          <w:p w14:paraId="0F055A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夜间</w:t>
            </w:r>
          </w:p>
        </w:tc>
        <w:tc>
          <w:tcPr>
            <w:tcW w:w="403" w:type="pct"/>
            <w:tcBorders>
              <w:tl2br w:val="nil"/>
              <w:tr2bl w:val="nil"/>
            </w:tcBorders>
            <w:vAlign w:val="center"/>
          </w:tcPr>
          <w:p w14:paraId="38623D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r>
    </w:tbl>
    <w:p w14:paraId="7447271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2.3.4.4 </w:t>
      </w:r>
      <w:r>
        <w:rPr>
          <w:rFonts w:hint="eastAsia" w:ascii="Times New Roman" w:hAnsi="Times New Roman" w:eastAsia="宋体" w:cs="Times New Roman"/>
          <w:b/>
          <w:bCs w:val="0"/>
          <w:color w:val="auto"/>
          <w:sz w:val="24"/>
          <w:szCs w:val="24"/>
        </w:rPr>
        <w:t>土壤污染风险管控标准</w:t>
      </w:r>
    </w:p>
    <w:p w14:paraId="69B14BE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本项目土壤评价范围内的建设用地执行《土壤环境质量 建设用地土壤污染风险管控标准（试行）》（GB36600-2018）表1建设用地土壤污染风险筛选值中的第二类用地标准，本项目土壤环境质量标准执行情况见表2-3-7。</w:t>
      </w:r>
    </w:p>
    <w:p w14:paraId="640B84B8">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表2.3-7</w:t>
      </w:r>
      <w:r>
        <w:rPr>
          <w:rFonts w:hint="eastAsia"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《土壤环境质量 建设用地土壤污染风险管控标准（试行）》</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2"/>
        <w:gridCol w:w="1819"/>
        <w:gridCol w:w="1485"/>
        <w:gridCol w:w="1485"/>
        <w:gridCol w:w="1483"/>
        <w:gridCol w:w="1488"/>
      </w:tblGrid>
      <w:tr w14:paraId="3EACC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0" w:hRule="atLeast"/>
          <w:jc w:val="center"/>
        </w:trPr>
        <w:tc>
          <w:tcPr>
            <w:tcW w:w="447" w:type="pct"/>
            <w:vMerge w:val="restart"/>
            <w:tcBorders>
              <w:tl2br w:val="nil"/>
              <w:tr2bl w:val="nil"/>
            </w:tcBorders>
            <w:vAlign w:val="center"/>
          </w:tcPr>
          <w:p w14:paraId="1A3879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1067" w:type="pct"/>
            <w:vMerge w:val="restart"/>
            <w:tcBorders>
              <w:tl2br w:val="nil"/>
              <w:tr2bl w:val="nil"/>
            </w:tcBorders>
            <w:vAlign w:val="center"/>
          </w:tcPr>
          <w:p w14:paraId="7DB01A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污染物项目</w:t>
            </w:r>
          </w:p>
        </w:tc>
        <w:tc>
          <w:tcPr>
            <w:tcW w:w="1742" w:type="pct"/>
            <w:gridSpan w:val="2"/>
            <w:tcBorders>
              <w:tl2br w:val="nil"/>
              <w:tr2bl w:val="nil"/>
            </w:tcBorders>
            <w:vAlign w:val="center"/>
          </w:tcPr>
          <w:p w14:paraId="703AB9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筛选值（mg/kg）</w:t>
            </w:r>
          </w:p>
        </w:tc>
        <w:tc>
          <w:tcPr>
            <w:tcW w:w="1743" w:type="pct"/>
            <w:gridSpan w:val="2"/>
            <w:tcBorders>
              <w:tl2br w:val="nil"/>
              <w:tr2bl w:val="nil"/>
            </w:tcBorders>
            <w:vAlign w:val="center"/>
          </w:tcPr>
          <w:p w14:paraId="2FBF53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管制值（mg/kg）</w:t>
            </w:r>
          </w:p>
        </w:tc>
      </w:tr>
      <w:tr w14:paraId="5B9AF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vMerge w:val="continue"/>
            <w:tcBorders>
              <w:tl2br w:val="nil"/>
              <w:tr2bl w:val="nil"/>
            </w:tcBorders>
            <w:vAlign w:val="center"/>
          </w:tcPr>
          <w:p w14:paraId="161BD2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067" w:type="pct"/>
            <w:vMerge w:val="continue"/>
            <w:tcBorders>
              <w:tl2br w:val="nil"/>
              <w:tr2bl w:val="nil"/>
            </w:tcBorders>
            <w:vAlign w:val="center"/>
          </w:tcPr>
          <w:p w14:paraId="2DE214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871" w:type="pct"/>
            <w:tcBorders>
              <w:tl2br w:val="nil"/>
              <w:tr2bl w:val="nil"/>
            </w:tcBorders>
            <w:vAlign w:val="center"/>
          </w:tcPr>
          <w:p w14:paraId="508E11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第一类用地</w:t>
            </w:r>
          </w:p>
        </w:tc>
        <w:tc>
          <w:tcPr>
            <w:tcW w:w="871" w:type="pct"/>
            <w:tcBorders>
              <w:tl2br w:val="nil"/>
              <w:tr2bl w:val="nil"/>
            </w:tcBorders>
            <w:vAlign w:val="center"/>
          </w:tcPr>
          <w:p w14:paraId="4CA74A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第二类用地</w:t>
            </w:r>
          </w:p>
        </w:tc>
        <w:tc>
          <w:tcPr>
            <w:tcW w:w="870" w:type="pct"/>
            <w:tcBorders>
              <w:tl2br w:val="nil"/>
              <w:tr2bl w:val="nil"/>
            </w:tcBorders>
            <w:vAlign w:val="center"/>
          </w:tcPr>
          <w:p w14:paraId="4F8DF4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第一类用地</w:t>
            </w:r>
          </w:p>
        </w:tc>
        <w:tc>
          <w:tcPr>
            <w:tcW w:w="873" w:type="pct"/>
            <w:tcBorders>
              <w:tl2br w:val="nil"/>
              <w:tr2bl w:val="nil"/>
            </w:tcBorders>
            <w:vAlign w:val="center"/>
          </w:tcPr>
          <w:p w14:paraId="110D82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第二类用地</w:t>
            </w:r>
          </w:p>
        </w:tc>
      </w:tr>
      <w:tr w14:paraId="30825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2A10DC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1067" w:type="pct"/>
            <w:tcBorders>
              <w:tl2br w:val="nil"/>
              <w:tr2bl w:val="nil"/>
            </w:tcBorders>
            <w:vAlign w:val="center"/>
          </w:tcPr>
          <w:p w14:paraId="77D450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砷</w:t>
            </w:r>
          </w:p>
        </w:tc>
        <w:tc>
          <w:tcPr>
            <w:tcW w:w="871" w:type="pct"/>
            <w:tcBorders>
              <w:tl2br w:val="nil"/>
              <w:tr2bl w:val="nil"/>
            </w:tcBorders>
            <w:vAlign w:val="center"/>
          </w:tcPr>
          <w:p w14:paraId="6F5A2D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871" w:type="pct"/>
            <w:tcBorders>
              <w:tl2br w:val="nil"/>
              <w:tr2bl w:val="nil"/>
            </w:tcBorders>
            <w:vAlign w:val="center"/>
          </w:tcPr>
          <w:p w14:paraId="773E06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870" w:type="pct"/>
            <w:tcBorders>
              <w:tl2br w:val="nil"/>
              <w:tr2bl w:val="nil"/>
            </w:tcBorders>
            <w:vAlign w:val="center"/>
          </w:tcPr>
          <w:p w14:paraId="5CE040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w:t>
            </w:r>
          </w:p>
        </w:tc>
        <w:tc>
          <w:tcPr>
            <w:tcW w:w="873" w:type="pct"/>
            <w:tcBorders>
              <w:tl2br w:val="nil"/>
              <w:tr2bl w:val="nil"/>
            </w:tcBorders>
            <w:vAlign w:val="center"/>
          </w:tcPr>
          <w:p w14:paraId="491839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140</w:t>
            </w:r>
          </w:p>
        </w:tc>
      </w:tr>
      <w:tr w14:paraId="1E286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210D9C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067" w:type="pct"/>
            <w:tcBorders>
              <w:tl2br w:val="nil"/>
              <w:tr2bl w:val="nil"/>
            </w:tcBorders>
            <w:vAlign w:val="center"/>
          </w:tcPr>
          <w:p w14:paraId="02E5DB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镉 </w:t>
            </w:r>
          </w:p>
        </w:tc>
        <w:tc>
          <w:tcPr>
            <w:tcW w:w="871" w:type="pct"/>
            <w:tcBorders>
              <w:tl2br w:val="nil"/>
              <w:tr2bl w:val="nil"/>
            </w:tcBorders>
            <w:vAlign w:val="center"/>
          </w:tcPr>
          <w:p w14:paraId="1F2BC9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871" w:type="pct"/>
            <w:tcBorders>
              <w:tl2br w:val="nil"/>
              <w:tr2bl w:val="nil"/>
            </w:tcBorders>
            <w:vAlign w:val="center"/>
          </w:tcPr>
          <w:p w14:paraId="131866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65</w:t>
            </w:r>
          </w:p>
        </w:tc>
        <w:tc>
          <w:tcPr>
            <w:tcW w:w="870" w:type="pct"/>
            <w:tcBorders>
              <w:tl2br w:val="nil"/>
              <w:tr2bl w:val="nil"/>
            </w:tcBorders>
            <w:vAlign w:val="center"/>
          </w:tcPr>
          <w:p w14:paraId="2E1ED7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47</w:t>
            </w:r>
          </w:p>
        </w:tc>
        <w:tc>
          <w:tcPr>
            <w:tcW w:w="873" w:type="pct"/>
            <w:tcBorders>
              <w:tl2br w:val="nil"/>
              <w:tr2bl w:val="nil"/>
            </w:tcBorders>
            <w:vAlign w:val="center"/>
          </w:tcPr>
          <w:p w14:paraId="7014B3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172</w:t>
            </w:r>
          </w:p>
        </w:tc>
      </w:tr>
      <w:tr w14:paraId="2D827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433D72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067" w:type="pct"/>
            <w:tcBorders>
              <w:tl2br w:val="nil"/>
              <w:tr2bl w:val="nil"/>
            </w:tcBorders>
            <w:vAlign w:val="center"/>
          </w:tcPr>
          <w:p w14:paraId="74F598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铬（六价）</w:t>
            </w:r>
          </w:p>
        </w:tc>
        <w:tc>
          <w:tcPr>
            <w:tcW w:w="871" w:type="pct"/>
            <w:tcBorders>
              <w:tl2br w:val="nil"/>
              <w:tr2bl w:val="nil"/>
            </w:tcBorders>
            <w:vAlign w:val="center"/>
          </w:tcPr>
          <w:p w14:paraId="64A1DD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871" w:type="pct"/>
            <w:tcBorders>
              <w:tl2br w:val="nil"/>
              <w:tr2bl w:val="nil"/>
            </w:tcBorders>
            <w:vAlign w:val="center"/>
          </w:tcPr>
          <w:p w14:paraId="5FB14D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5.7</w:t>
            </w:r>
          </w:p>
        </w:tc>
        <w:tc>
          <w:tcPr>
            <w:tcW w:w="870" w:type="pct"/>
            <w:tcBorders>
              <w:tl2br w:val="nil"/>
              <w:tr2bl w:val="nil"/>
            </w:tcBorders>
            <w:vAlign w:val="center"/>
          </w:tcPr>
          <w:p w14:paraId="04FEE5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873" w:type="pct"/>
            <w:tcBorders>
              <w:tl2br w:val="nil"/>
              <w:tr2bl w:val="nil"/>
            </w:tcBorders>
            <w:vAlign w:val="center"/>
          </w:tcPr>
          <w:p w14:paraId="47B1CB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78</w:t>
            </w:r>
          </w:p>
        </w:tc>
      </w:tr>
      <w:tr w14:paraId="530F9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0989D0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067" w:type="pct"/>
            <w:tcBorders>
              <w:tl2br w:val="nil"/>
              <w:tr2bl w:val="nil"/>
            </w:tcBorders>
            <w:vAlign w:val="center"/>
          </w:tcPr>
          <w:p w14:paraId="0B41DE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铜</w:t>
            </w:r>
          </w:p>
        </w:tc>
        <w:tc>
          <w:tcPr>
            <w:tcW w:w="871" w:type="pct"/>
            <w:tcBorders>
              <w:tl2br w:val="nil"/>
              <w:tr2bl w:val="nil"/>
            </w:tcBorders>
            <w:vAlign w:val="center"/>
          </w:tcPr>
          <w:p w14:paraId="0F0EFA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2000</w:t>
            </w:r>
          </w:p>
        </w:tc>
        <w:tc>
          <w:tcPr>
            <w:tcW w:w="871" w:type="pct"/>
            <w:tcBorders>
              <w:tl2br w:val="nil"/>
              <w:tr2bl w:val="nil"/>
            </w:tcBorders>
            <w:vAlign w:val="center"/>
          </w:tcPr>
          <w:p w14:paraId="20D374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18000</w:t>
            </w:r>
          </w:p>
        </w:tc>
        <w:tc>
          <w:tcPr>
            <w:tcW w:w="870" w:type="pct"/>
            <w:tcBorders>
              <w:tl2br w:val="nil"/>
              <w:tr2bl w:val="nil"/>
            </w:tcBorders>
            <w:vAlign w:val="center"/>
          </w:tcPr>
          <w:p w14:paraId="50B179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8000</w:t>
            </w:r>
          </w:p>
        </w:tc>
        <w:tc>
          <w:tcPr>
            <w:tcW w:w="873" w:type="pct"/>
            <w:tcBorders>
              <w:tl2br w:val="nil"/>
              <w:tr2bl w:val="nil"/>
            </w:tcBorders>
            <w:vAlign w:val="center"/>
          </w:tcPr>
          <w:p w14:paraId="0B8903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36000</w:t>
            </w:r>
          </w:p>
        </w:tc>
      </w:tr>
      <w:tr w14:paraId="040F5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328055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067" w:type="pct"/>
            <w:tcBorders>
              <w:tl2br w:val="nil"/>
              <w:tr2bl w:val="nil"/>
            </w:tcBorders>
            <w:vAlign w:val="center"/>
          </w:tcPr>
          <w:p w14:paraId="493520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铅</w:t>
            </w:r>
          </w:p>
        </w:tc>
        <w:tc>
          <w:tcPr>
            <w:tcW w:w="871" w:type="pct"/>
            <w:tcBorders>
              <w:tl2br w:val="nil"/>
              <w:tr2bl w:val="nil"/>
            </w:tcBorders>
            <w:vAlign w:val="center"/>
          </w:tcPr>
          <w:p w14:paraId="6479FB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400</w:t>
            </w:r>
          </w:p>
        </w:tc>
        <w:tc>
          <w:tcPr>
            <w:tcW w:w="871" w:type="pct"/>
            <w:tcBorders>
              <w:tl2br w:val="nil"/>
              <w:tr2bl w:val="nil"/>
            </w:tcBorders>
            <w:vAlign w:val="center"/>
          </w:tcPr>
          <w:p w14:paraId="2B20D0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800</w:t>
            </w:r>
          </w:p>
        </w:tc>
        <w:tc>
          <w:tcPr>
            <w:tcW w:w="870" w:type="pct"/>
            <w:tcBorders>
              <w:tl2br w:val="nil"/>
              <w:tr2bl w:val="nil"/>
            </w:tcBorders>
            <w:vAlign w:val="center"/>
          </w:tcPr>
          <w:p w14:paraId="0B4C08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800</w:t>
            </w:r>
          </w:p>
        </w:tc>
        <w:tc>
          <w:tcPr>
            <w:tcW w:w="873" w:type="pct"/>
            <w:tcBorders>
              <w:tl2br w:val="nil"/>
              <w:tr2bl w:val="nil"/>
            </w:tcBorders>
            <w:vAlign w:val="center"/>
          </w:tcPr>
          <w:p w14:paraId="1ABC71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2500</w:t>
            </w:r>
          </w:p>
        </w:tc>
      </w:tr>
      <w:tr w14:paraId="0E2EC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5831A5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1067" w:type="pct"/>
            <w:tcBorders>
              <w:tl2br w:val="nil"/>
              <w:tr2bl w:val="nil"/>
            </w:tcBorders>
            <w:vAlign w:val="center"/>
          </w:tcPr>
          <w:p w14:paraId="025084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汞</w:t>
            </w:r>
          </w:p>
        </w:tc>
        <w:tc>
          <w:tcPr>
            <w:tcW w:w="871" w:type="pct"/>
            <w:tcBorders>
              <w:tl2br w:val="nil"/>
              <w:tr2bl w:val="nil"/>
            </w:tcBorders>
            <w:vAlign w:val="center"/>
          </w:tcPr>
          <w:p w14:paraId="351576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871" w:type="pct"/>
            <w:tcBorders>
              <w:tl2br w:val="nil"/>
              <w:tr2bl w:val="nil"/>
            </w:tcBorders>
            <w:vAlign w:val="center"/>
          </w:tcPr>
          <w:p w14:paraId="2E5276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w:t>
            </w:r>
          </w:p>
        </w:tc>
        <w:tc>
          <w:tcPr>
            <w:tcW w:w="870" w:type="pct"/>
            <w:tcBorders>
              <w:tl2br w:val="nil"/>
              <w:tr2bl w:val="nil"/>
            </w:tcBorders>
            <w:vAlign w:val="center"/>
          </w:tcPr>
          <w:p w14:paraId="560C15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w:t>
            </w:r>
          </w:p>
        </w:tc>
        <w:tc>
          <w:tcPr>
            <w:tcW w:w="873" w:type="pct"/>
            <w:tcBorders>
              <w:tl2br w:val="nil"/>
              <w:tr2bl w:val="nil"/>
            </w:tcBorders>
            <w:vAlign w:val="center"/>
          </w:tcPr>
          <w:p w14:paraId="457BAE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82</w:t>
            </w:r>
          </w:p>
        </w:tc>
      </w:tr>
      <w:tr w14:paraId="05C8C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598BD6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067" w:type="pct"/>
            <w:tcBorders>
              <w:tl2br w:val="nil"/>
              <w:tr2bl w:val="nil"/>
            </w:tcBorders>
            <w:vAlign w:val="center"/>
          </w:tcPr>
          <w:p w14:paraId="47BB15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镍</w:t>
            </w:r>
          </w:p>
        </w:tc>
        <w:tc>
          <w:tcPr>
            <w:tcW w:w="871" w:type="pct"/>
            <w:tcBorders>
              <w:tl2br w:val="nil"/>
              <w:tr2bl w:val="nil"/>
            </w:tcBorders>
            <w:vAlign w:val="center"/>
          </w:tcPr>
          <w:p w14:paraId="0B1AC8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150</w:t>
            </w:r>
          </w:p>
        </w:tc>
        <w:tc>
          <w:tcPr>
            <w:tcW w:w="871" w:type="pct"/>
            <w:tcBorders>
              <w:tl2br w:val="nil"/>
              <w:tr2bl w:val="nil"/>
            </w:tcBorders>
            <w:vAlign w:val="center"/>
          </w:tcPr>
          <w:p w14:paraId="3051DD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900</w:t>
            </w:r>
          </w:p>
        </w:tc>
        <w:tc>
          <w:tcPr>
            <w:tcW w:w="870" w:type="pct"/>
            <w:tcBorders>
              <w:tl2br w:val="nil"/>
              <w:tr2bl w:val="nil"/>
            </w:tcBorders>
            <w:vAlign w:val="center"/>
          </w:tcPr>
          <w:p w14:paraId="507EB6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600</w:t>
            </w:r>
          </w:p>
        </w:tc>
        <w:tc>
          <w:tcPr>
            <w:tcW w:w="873" w:type="pct"/>
            <w:tcBorders>
              <w:tl2br w:val="nil"/>
              <w:tr2bl w:val="nil"/>
            </w:tcBorders>
            <w:vAlign w:val="center"/>
          </w:tcPr>
          <w:p w14:paraId="3B59DC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r>
      <w:tr w14:paraId="5857C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447" w:type="pct"/>
            <w:tcBorders>
              <w:tl2br w:val="nil"/>
              <w:tr2bl w:val="nil"/>
            </w:tcBorders>
            <w:vAlign w:val="center"/>
          </w:tcPr>
          <w:p w14:paraId="44DA07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1067" w:type="pct"/>
            <w:tcBorders>
              <w:tl2br w:val="nil"/>
              <w:tr2bl w:val="nil"/>
            </w:tcBorders>
            <w:vAlign w:val="center"/>
          </w:tcPr>
          <w:p w14:paraId="2612F2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四氯化碳</w:t>
            </w:r>
          </w:p>
        </w:tc>
        <w:tc>
          <w:tcPr>
            <w:tcW w:w="871" w:type="pct"/>
            <w:tcBorders>
              <w:tl2br w:val="nil"/>
              <w:tr2bl w:val="nil"/>
            </w:tcBorders>
            <w:vAlign w:val="center"/>
          </w:tcPr>
          <w:p w14:paraId="0ECA8B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w:t>
            </w:r>
          </w:p>
        </w:tc>
        <w:tc>
          <w:tcPr>
            <w:tcW w:w="871" w:type="pct"/>
            <w:tcBorders>
              <w:tl2br w:val="nil"/>
              <w:tr2bl w:val="nil"/>
            </w:tcBorders>
            <w:vAlign w:val="center"/>
          </w:tcPr>
          <w:p w14:paraId="35E77A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870" w:type="pct"/>
            <w:tcBorders>
              <w:tl2br w:val="nil"/>
              <w:tr2bl w:val="nil"/>
            </w:tcBorders>
            <w:vAlign w:val="center"/>
          </w:tcPr>
          <w:p w14:paraId="75DB7E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873" w:type="pct"/>
            <w:tcBorders>
              <w:tl2br w:val="nil"/>
              <w:tr2bl w:val="nil"/>
            </w:tcBorders>
            <w:vAlign w:val="center"/>
          </w:tcPr>
          <w:p w14:paraId="48ED76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36</w:t>
            </w:r>
          </w:p>
        </w:tc>
      </w:tr>
      <w:tr w14:paraId="4B02E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396AC0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1067" w:type="pct"/>
            <w:tcBorders>
              <w:tl2br w:val="nil"/>
              <w:tr2bl w:val="nil"/>
            </w:tcBorders>
            <w:vAlign w:val="center"/>
          </w:tcPr>
          <w:p w14:paraId="47FF2B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氯仿</w:t>
            </w:r>
          </w:p>
        </w:tc>
        <w:tc>
          <w:tcPr>
            <w:tcW w:w="871" w:type="pct"/>
            <w:tcBorders>
              <w:tl2br w:val="nil"/>
              <w:tr2bl w:val="nil"/>
            </w:tcBorders>
            <w:vAlign w:val="center"/>
          </w:tcPr>
          <w:p w14:paraId="7FBFC2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871" w:type="pct"/>
            <w:tcBorders>
              <w:tl2br w:val="nil"/>
              <w:tr2bl w:val="nil"/>
            </w:tcBorders>
            <w:vAlign w:val="center"/>
          </w:tcPr>
          <w:p w14:paraId="7C6BDD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0.9</w:t>
            </w:r>
          </w:p>
        </w:tc>
        <w:tc>
          <w:tcPr>
            <w:tcW w:w="870" w:type="pct"/>
            <w:tcBorders>
              <w:tl2br w:val="nil"/>
              <w:tr2bl w:val="nil"/>
            </w:tcBorders>
            <w:vAlign w:val="center"/>
          </w:tcPr>
          <w:p w14:paraId="377643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73" w:type="pct"/>
            <w:tcBorders>
              <w:tl2br w:val="nil"/>
              <w:tr2bl w:val="nil"/>
            </w:tcBorders>
            <w:vAlign w:val="center"/>
          </w:tcPr>
          <w:p w14:paraId="4ACE6C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r>
      <w:tr w14:paraId="19087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07D563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067" w:type="pct"/>
            <w:tcBorders>
              <w:tl2br w:val="nil"/>
              <w:tr2bl w:val="nil"/>
            </w:tcBorders>
            <w:vAlign w:val="center"/>
          </w:tcPr>
          <w:p w14:paraId="1849E8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氯甲烷</w:t>
            </w:r>
          </w:p>
        </w:tc>
        <w:tc>
          <w:tcPr>
            <w:tcW w:w="871" w:type="pct"/>
            <w:tcBorders>
              <w:tl2br w:val="nil"/>
              <w:tr2bl w:val="nil"/>
            </w:tcBorders>
            <w:vAlign w:val="center"/>
          </w:tcPr>
          <w:p w14:paraId="329EF7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871" w:type="pct"/>
            <w:tcBorders>
              <w:tl2br w:val="nil"/>
              <w:tr2bl w:val="nil"/>
            </w:tcBorders>
            <w:vAlign w:val="center"/>
          </w:tcPr>
          <w:p w14:paraId="40237E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37</w:t>
            </w:r>
          </w:p>
        </w:tc>
        <w:tc>
          <w:tcPr>
            <w:tcW w:w="870" w:type="pct"/>
            <w:tcBorders>
              <w:tl2br w:val="nil"/>
              <w:tr2bl w:val="nil"/>
            </w:tcBorders>
            <w:vAlign w:val="center"/>
          </w:tcPr>
          <w:p w14:paraId="14B1B9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w:t>
            </w:r>
          </w:p>
        </w:tc>
        <w:tc>
          <w:tcPr>
            <w:tcW w:w="873" w:type="pct"/>
            <w:tcBorders>
              <w:tl2br w:val="nil"/>
              <w:tr2bl w:val="nil"/>
            </w:tcBorders>
            <w:vAlign w:val="center"/>
          </w:tcPr>
          <w:p w14:paraId="2CEC1D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w:t>
            </w:r>
          </w:p>
        </w:tc>
      </w:tr>
      <w:tr w14:paraId="388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64E554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w:t>
            </w:r>
          </w:p>
        </w:tc>
        <w:tc>
          <w:tcPr>
            <w:tcW w:w="1067" w:type="pct"/>
            <w:tcBorders>
              <w:tl2br w:val="nil"/>
              <w:tr2bl w:val="nil"/>
            </w:tcBorders>
            <w:vAlign w:val="center"/>
          </w:tcPr>
          <w:p w14:paraId="50BAE1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1,1-二氯乙烷</w:t>
            </w:r>
          </w:p>
        </w:tc>
        <w:tc>
          <w:tcPr>
            <w:tcW w:w="871" w:type="pct"/>
            <w:tcBorders>
              <w:tl2br w:val="nil"/>
              <w:tr2bl w:val="nil"/>
            </w:tcBorders>
            <w:vAlign w:val="center"/>
          </w:tcPr>
          <w:p w14:paraId="3FF893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871" w:type="pct"/>
            <w:tcBorders>
              <w:tl2br w:val="nil"/>
              <w:tr2bl w:val="nil"/>
            </w:tcBorders>
            <w:vAlign w:val="center"/>
          </w:tcPr>
          <w:p w14:paraId="3C53CA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870" w:type="pct"/>
            <w:tcBorders>
              <w:tl2br w:val="nil"/>
              <w:tr2bl w:val="nil"/>
            </w:tcBorders>
            <w:vAlign w:val="center"/>
          </w:tcPr>
          <w:p w14:paraId="313BB9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873" w:type="pct"/>
            <w:tcBorders>
              <w:tl2br w:val="nil"/>
              <w:tr2bl w:val="nil"/>
            </w:tcBorders>
            <w:vAlign w:val="center"/>
          </w:tcPr>
          <w:p w14:paraId="689868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r>
      <w:tr w14:paraId="7A56C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6BF249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1067" w:type="pct"/>
            <w:tcBorders>
              <w:tl2br w:val="nil"/>
              <w:tr2bl w:val="nil"/>
            </w:tcBorders>
            <w:vAlign w:val="center"/>
          </w:tcPr>
          <w:p w14:paraId="7477EF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1,2-二氯乙烷</w:t>
            </w:r>
          </w:p>
        </w:tc>
        <w:tc>
          <w:tcPr>
            <w:tcW w:w="871" w:type="pct"/>
            <w:tcBorders>
              <w:tl2br w:val="nil"/>
              <w:tr2bl w:val="nil"/>
            </w:tcBorders>
            <w:vAlign w:val="center"/>
          </w:tcPr>
          <w:p w14:paraId="5342C7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0.52</w:t>
            </w:r>
          </w:p>
        </w:tc>
        <w:tc>
          <w:tcPr>
            <w:tcW w:w="871" w:type="pct"/>
            <w:tcBorders>
              <w:tl2br w:val="nil"/>
              <w:tr2bl w:val="nil"/>
            </w:tcBorders>
            <w:vAlign w:val="center"/>
          </w:tcPr>
          <w:p w14:paraId="6553C1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70" w:type="pct"/>
            <w:tcBorders>
              <w:tl2br w:val="nil"/>
              <w:tr2bl w:val="nil"/>
            </w:tcBorders>
            <w:vAlign w:val="center"/>
          </w:tcPr>
          <w:p w14:paraId="073987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873" w:type="pct"/>
            <w:tcBorders>
              <w:tl2br w:val="nil"/>
              <w:tr2bl w:val="nil"/>
            </w:tcBorders>
            <w:vAlign w:val="center"/>
          </w:tcPr>
          <w:p w14:paraId="30F8A4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w:t>
            </w:r>
          </w:p>
        </w:tc>
      </w:tr>
      <w:tr w14:paraId="644A5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542CD6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1067" w:type="pct"/>
            <w:tcBorders>
              <w:tl2br w:val="nil"/>
              <w:tr2bl w:val="nil"/>
            </w:tcBorders>
            <w:vAlign w:val="center"/>
          </w:tcPr>
          <w:p w14:paraId="5E68F7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1,1-二氯乙烯</w:t>
            </w:r>
          </w:p>
        </w:tc>
        <w:tc>
          <w:tcPr>
            <w:tcW w:w="871" w:type="pct"/>
            <w:tcBorders>
              <w:tl2br w:val="nil"/>
              <w:tr2bl w:val="nil"/>
            </w:tcBorders>
            <w:vAlign w:val="center"/>
          </w:tcPr>
          <w:p w14:paraId="11539C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871" w:type="pct"/>
            <w:tcBorders>
              <w:tl2br w:val="nil"/>
              <w:tr2bl w:val="nil"/>
            </w:tcBorders>
            <w:vAlign w:val="center"/>
          </w:tcPr>
          <w:p w14:paraId="0F9610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66</w:t>
            </w:r>
          </w:p>
        </w:tc>
        <w:tc>
          <w:tcPr>
            <w:tcW w:w="870" w:type="pct"/>
            <w:tcBorders>
              <w:tl2br w:val="nil"/>
              <w:tr2bl w:val="nil"/>
            </w:tcBorders>
            <w:vAlign w:val="center"/>
          </w:tcPr>
          <w:p w14:paraId="24A14A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873" w:type="pct"/>
            <w:tcBorders>
              <w:tl2br w:val="nil"/>
              <w:tr2bl w:val="nil"/>
            </w:tcBorders>
            <w:vAlign w:val="center"/>
          </w:tcPr>
          <w:p w14:paraId="0CCAB0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r>
      <w:tr w14:paraId="51DD7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3B1294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1067" w:type="pct"/>
            <w:tcBorders>
              <w:tl2br w:val="nil"/>
              <w:tr2bl w:val="nil"/>
            </w:tcBorders>
            <w:vAlign w:val="center"/>
          </w:tcPr>
          <w:p w14:paraId="3AC180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顺-1,2-二氯乙烯</w:t>
            </w:r>
          </w:p>
        </w:tc>
        <w:tc>
          <w:tcPr>
            <w:tcW w:w="871" w:type="pct"/>
            <w:tcBorders>
              <w:tl2br w:val="nil"/>
              <w:tr2bl w:val="nil"/>
            </w:tcBorders>
            <w:vAlign w:val="center"/>
          </w:tcPr>
          <w:p w14:paraId="06C611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66</w:t>
            </w:r>
          </w:p>
        </w:tc>
        <w:tc>
          <w:tcPr>
            <w:tcW w:w="871" w:type="pct"/>
            <w:tcBorders>
              <w:tl2br w:val="nil"/>
              <w:tr2bl w:val="nil"/>
            </w:tcBorders>
            <w:vAlign w:val="center"/>
          </w:tcPr>
          <w:p w14:paraId="3E953F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596</w:t>
            </w:r>
          </w:p>
        </w:tc>
        <w:tc>
          <w:tcPr>
            <w:tcW w:w="870" w:type="pct"/>
            <w:tcBorders>
              <w:tl2br w:val="nil"/>
              <w:tr2bl w:val="nil"/>
            </w:tcBorders>
            <w:vAlign w:val="center"/>
          </w:tcPr>
          <w:p w14:paraId="6539E4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c>
          <w:tcPr>
            <w:tcW w:w="873" w:type="pct"/>
            <w:tcBorders>
              <w:tl2br w:val="nil"/>
              <w:tr2bl w:val="nil"/>
            </w:tcBorders>
            <w:vAlign w:val="center"/>
          </w:tcPr>
          <w:p w14:paraId="2BB69B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2000</w:t>
            </w:r>
          </w:p>
        </w:tc>
      </w:tr>
      <w:tr w14:paraId="45FCC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0FA673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1067" w:type="pct"/>
            <w:tcBorders>
              <w:tl2br w:val="nil"/>
              <w:tr2bl w:val="nil"/>
            </w:tcBorders>
            <w:vAlign w:val="center"/>
          </w:tcPr>
          <w:p w14:paraId="4D5419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反-1,2-二氯乙烯</w:t>
            </w:r>
          </w:p>
        </w:tc>
        <w:tc>
          <w:tcPr>
            <w:tcW w:w="871" w:type="pct"/>
            <w:tcBorders>
              <w:tl2br w:val="nil"/>
              <w:tr2bl w:val="nil"/>
            </w:tcBorders>
            <w:vAlign w:val="center"/>
          </w:tcPr>
          <w:p w14:paraId="65A6B9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71" w:type="pct"/>
            <w:tcBorders>
              <w:tl2br w:val="nil"/>
              <w:tr2bl w:val="nil"/>
            </w:tcBorders>
            <w:vAlign w:val="center"/>
          </w:tcPr>
          <w:p w14:paraId="5768A7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51</w:t>
            </w:r>
          </w:p>
        </w:tc>
        <w:tc>
          <w:tcPr>
            <w:tcW w:w="870" w:type="pct"/>
            <w:tcBorders>
              <w:tl2br w:val="nil"/>
              <w:tr2bl w:val="nil"/>
            </w:tcBorders>
            <w:vAlign w:val="center"/>
          </w:tcPr>
          <w:p w14:paraId="581ED0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31</w:t>
            </w:r>
          </w:p>
        </w:tc>
        <w:tc>
          <w:tcPr>
            <w:tcW w:w="873" w:type="pct"/>
            <w:tcBorders>
              <w:tl2br w:val="nil"/>
              <w:tr2bl w:val="nil"/>
            </w:tcBorders>
            <w:vAlign w:val="center"/>
          </w:tcPr>
          <w:p w14:paraId="1FBBEC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163</w:t>
            </w:r>
          </w:p>
        </w:tc>
      </w:tr>
      <w:tr w14:paraId="4EE1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33A772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w:t>
            </w:r>
          </w:p>
        </w:tc>
        <w:tc>
          <w:tcPr>
            <w:tcW w:w="1067" w:type="pct"/>
            <w:tcBorders>
              <w:tl2br w:val="nil"/>
              <w:tr2bl w:val="nil"/>
            </w:tcBorders>
            <w:vAlign w:val="center"/>
          </w:tcPr>
          <w:p w14:paraId="6A87B6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二氯甲烷</w:t>
            </w:r>
          </w:p>
        </w:tc>
        <w:tc>
          <w:tcPr>
            <w:tcW w:w="871" w:type="pct"/>
            <w:tcBorders>
              <w:tl2br w:val="nil"/>
              <w:tr2bl w:val="nil"/>
            </w:tcBorders>
            <w:vAlign w:val="center"/>
          </w:tcPr>
          <w:p w14:paraId="6CD67A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94</w:t>
            </w:r>
          </w:p>
        </w:tc>
        <w:tc>
          <w:tcPr>
            <w:tcW w:w="871" w:type="pct"/>
            <w:tcBorders>
              <w:tl2br w:val="nil"/>
              <w:tr2bl w:val="nil"/>
            </w:tcBorders>
            <w:vAlign w:val="center"/>
          </w:tcPr>
          <w:p w14:paraId="5D3CDE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616</w:t>
            </w:r>
          </w:p>
        </w:tc>
        <w:tc>
          <w:tcPr>
            <w:tcW w:w="870" w:type="pct"/>
            <w:tcBorders>
              <w:tl2br w:val="nil"/>
              <w:tr2bl w:val="nil"/>
            </w:tcBorders>
            <w:vAlign w:val="center"/>
          </w:tcPr>
          <w:p w14:paraId="653977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c>
          <w:tcPr>
            <w:tcW w:w="873" w:type="pct"/>
            <w:tcBorders>
              <w:tl2br w:val="nil"/>
              <w:tr2bl w:val="nil"/>
            </w:tcBorders>
            <w:vAlign w:val="center"/>
          </w:tcPr>
          <w:p w14:paraId="6FE42B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2000</w:t>
            </w:r>
          </w:p>
        </w:tc>
      </w:tr>
      <w:tr w14:paraId="69811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10F1FB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w:t>
            </w:r>
          </w:p>
        </w:tc>
        <w:tc>
          <w:tcPr>
            <w:tcW w:w="1067" w:type="pct"/>
            <w:tcBorders>
              <w:tl2br w:val="nil"/>
              <w:tr2bl w:val="nil"/>
            </w:tcBorders>
            <w:vAlign w:val="center"/>
          </w:tcPr>
          <w:p w14:paraId="202B94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1,2-二氯丙烷</w:t>
            </w:r>
          </w:p>
        </w:tc>
        <w:tc>
          <w:tcPr>
            <w:tcW w:w="871" w:type="pct"/>
            <w:tcBorders>
              <w:tl2br w:val="nil"/>
              <w:tr2bl w:val="nil"/>
            </w:tcBorders>
            <w:vAlign w:val="center"/>
          </w:tcPr>
          <w:p w14:paraId="7C3D46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871" w:type="pct"/>
            <w:tcBorders>
              <w:tl2br w:val="nil"/>
              <w:tr2bl w:val="nil"/>
            </w:tcBorders>
            <w:vAlign w:val="center"/>
          </w:tcPr>
          <w:p w14:paraId="3C2B6C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70" w:type="pct"/>
            <w:tcBorders>
              <w:tl2br w:val="nil"/>
              <w:tr2bl w:val="nil"/>
            </w:tcBorders>
            <w:vAlign w:val="center"/>
          </w:tcPr>
          <w:p w14:paraId="7AFF43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73" w:type="pct"/>
            <w:tcBorders>
              <w:tl2br w:val="nil"/>
              <w:tr2bl w:val="nil"/>
            </w:tcBorders>
            <w:vAlign w:val="center"/>
          </w:tcPr>
          <w:p w14:paraId="6DB526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47</w:t>
            </w:r>
          </w:p>
        </w:tc>
      </w:tr>
      <w:tr w14:paraId="126D9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75CF25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w:t>
            </w:r>
          </w:p>
        </w:tc>
        <w:tc>
          <w:tcPr>
            <w:tcW w:w="1067" w:type="pct"/>
            <w:tcBorders>
              <w:tl2br w:val="nil"/>
              <w:tr2bl w:val="nil"/>
            </w:tcBorders>
            <w:vAlign w:val="center"/>
          </w:tcPr>
          <w:p w14:paraId="69FCC3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1,1,1,2-四氯乙烷</w:t>
            </w:r>
          </w:p>
        </w:tc>
        <w:tc>
          <w:tcPr>
            <w:tcW w:w="871" w:type="pct"/>
            <w:tcBorders>
              <w:tl2br w:val="nil"/>
              <w:tr2bl w:val="nil"/>
            </w:tcBorders>
            <w:vAlign w:val="center"/>
          </w:tcPr>
          <w:p w14:paraId="5E0269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w:t>
            </w:r>
          </w:p>
        </w:tc>
        <w:tc>
          <w:tcPr>
            <w:tcW w:w="871" w:type="pct"/>
            <w:tcBorders>
              <w:tl2br w:val="nil"/>
              <w:tr2bl w:val="nil"/>
            </w:tcBorders>
            <w:vAlign w:val="center"/>
          </w:tcPr>
          <w:p w14:paraId="14EC75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70" w:type="pct"/>
            <w:tcBorders>
              <w:tl2br w:val="nil"/>
              <w:tr2bl w:val="nil"/>
            </w:tcBorders>
            <w:vAlign w:val="center"/>
          </w:tcPr>
          <w:p w14:paraId="67304A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w:t>
            </w:r>
          </w:p>
        </w:tc>
        <w:tc>
          <w:tcPr>
            <w:tcW w:w="873" w:type="pct"/>
            <w:tcBorders>
              <w:tl2br w:val="nil"/>
              <w:tr2bl w:val="nil"/>
            </w:tcBorders>
            <w:vAlign w:val="center"/>
          </w:tcPr>
          <w:p w14:paraId="72F930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r>
      <w:tr w14:paraId="3792E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4F2057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w:t>
            </w:r>
          </w:p>
        </w:tc>
        <w:tc>
          <w:tcPr>
            <w:tcW w:w="1067" w:type="pct"/>
            <w:tcBorders>
              <w:tl2br w:val="nil"/>
              <w:tr2bl w:val="nil"/>
            </w:tcBorders>
            <w:vAlign w:val="center"/>
          </w:tcPr>
          <w:p w14:paraId="002B2C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1,1,2,2-四氯乙烷</w:t>
            </w:r>
          </w:p>
        </w:tc>
        <w:tc>
          <w:tcPr>
            <w:tcW w:w="871" w:type="pct"/>
            <w:tcBorders>
              <w:tl2br w:val="nil"/>
              <w:tr2bl w:val="nil"/>
            </w:tcBorders>
            <w:vAlign w:val="center"/>
          </w:tcPr>
          <w:p w14:paraId="1C43DD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w:t>
            </w:r>
          </w:p>
        </w:tc>
        <w:tc>
          <w:tcPr>
            <w:tcW w:w="871" w:type="pct"/>
            <w:tcBorders>
              <w:tl2br w:val="nil"/>
              <w:tr2bl w:val="nil"/>
            </w:tcBorders>
            <w:vAlign w:val="center"/>
          </w:tcPr>
          <w:p w14:paraId="05F4E4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6.8</w:t>
            </w:r>
          </w:p>
        </w:tc>
        <w:tc>
          <w:tcPr>
            <w:tcW w:w="870" w:type="pct"/>
            <w:tcBorders>
              <w:tl2br w:val="nil"/>
              <w:tr2bl w:val="nil"/>
            </w:tcBorders>
            <w:vAlign w:val="center"/>
          </w:tcPr>
          <w:p w14:paraId="237228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873" w:type="pct"/>
            <w:tcBorders>
              <w:tl2br w:val="nil"/>
              <w:tr2bl w:val="nil"/>
            </w:tcBorders>
            <w:vAlign w:val="center"/>
          </w:tcPr>
          <w:p w14:paraId="1CE494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r>
      <w:tr w14:paraId="79AAA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730E96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1067" w:type="pct"/>
            <w:tcBorders>
              <w:tl2br w:val="nil"/>
              <w:tr2bl w:val="nil"/>
            </w:tcBorders>
            <w:vAlign w:val="center"/>
          </w:tcPr>
          <w:p w14:paraId="7D60F6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四氯乙烯</w:t>
            </w:r>
          </w:p>
        </w:tc>
        <w:tc>
          <w:tcPr>
            <w:tcW w:w="871" w:type="pct"/>
            <w:tcBorders>
              <w:tl2br w:val="nil"/>
              <w:tr2bl w:val="nil"/>
            </w:tcBorders>
            <w:vAlign w:val="center"/>
          </w:tcPr>
          <w:p w14:paraId="3CDC9E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w:t>
            </w:r>
          </w:p>
        </w:tc>
        <w:tc>
          <w:tcPr>
            <w:tcW w:w="871" w:type="pct"/>
            <w:tcBorders>
              <w:tl2br w:val="nil"/>
              <w:tr2bl w:val="nil"/>
            </w:tcBorders>
            <w:vAlign w:val="center"/>
          </w:tcPr>
          <w:p w14:paraId="0A6F02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53</w:t>
            </w:r>
          </w:p>
        </w:tc>
        <w:tc>
          <w:tcPr>
            <w:tcW w:w="870" w:type="pct"/>
            <w:tcBorders>
              <w:tl2br w:val="nil"/>
              <w:tr2bl w:val="nil"/>
            </w:tcBorders>
            <w:vAlign w:val="center"/>
          </w:tcPr>
          <w:p w14:paraId="09B10C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w:t>
            </w:r>
          </w:p>
        </w:tc>
        <w:tc>
          <w:tcPr>
            <w:tcW w:w="873" w:type="pct"/>
            <w:tcBorders>
              <w:tl2br w:val="nil"/>
              <w:tr2bl w:val="nil"/>
            </w:tcBorders>
            <w:vAlign w:val="center"/>
          </w:tcPr>
          <w:p w14:paraId="6C4694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183</w:t>
            </w:r>
          </w:p>
        </w:tc>
      </w:tr>
      <w:tr w14:paraId="55CD6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16B1E5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w:t>
            </w:r>
          </w:p>
        </w:tc>
        <w:tc>
          <w:tcPr>
            <w:tcW w:w="1067" w:type="pct"/>
            <w:tcBorders>
              <w:tl2br w:val="nil"/>
              <w:tr2bl w:val="nil"/>
            </w:tcBorders>
            <w:vAlign w:val="center"/>
          </w:tcPr>
          <w:p w14:paraId="5F8528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1,1,1-三氯乙烷</w:t>
            </w:r>
          </w:p>
        </w:tc>
        <w:tc>
          <w:tcPr>
            <w:tcW w:w="871" w:type="pct"/>
            <w:tcBorders>
              <w:tl2br w:val="nil"/>
              <w:tr2bl w:val="nil"/>
            </w:tcBorders>
            <w:vAlign w:val="center"/>
          </w:tcPr>
          <w:p w14:paraId="26C565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701</w:t>
            </w:r>
          </w:p>
        </w:tc>
        <w:tc>
          <w:tcPr>
            <w:tcW w:w="871" w:type="pct"/>
            <w:tcBorders>
              <w:tl2br w:val="nil"/>
              <w:tr2bl w:val="nil"/>
            </w:tcBorders>
            <w:vAlign w:val="center"/>
          </w:tcPr>
          <w:p w14:paraId="54DE66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840</w:t>
            </w:r>
          </w:p>
        </w:tc>
        <w:tc>
          <w:tcPr>
            <w:tcW w:w="870" w:type="pct"/>
            <w:tcBorders>
              <w:tl2br w:val="nil"/>
              <w:tr2bl w:val="nil"/>
            </w:tcBorders>
            <w:vAlign w:val="center"/>
          </w:tcPr>
          <w:p w14:paraId="30F4D7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840</w:t>
            </w:r>
          </w:p>
        </w:tc>
        <w:tc>
          <w:tcPr>
            <w:tcW w:w="873" w:type="pct"/>
            <w:tcBorders>
              <w:tl2br w:val="nil"/>
              <w:tr2bl w:val="nil"/>
            </w:tcBorders>
            <w:vAlign w:val="center"/>
          </w:tcPr>
          <w:p w14:paraId="270FAC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840</w:t>
            </w:r>
          </w:p>
        </w:tc>
      </w:tr>
      <w:tr w14:paraId="702DE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0AA0A5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w:t>
            </w:r>
          </w:p>
        </w:tc>
        <w:tc>
          <w:tcPr>
            <w:tcW w:w="1067" w:type="pct"/>
            <w:tcBorders>
              <w:tl2br w:val="nil"/>
              <w:tr2bl w:val="nil"/>
            </w:tcBorders>
            <w:vAlign w:val="center"/>
          </w:tcPr>
          <w:p w14:paraId="0F5C9C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1,1,2-三氯乙烷</w:t>
            </w:r>
          </w:p>
        </w:tc>
        <w:tc>
          <w:tcPr>
            <w:tcW w:w="871" w:type="pct"/>
            <w:tcBorders>
              <w:tl2br w:val="nil"/>
              <w:tr2bl w:val="nil"/>
            </w:tcBorders>
            <w:vAlign w:val="center"/>
          </w:tcPr>
          <w:p w14:paraId="77C80A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w:t>
            </w:r>
          </w:p>
        </w:tc>
        <w:tc>
          <w:tcPr>
            <w:tcW w:w="871" w:type="pct"/>
            <w:tcBorders>
              <w:tl2br w:val="nil"/>
              <w:tr2bl w:val="nil"/>
            </w:tcBorders>
            <w:vAlign w:val="center"/>
          </w:tcPr>
          <w:p w14:paraId="32A9F9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870" w:type="pct"/>
            <w:tcBorders>
              <w:tl2br w:val="nil"/>
              <w:tr2bl w:val="nil"/>
            </w:tcBorders>
            <w:vAlign w:val="center"/>
          </w:tcPr>
          <w:p w14:paraId="757796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873" w:type="pct"/>
            <w:tcBorders>
              <w:tl2br w:val="nil"/>
              <w:tr2bl w:val="nil"/>
            </w:tcBorders>
            <w:vAlign w:val="center"/>
          </w:tcPr>
          <w:p w14:paraId="0B49D1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r>
      <w:tr w14:paraId="60757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37913F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w:t>
            </w:r>
          </w:p>
        </w:tc>
        <w:tc>
          <w:tcPr>
            <w:tcW w:w="1067" w:type="pct"/>
            <w:tcBorders>
              <w:tl2br w:val="nil"/>
              <w:tr2bl w:val="nil"/>
            </w:tcBorders>
            <w:vAlign w:val="center"/>
          </w:tcPr>
          <w:p w14:paraId="0EDD16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三氯乙烯</w:t>
            </w:r>
          </w:p>
        </w:tc>
        <w:tc>
          <w:tcPr>
            <w:tcW w:w="871" w:type="pct"/>
            <w:tcBorders>
              <w:tl2br w:val="nil"/>
              <w:tr2bl w:val="nil"/>
            </w:tcBorders>
            <w:vAlign w:val="center"/>
          </w:tcPr>
          <w:p w14:paraId="3736DB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w:t>
            </w:r>
          </w:p>
        </w:tc>
        <w:tc>
          <w:tcPr>
            <w:tcW w:w="871" w:type="pct"/>
            <w:tcBorders>
              <w:tl2br w:val="nil"/>
              <w:tr2bl w:val="nil"/>
            </w:tcBorders>
            <w:vAlign w:val="center"/>
          </w:tcPr>
          <w:p w14:paraId="50B6F7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870" w:type="pct"/>
            <w:tcBorders>
              <w:tl2br w:val="nil"/>
              <w:tr2bl w:val="nil"/>
            </w:tcBorders>
            <w:vAlign w:val="center"/>
          </w:tcPr>
          <w:p w14:paraId="107E27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873" w:type="pct"/>
            <w:tcBorders>
              <w:tl2br w:val="nil"/>
              <w:tr2bl w:val="nil"/>
            </w:tcBorders>
            <w:vAlign w:val="center"/>
          </w:tcPr>
          <w:p w14:paraId="1C9C3F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r>
      <w:tr w14:paraId="74039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6D18F2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w:t>
            </w:r>
          </w:p>
        </w:tc>
        <w:tc>
          <w:tcPr>
            <w:tcW w:w="1067" w:type="pct"/>
            <w:tcBorders>
              <w:tl2br w:val="nil"/>
              <w:tr2bl w:val="nil"/>
            </w:tcBorders>
            <w:vAlign w:val="center"/>
          </w:tcPr>
          <w:p w14:paraId="664E08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1,2,3-三氯丙烷</w:t>
            </w:r>
          </w:p>
        </w:tc>
        <w:tc>
          <w:tcPr>
            <w:tcW w:w="871" w:type="pct"/>
            <w:tcBorders>
              <w:tl2br w:val="nil"/>
              <w:tr2bl w:val="nil"/>
            </w:tcBorders>
            <w:vAlign w:val="center"/>
          </w:tcPr>
          <w:p w14:paraId="340567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871" w:type="pct"/>
            <w:tcBorders>
              <w:tl2br w:val="nil"/>
              <w:tr2bl w:val="nil"/>
            </w:tcBorders>
            <w:vAlign w:val="center"/>
          </w:tcPr>
          <w:p w14:paraId="38185E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w:t>
            </w:r>
          </w:p>
        </w:tc>
        <w:tc>
          <w:tcPr>
            <w:tcW w:w="870" w:type="pct"/>
            <w:tcBorders>
              <w:tl2br w:val="nil"/>
              <w:tr2bl w:val="nil"/>
            </w:tcBorders>
            <w:vAlign w:val="center"/>
          </w:tcPr>
          <w:p w14:paraId="55AC83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w:t>
            </w:r>
          </w:p>
        </w:tc>
        <w:tc>
          <w:tcPr>
            <w:tcW w:w="873" w:type="pct"/>
            <w:tcBorders>
              <w:tl2br w:val="nil"/>
              <w:tr2bl w:val="nil"/>
            </w:tcBorders>
            <w:vAlign w:val="center"/>
          </w:tcPr>
          <w:p w14:paraId="05CAF3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r>
      <w:tr w14:paraId="1305E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62A366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w:t>
            </w:r>
          </w:p>
        </w:tc>
        <w:tc>
          <w:tcPr>
            <w:tcW w:w="1067" w:type="pct"/>
            <w:tcBorders>
              <w:tl2br w:val="nil"/>
              <w:tr2bl w:val="nil"/>
            </w:tcBorders>
            <w:vAlign w:val="center"/>
          </w:tcPr>
          <w:p w14:paraId="2924A5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氯乙烯</w:t>
            </w:r>
          </w:p>
        </w:tc>
        <w:tc>
          <w:tcPr>
            <w:tcW w:w="871" w:type="pct"/>
            <w:tcBorders>
              <w:tl2br w:val="nil"/>
              <w:tr2bl w:val="nil"/>
            </w:tcBorders>
            <w:vAlign w:val="center"/>
          </w:tcPr>
          <w:p w14:paraId="0E59AE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0.12</w:t>
            </w:r>
          </w:p>
        </w:tc>
        <w:tc>
          <w:tcPr>
            <w:tcW w:w="871" w:type="pct"/>
            <w:tcBorders>
              <w:tl2br w:val="nil"/>
              <w:tr2bl w:val="nil"/>
            </w:tcBorders>
            <w:vAlign w:val="center"/>
          </w:tcPr>
          <w:p w14:paraId="5A2034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0.43</w:t>
            </w:r>
          </w:p>
        </w:tc>
        <w:tc>
          <w:tcPr>
            <w:tcW w:w="870" w:type="pct"/>
            <w:tcBorders>
              <w:tl2br w:val="nil"/>
              <w:tr2bl w:val="nil"/>
            </w:tcBorders>
            <w:vAlign w:val="center"/>
          </w:tcPr>
          <w:p w14:paraId="395A5F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873" w:type="pct"/>
            <w:tcBorders>
              <w:tl2br w:val="nil"/>
              <w:tr2bl w:val="nil"/>
            </w:tcBorders>
            <w:vAlign w:val="center"/>
          </w:tcPr>
          <w:p w14:paraId="534402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4.3</w:t>
            </w:r>
          </w:p>
        </w:tc>
      </w:tr>
      <w:tr w14:paraId="3BCD5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002CB4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w:t>
            </w:r>
          </w:p>
        </w:tc>
        <w:tc>
          <w:tcPr>
            <w:tcW w:w="1067" w:type="pct"/>
            <w:tcBorders>
              <w:tl2br w:val="nil"/>
              <w:tr2bl w:val="nil"/>
            </w:tcBorders>
            <w:vAlign w:val="center"/>
          </w:tcPr>
          <w:p w14:paraId="490846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w:t>
            </w:r>
          </w:p>
        </w:tc>
        <w:tc>
          <w:tcPr>
            <w:tcW w:w="871" w:type="pct"/>
            <w:tcBorders>
              <w:tl2br w:val="nil"/>
              <w:tr2bl w:val="nil"/>
            </w:tcBorders>
            <w:vAlign w:val="center"/>
          </w:tcPr>
          <w:p w14:paraId="52E8A2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871" w:type="pct"/>
            <w:tcBorders>
              <w:tl2br w:val="nil"/>
              <w:tr2bl w:val="nil"/>
            </w:tcBorders>
            <w:vAlign w:val="center"/>
          </w:tcPr>
          <w:p w14:paraId="4DA8B1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870" w:type="pct"/>
            <w:tcBorders>
              <w:tl2br w:val="nil"/>
              <w:tr2bl w:val="nil"/>
            </w:tcBorders>
            <w:vAlign w:val="center"/>
          </w:tcPr>
          <w:p w14:paraId="1E16D0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873" w:type="pct"/>
            <w:tcBorders>
              <w:tl2br w:val="nil"/>
              <w:tr2bl w:val="nil"/>
            </w:tcBorders>
            <w:vAlign w:val="center"/>
          </w:tcPr>
          <w:p w14:paraId="585923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r>
      <w:tr w14:paraId="5F592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0EB883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27</w:t>
            </w:r>
          </w:p>
        </w:tc>
        <w:tc>
          <w:tcPr>
            <w:tcW w:w="1067" w:type="pct"/>
            <w:tcBorders>
              <w:tl2br w:val="nil"/>
              <w:tr2bl w:val="nil"/>
            </w:tcBorders>
            <w:vAlign w:val="center"/>
          </w:tcPr>
          <w:p w14:paraId="20B01B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氯苯</w:t>
            </w:r>
          </w:p>
        </w:tc>
        <w:tc>
          <w:tcPr>
            <w:tcW w:w="871" w:type="pct"/>
            <w:tcBorders>
              <w:tl2br w:val="nil"/>
              <w:tr2bl w:val="nil"/>
            </w:tcBorders>
            <w:vAlign w:val="center"/>
          </w:tcPr>
          <w:p w14:paraId="326F94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68</w:t>
            </w:r>
          </w:p>
        </w:tc>
        <w:tc>
          <w:tcPr>
            <w:tcW w:w="871" w:type="pct"/>
            <w:tcBorders>
              <w:tl2br w:val="nil"/>
              <w:tr2bl w:val="nil"/>
            </w:tcBorders>
            <w:vAlign w:val="center"/>
          </w:tcPr>
          <w:p w14:paraId="3C4C59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270</w:t>
            </w:r>
          </w:p>
        </w:tc>
        <w:tc>
          <w:tcPr>
            <w:tcW w:w="870" w:type="pct"/>
            <w:tcBorders>
              <w:tl2br w:val="nil"/>
              <w:tr2bl w:val="nil"/>
            </w:tcBorders>
            <w:vAlign w:val="center"/>
          </w:tcPr>
          <w:p w14:paraId="627566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c>
          <w:tcPr>
            <w:tcW w:w="873" w:type="pct"/>
            <w:tcBorders>
              <w:tl2br w:val="nil"/>
              <w:tr2bl w:val="nil"/>
            </w:tcBorders>
            <w:vAlign w:val="center"/>
          </w:tcPr>
          <w:p w14:paraId="70D8EA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1000</w:t>
            </w:r>
          </w:p>
        </w:tc>
      </w:tr>
      <w:tr w14:paraId="0E15B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5172FC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1067" w:type="pct"/>
            <w:tcBorders>
              <w:tl2br w:val="nil"/>
              <w:tr2bl w:val="nil"/>
            </w:tcBorders>
            <w:vAlign w:val="center"/>
          </w:tcPr>
          <w:p w14:paraId="3E233C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1,2-二氯苯</w:t>
            </w:r>
          </w:p>
        </w:tc>
        <w:tc>
          <w:tcPr>
            <w:tcW w:w="871" w:type="pct"/>
            <w:tcBorders>
              <w:tl2br w:val="nil"/>
              <w:tr2bl w:val="nil"/>
            </w:tcBorders>
            <w:vAlign w:val="center"/>
          </w:tcPr>
          <w:p w14:paraId="3CFB3E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560</w:t>
            </w:r>
          </w:p>
        </w:tc>
        <w:tc>
          <w:tcPr>
            <w:tcW w:w="871" w:type="pct"/>
            <w:tcBorders>
              <w:tl2br w:val="nil"/>
              <w:tr2bl w:val="nil"/>
            </w:tcBorders>
            <w:vAlign w:val="center"/>
          </w:tcPr>
          <w:p w14:paraId="2B3872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560</w:t>
            </w:r>
          </w:p>
        </w:tc>
        <w:tc>
          <w:tcPr>
            <w:tcW w:w="870" w:type="pct"/>
            <w:tcBorders>
              <w:tl2br w:val="nil"/>
              <w:tr2bl w:val="nil"/>
            </w:tcBorders>
            <w:vAlign w:val="center"/>
          </w:tcPr>
          <w:p w14:paraId="037E84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560</w:t>
            </w:r>
          </w:p>
        </w:tc>
        <w:tc>
          <w:tcPr>
            <w:tcW w:w="873" w:type="pct"/>
            <w:tcBorders>
              <w:tl2br w:val="nil"/>
              <w:tr2bl w:val="nil"/>
            </w:tcBorders>
            <w:vAlign w:val="center"/>
          </w:tcPr>
          <w:p w14:paraId="3944DB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560</w:t>
            </w:r>
          </w:p>
        </w:tc>
      </w:tr>
      <w:tr w14:paraId="3ED93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1657C8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29</w:t>
            </w:r>
          </w:p>
        </w:tc>
        <w:tc>
          <w:tcPr>
            <w:tcW w:w="1067" w:type="pct"/>
            <w:tcBorders>
              <w:tl2br w:val="nil"/>
              <w:tr2bl w:val="nil"/>
            </w:tcBorders>
            <w:vAlign w:val="center"/>
          </w:tcPr>
          <w:p w14:paraId="1E0426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1,4-二氯苯</w:t>
            </w:r>
          </w:p>
        </w:tc>
        <w:tc>
          <w:tcPr>
            <w:tcW w:w="871" w:type="pct"/>
            <w:tcBorders>
              <w:tl2br w:val="nil"/>
              <w:tr2bl w:val="nil"/>
            </w:tcBorders>
            <w:vAlign w:val="center"/>
          </w:tcPr>
          <w:p w14:paraId="2CBD99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w:t>
            </w:r>
          </w:p>
        </w:tc>
        <w:tc>
          <w:tcPr>
            <w:tcW w:w="871" w:type="pct"/>
            <w:tcBorders>
              <w:tl2br w:val="nil"/>
              <w:tr2bl w:val="nil"/>
            </w:tcBorders>
            <w:vAlign w:val="center"/>
          </w:tcPr>
          <w:p w14:paraId="524A3F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870" w:type="pct"/>
            <w:tcBorders>
              <w:tl2br w:val="nil"/>
              <w:tr2bl w:val="nil"/>
            </w:tcBorders>
            <w:vAlign w:val="center"/>
          </w:tcPr>
          <w:p w14:paraId="377F2A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w:t>
            </w:r>
          </w:p>
        </w:tc>
        <w:tc>
          <w:tcPr>
            <w:tcW w:w="873" w:type="pct"/>
            <w:tcBorders>
              <w:tl2br w:val="nil"/>
              <w:tr2bl w:val="nil"/>
            </w:tcBorders>
            <w:vAlign w:val="center"/>
          </w:tcPr>
          <w:p w14:paraId="351246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r>
      <w:tr w14:paraId="06EF1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77FD1C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1067" w:type="pct"/>
            <w:tcBorders>
              <w:tl2br w:val="nil"/>
              <w:tr2bl w:val="nil"/>
            </w:tcBorders>
            <w:vAlign w:val="center"/>
          </w:tcPr>
          <w:p w14:paraId="11F3D8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乙苯</w:t>
            </w:r>
          </w:p>
        </w:tc>
        <w:tc>
          <w:tcPr>
            <w:tcW w:w="871" w:type="pct"/>
            <w:tcBorders>
              <w:tl2br w:val="nil"/>
              <w:tr2bl w:val="nil"/>
            </w:tcBorders>
            <w:vAlign w:val="center"/>
          </w:tcPr>
          <w:p w14:paraId="6592FF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7.2</w:t>
            </w:r>
          </w:p>
        </w:tc>
        <w:tc>
          <w:tcPr>
            <w:tcW w:w="871" w:type="pct"/>
            <w:tcBorders>
              <w:tl2br w:val="nil"/>
              <w:tr2bl w:val="nil"/>
            </w:tcBorders>
            <w:vAlign w:val="center"/>
          </w:tcPr>
          <w:p w14:paraId="601D11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870" w:type="pct"/>
            <w:tcBorders>
              <w:tl2br w:val="nil"/>
              <w:tr2bl w:val="nil"/>
            </w:tcBorders>
            <w:vAlign w:val="center"/>
          </w:tcPr>
          <w:p w14:paraId="503DB0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72</w:t>
            </w:r>
          </w:p>
        </w:tc>
        <w:tc>
          <w:tcPr>
            <w:tcW w:w="873" w:type="pct"/>
            <w:tcBorders>
              <w:tl2br w:val="nil"/>
              <w:tr2bl w:val="nil"/>
            </w:tcBorders>
            <w:vAlign w:val="center"/>
          </w:tcPr>
          <w:p w14:paraId="15C7AA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280</w:t>
            </w:r>
          </w:p>
        </w:tc>
      </w:tr>
      <w:tr w14:paraId="376D4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1D04C7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31</w:t>
            </w:r>
          </w:p>
        </w:tc>
        <w:tc>
          <w:tcPr>
            <w:tcW w:w="1067" w:type="pct"/>
            <w:tcBorders>
              <w:tl2br w:val="nil"/>
              <w:tr2bl w:val="nil"/>
            </w:tcBorders>
            <w:vAlign w:val="center"/>
          </w:tcPr>
          <w:p w14:paraId="39A507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苯乙烯</w:t>
            </w:r>
          </w:p>
        </w:tc>
        <w:tc>
          <w:tcPr>
            <w:tcW w:w="871" w:type="pct"/>
            <w:tcBorders>
              <w:tl2br w:val="nil"/>
              <w:tr2bl w:val="nil"/>
            </w:tcBorders>
            <w:vAlign w:val="center"/>
          </w:tcPr>
          <w:p w14:paraId="58DC5D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1290</w:t>
            </w:r>
          </w:p>
        </w:tc>
        <w:tc>
          <w:tcPr>
            <w:tcW w:w="871" w:type="pct"/>
            <w:tcBorders>
              <w:tl2br w:val="nil"/>
              <w:tr2bl w:val="nil"/>
            </w:tcBorders>
            <w:vAlign w:val="center"/>
          </w:tcPr>
          <w:p w14:paraId="2F412D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1290</w:t>
            </w:r>
          </w:p>
        </w:tc>
        <w:tc>
          <w:tcPr>
            <w:tcW w:w="870" w:type="pct"/>
            <w:tcBorders>
              <w:tl2br w:val="nil"/>
              <w:tr2bl w:val="nil"/>
            </w:tcBorders>
            <w:vAlign w:val="center"/>
          </w:tcPr>
          <w:p w14:paraId="70990E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1290</w:t>
            </w:r>
          </w:p>
        </w:tc>
        <w:tc>
          <w:tcPr>
            <w:tcW w:w="873" w:type="pct"/>
            <w:tcBorders>
              <w:tl2br w:val="nil"/>
              <w:tr2bl w:val="nil"/>
            </w:tcBorders>
            <w:vAlign w:val="center"/>
          </w:tcPr>
          <w:p w14:paraId="3D97E3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1200</w:t>
            </w:r>
          </w:p>
        </w:tc>
      </w:tr>
      <w:tr w14:paraId="60F0F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0BC129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32</w:t>
            </w:r>
          </w:p>
        </w:tc>
        <w:tc>
          <w:tcPr>
            <w:tcW w:w="1067" w:type="pct"/>
            <w:tcBorders>
              <w:tl2br w:val="nil"/>
              <w:tr2bl w:val="nil"/>
            </w:tcBorders>
            <w:vAlign w:val="center"/>
          </w:tcPr>
          <w:p w14:paraId="1BB772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甲苯</w:t>
            </w:r>
          </w:p>
        </w:tc>
        <w:tc>
          <w:tcPr>
            <w:tcW w:w="871" w:type="pct"/>
            <w:tcBorders>
              <w:tl2br w:val="nil"/>
              <w:tr2bl w:val="nil"/>
            </w:tcBorders>
            <w:vAlign w:val="center"/>
          </w:tcPr>
          <w:p w14:paraId="253B0F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1200</w:t>
            </w:r>
          </w:p>
        </w:tc>
        <w:tc>
          <w:tcPr>
            <w:tcW w:w="871" w:type="pct"/>
            <w:tcBorders>
              <w:tl2br w:val="nil"/>
              <w:tr2bl w:val="nil"/>
            </w:tcBorders>
            <w:vAlign w:val="center"/>
          </w:tcPr>
          <w:p w14:paraId="2C73DB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1200</w:t>
            </w:r>
          </w:p>
        </w:tc>
        <w:tc>
          <w:tcPr>
            <w:tcW w:w="870" w:type="pct"/>
            <w:tcBorders>
              <w:tl2br w:val="nil"/>
              <w:tr2bl w:val="nil"/>
            </w:tcBorders>
            <w:vAlign w:val="center"/>
          </w:tcPr>
          <w:p w14:paraId="560C62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1200</w:t>
            </w:r>
          </w:p>
        </w:tc>
        <w:tc>
          <w:tcPr>
            <w:tcW w:w="873" w:type="pct"/>
            <w:tcBorders>
              <w:tl2br w:val="nil"/>
              <w:tr2bl w:val="nil"/>
            </w:tcBorders>
            <w:vAlign w:val="center"/>
          </w:tcPr>
          <w:p w14:paraId="6A6868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1200</w:t>
            </w:r>
          </w:p>
        </w:tc>
      </w:tr>
      <w:tr w14:paraId="02D05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4E2E73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w:t>
            </w:r>
          </w:p>
        </w:tc>
        <w:tc>
          <w:tcPr>
            <w:tcW w:w="1067" w:type="pct"/>
            <w:tcBorders>
              <w:tl2br w:val="nil"/>
              <w:tr2bl w:val="nil"/>
            </w:tcBorders>
            <w:vAlign w:val="center"/>
          </w:tcPr>
          <w:p w14:paraId="378D9D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间二甲苯+对二甲苯</w:t>
            </w:r>
          </w:p>
        </w:tc>
        <w:tc>
          <w:tcPr>
            <w:tcW w:w="871" w:type="pct"/>
            <w:tcBorders>
              <w:tl2br w:val="nil"/>
              <w:tr2bl w:val="nil"/>
            </w:tcBorders>
            <w:vAlign w:val="center"/>
          </w:tcPr>
          <w:p w14:paraId="6755C5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163</w:t>
            </w:r>
          </w:p>
        </w:tc>
        <w:tc>
          <w:tcPr>
            <w:tcW w:w="871" w:type="pct"/>
            <w:tcBorders>
              <w:tl2br w:val="nil"/>
              <w:tr2bl w:val="nil"/>
            </w:tcBorders>
            <w:vAlign w:val="center"/>
          </w:tcPr>
          <w:p w14:paraId="424C37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570</w:t>
            </w:r>
          </w:p>
        </w:tc>
        <w:tc>
          <w:tcPr>
            <w:tcW w:w="870" w:type="pct"/>
            <w:tcBorders>
              <w:tl2br w:val="nil"/>
              <w:tr2bl w:val="nil"/>
            </w:tcBorders>
            <w:vAlign w:val="center"/>
          </w:tcPr>
          <w:p w14:paraId="133862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w:t>
            </w:r>
          </w:p>
        </w:tc>
        <w:tc>
          <w:tcPr>
            <w:tcW w:w="873" w:type="pct"/>
            <w:tcBorders>
              <w:tl2br w:val="nil"/>
              <w:tr2bl w:val="nil"/>
            </w:tcBorders>
            <w:vAlign w:val="center"/>
          </w:tcPr>
          <w:p w14:paraId="1B385B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570</w:t>
            </w:r>
          </w:p>
        </w:tc>
      </w:tr>
      <w:tr w14:paraId="4CA8C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45E699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w:t>
            </w:r>
          </w:p>
        </w:tc>
        <w:tc>
          <w:tcPr>
            <w:tcW w:w="1067" w:type="pct"/>
            <w:tcBorders>
              <w:tl2br w:val="nil"/>
              <w:tr2bl w:val="nil"/>
            </w:tcBorders>
            <w:vAlign w:val="center"/>
          </w:tcPr>
          <w:p w14:paraId="0F4814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邻二甲苯</w:t>
            </w:r>
          </w:p>
        </w:tc>
        <w:tc>
          <w:tcPr>
            <w:tcW w:w="871" w:type="pct"/>
            <w:tcBorders>
              <w:tl2br w:val="nil"/>
              <w:tr2bl w:val="nil"/>
            </w:tcBorders>
            <w:vAlign w:val="center"/>
          </w:tcPr>
          <w:p w14:paraId="1B7ED3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222</w:t>
            </w:r>
          </w:p>
        </w:tc>
        <w:tc>
          <w:tcPr>
            <w:tcW w:w="871" w:type="pct"/>
            <w:tcBorders>
              <w:tl2br w:val="nil"/>
              <w:tr2bl w:val="nil"/>
            </w:tcBorders>
            <w:vAlign w:val="center"/>
          </w:tcPr>
          <w:p w14:paraId="73ADDB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640</w:t>
            </w:r>
          </w:p>
        </w:tc>
        <w:tc>
          <w:tcPr>
            <w:tcW w:w="870" w:type="pct"/>
            <w:tcBorders>
              <w:tl2br w:val="nil"/>
              <w:tr2bl w:val="nil"/>
            </w:tcBorders>
            <w:vAlign w:val="center"/>
          </w:tcPr>
          <w:p w14:paraId="7452BA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640</w:t>
            </w:r>
          </w:p>
        </w:tc>
        <w:tc>
          <w:tcPr>
            <w:tcW w:w="873" w:type="pct"/>
            <w:tcBorders>
              <w:tl2br w:val="nil"/>
              <w:tr2bl w:val="nil"/>
            </w:tcBorders>
            <w:vAlign w:val="center"/>
          </w:tcPr>
          <w:p w14:paraId="0CA693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640</w:t>
            </w:r>
          </w:p>
        </w:tc>
      </w:tr>
      <w:tr w14:paraId="3E85A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5EA925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35</w:t>
            </w:r>
          </w:p>
        </w:tc>
        <w:tc>
          <w:tcPr>
            <w:tcW w:w="1067" w:type="pct"/>
            <w:tcBorders>
              <w:tl2br w:val="nil"/>
              <w:tr2bl w:val="nil"/>
            </w:tcBorders>
            <w:vAlign w:val="center"/>
          </w:tcPr>
          <w:p w14:paraId="6D629C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硝基苯</w:t>
            </w:r>
          </w:p>
        </w:tc>
        <w:tc>
          <w:tcPr>
            <w:tcW w:w="871" w:type="pct"/>
            <w:tcBorders>
              <w:tl2br w:val="nil"/>
              <w:tr2bl w:val="nil"/>
            </w:tcBorders>
            <w:vAlign w:val="center"/>
          </w:tcPr>
          <w:p w14:paraId="1D0166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w:t>
            </w:r>
          </w:p>
        </w:tc>
        <w:tc>
          <w:tcPr>
            <w:tcW w:w="871" w:type="pct"/>
            <w:tcBorders>
              <w:tl2br w:val="nil"/>
              <w:tr2bl w:val="nil"/>
            </w:tcBorders>
            <w:vAlign w:val="center"/>
          </w:tcPr>
          <w:p w14:paraId="136076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76</w:t>
            </w:r>
          </w:p>
        </w:tc>
        <w:tc>
          <w:tcPr>
            <w:tcW w:w="870" w:type="pct"/>
            <w:tcBorders>
              <w:tl2br w:val="nil"/>
              <w:tr2bl w:val="nil"/>
            </w:tcBorders>
            <w:vAlign w:val="center"/>
          </w:tcPr>
          <w:p w14:paraId="3D8301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190</w:t>
            </w:r>
          </w:p>
        </w:tc>
        <w:tc>
          <w:tcPr>
            <w:tcW w:w="873" w:type="pct"/>
            <w:tcBorders>
              <w:tl2br w:val="nil"/>
              <w:tr2bl w:val="nil"/>
            </w:tcBorders>
            <w:vAlign w:val="center"/>
          </w:tcPr>
          <w:p w14:paraId="0DCD7A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760</w:t>
            </w:r>
          </w:p>
        </w:tc>
      </w:tr>
      <w:tr w14:paraId="6112E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3B86F0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36</w:t>
            </w:r>
          </w:p>
        </w:tc>
        <w:tc>
          <w:tcPr>
            <w:tcW w:w="1067" w:type="pct"/>
            <w:tcBorders>
              <w:tl2br w:val="nil"/>
              <w:tr2bl w:val="nil"/>
            </w:tcBorders>
            <w:vAlign w:val="center"/>
          </w:tcPr>
          <w:p w14:paraId="259E1B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苯胺</w:t>
            </w:r>
          </w:p>
        </w:tc>
        <w:tc>
          <w:tcPr>
            <w:tcW w:w="871" w:type="pct"/>
            <w:tcBorders>
              <w:tl2br w:val="nil"/>
              <w:tr2bl w:val="nil"/>
            </w:tcBorders>
            <w:vAlign w:val="center"/>
          </w:tcPr>
          <w:p w14:paraId="20FD4D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92</w:t>
            </w:r>
          </w:p>
        </w:tc>
        <w:tc>
          <w:tcPr>
            <w:tcW w:w="871" w:type="pct"/>
            <w:tcBorders>
              <w:tl2br w:val="nil"/>
              <w:tr2bl w:val="nil"/>
            </w:tcBorders>
            <w:vAlign w:val="center"/>
          </w:tcPr>
          <w:p w14:paraId="267F16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260</w:t>
            </w:r>
          </w:p>
        </w:tc>
        <w:tc>
          <w:tcPr>
            <w:tcW w:w="870" w:type="pct"/>
            <w:tcBorders>
              <w:tl2br w:val="nil"/>
              <w:tr2bl w:val="nil"/>
            </w:tcBorders>
            <w:vAlign w:val="center"/>
          </w:tcPr>
          <w:p w14:paraId="1F1FD9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211</w:t>
            </w:r>
          </w:p>
        </w:tc>
        <w:tc>
          <w:tcPr>
            <w:tcW w:w="873" w:type="pct"/>
            <w:tcBorders>
              <w:tl2br w:val="nil"/>
              <w:tr2bl w:val="nil"/>
            </w:tcBorders>
            <w:vAlign w:val="center"/>
          </w:tcPr>
          <w:p w14:paraId="50E0C9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663</w:t>
            </w:r>
          </w:p>
        </w:tc>
      </w:tr>
      <w:tr w14:paraId="18A40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548386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37</w:t>
            </w:r>
          </w:p>
        </w:tc>
        <w:tc>
          <w:tcPr>
            <w:tcW w:w="1067" w:type="pct"/>
            <w:tcBorders>
              <w:tl2br w:val="nil"/>
              <w:tr2bl w:val="nil"/>
            </w:tcBorders>
            <w:vAlign w:val="center"/>
          </w:tcPr>
          <w:p w14:paraId="27AD35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2-氯酚</w:t>
            </w:r>
          </w:p>
        </w:tc>
        <w:tc>
          <w:tcPr>
            <w:tcW w:w="871" w:type="pct"/>
            <w:tcBorders>
              <w:tl2br w:val="nil"/>
              <w:tr2bl w:val="nil"/>
            </w:tcBorders>
            <w:vAlign w:val="center"/>
          </w:tcPr>
          <w:p w14:paraId="61ACE1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w:t>
            </w:r>
          </w:p>
        </w:tc>
        <w:tc>
          <w:tcPr>
            <w:tcW w:w="871" w:type="pct"/>
            <w:tcBorders>
              <w:tl2br w:val="nil"/>
              <w:tr2bl w:val="nil"/>
            </w:tcBorders>
            <w:vAlign w:val="center"/>
          </w:tcPr>
          <w:p w14:paraId="503343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2256</w:t>
            </w:r>
          </w:p>
        </w:tc>
        <w:tc>
          <w:tcPr>
            <w:tcW w:w="870" w:type="pct"/>
            <w:tcBorders>
              <w:tl2br w:val="nil"/>
              <w:tr2bl w:val="nil"/>
            </w:tcBorders>
            <w:vAlign w:val="center"/>
          </w:tcPr>
          <w:p w14:paraId="7E3463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w:t>
            </w:r>
          </w:p>
        </w:tc>
        <w:tc>
          <w:tcPr>
            <w:tcW w:w="873" w:type="pct"/>
            <w:tcBorders>
              <w:tl2br w:val="nil"/>
              <w:tr2bl w:val="nil"/>
            </w:tcBorders>
            <w:vAlign w:val="center"/>
          </w:tcPr>
          <w:p w14:paraId="6FD0DA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4500</w:t>
            </w:r>
          </w:p>
        </w:tc>
      </w:tr>
      <w:tr w14:paraId="0C5FC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2E2902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w:t>
            </w:r>
          </w:p>
        </w:tc>
        <w:tc>
          <w:tcPr>
            <w:tcW w:w="1067" w:type="pct"/>
            <w:tcBorders>
              <w:tl2br w:val="nil"/>
              <w:tr2bl w:val="nil"/>
            </w:tcBorders>
            <w:vAlign w:val="center"/>
          </w:tcPr>
          <w:p w14:paraId="371124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苯并[a]蒽</w:t>
            </w:r>
          </w:p>
        </w:tc>
        <w:tc>
          <w:tcPr>
            <w:tcW w:w="871" w:type="pct"/>
            <w:tcBorders>
              <w:tl2br w:val="nil"/>
              <w:tr2bl w:val="nil"/>
            </w:tcBorders>
            <w:vAlign w:val="center"/>
          </w:tcPr>
          <w:p w14:paraId="404CE8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1" w:type="pct"/>
            <w:tcBorders>
              <w:tl2br w:val="nil"/>
              <w:tr2bl w:val="nil"/>
            </w:tcBorders>
            <w:vAlign w:val="center"/>
          </w:tcPr>
          <w:p w14:paraId="30C454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870" w:type="pct"/>
            <w:tcBorders>
              <w:tl2br w:val="nil"/>
              <w:tr2bl w:val="nil"/>
            </w:tcBorders>
            <w:vAlign w:val="center"/>
          </w:tcPr>
          <w:p w14:paraId="38AB13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3" w:type="pct"/>
            <w:tcBorders>
              <w:tl2br w:val="nil"/>
              <w:tr2bl w:val="nil"/>
            </w:tcBorders>
            <w:vAlign w:val="center"/>
          </w:tcPr>
          <w:p w14:paraId="63A0A0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151</w:t>
            </w:r>
          </w:p>
        </w:tc>
      </w:tr>
      <w:tr w14:paraId="6AAC2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18CFBF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39</w:t>
            </w:r>
          </w:p>
        </w:tc>
        <w:tc>
          <w:tcPr>
            <w:tcW w:w="1067" w:type="pct"/>
            <w:tcBorders>
              <w:tl2br w:val="nil"/>
              <w:tr2bl w:val="nil"/>
            </w:tcBorders>
            <w:vAlign w:val="center"/>
          </w:tcPr>
          <w:p w14:paraId="62DE62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苯并[a]芘</w:t>
            </w:r>
          </w:p>
        </w:tc>
        <w:tc>
          <w:tcPr>
            <w:tcW w:w="871" w:type="pct"/>
            <w:tcBorders>
              <w:tl2br w:val="nil"/>
              <w:tr2bl w:val="nil"/>
            </w:tcBorders>
            <w:vAlign w:val="center"/>
          </w:tcPr>
          <w:p w14:paraId="127FBE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0.55</w:t>
            </w:r>
          </w:p>
        </w:tc>
        <w:tc>
          <w:tcPr>
            <w:tcW w:w="871" w:type="pct"/>
            <w:tcBorders>
              <w:tl2br w:val="nil"/>
              <w:tr2bl w:val="nil"/>
            </w:tcBorders>
            <w:vAlign w:val="center"/>
          </w:tcPr>
          <w:p w14:paraId="11D578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870" w:type="pct"/>
            <w:tcBorders>
              <w:tl2br w:val="nil"/>
              <w:tr2bl w:val="nil"/>
            </w:tcBorders>
            <w:vAlign w:val="center"/>
          </w:tcPr>
          <w:p w14:paraId="0A7DD2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3" w:type="pct"/>
            <w:tcBorders>
              <w:tl2br w:val="nil"/>
              <w:tr2bl w:val="nil"/>
            </w:tcBorders>
            <w:vAlign w:val="center"/>
          </w:tcPr>
          <w:p w14:paraId="6C7221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r>
      <w:tr w14:paraId="69FEF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7921C9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1067" w:type="pct"/>
            <w:tcBorders>
              <w:tl2br w:val="nil"/>
              <w:tr2bl w:val="nil"/>
            </w:tcBorders>
            <w:vAlign w:val="center"/>
          </w:tcPr>
          <w:p w14:paraId="274789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苯并[b]荧蒽</w:t>
            </w:r>
          </w:p>
        </w:tc>
        <w:tc>
          <w:tcPr>
            <w:tcW w:w="871" w:type="pct"/>
            <w:tcBorders>
              <w:tl2br w:val="nil"/>
              <w:tr2bl w:val="nil"/>
            </w:tcBorders>
            <w:vAlign w:val="center"/>
          </w:tcPr>
          <w:p w14:paraId="69A75F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1" w:type="pct"/>
            <w:tcBorders>
              <w:tl2br w:val="nil"/>
              <w:tr2bl w:val="nil"/>
            </w:tcBorders>
            <w:vAlign w:val="center"/>
          </w:tcPr>
          <w:p w14:paraId="4F8054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870" w:type="pct"/>
            <w:tcBorders>
              <w:tl2br w:val="nil"/>
              <w:tr2bl w:val="nil"/>
            </w:tcBorders>
            <w:vAlign w:val="center"/>
          </w:tcPr>
          <w:p w14:paraId="5C188A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3" w:type="pct"/>
            <w:tcBorders>
              <w:tl2br w:val="nil"/>
              <w:tr2bl w:val="nil"/>
            </w:tcBorders>
            <w:vAlign w:val="center"/>
          </w:tcPr>
          <w:p w14:paraId="289617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151</w:t>
            </w:r>
          </w:p>
        </w:tc>
      </w:tr>
      <w:tr w14:paraId="542C5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7C4C97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41</w:t>
            </w:r>
          </w:p>
        </w:tc>
        <w:tc>
          <w:tcPr>
            <w:tcW w:w="1067" w:type="pct"/>
            <w:tcBorders>
              <w:tl2br w:val="nil"/>
              <w:tr2bl w:val="nil"/>
            </w:tcBorders>
            <w:vAlign w:val="center"/>
          </w:tcPr>
          <w:p w14:paraId="6B3F99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苯并[k]荧蒽</w:t>
            </w:r>
          </w:p>
        </w:tc>
        <w:tc>
          <w:tcPr>
            <w:tcW w:w="871" w:type="pct"/>
            <w:tcBorders>
              <w:tl2br w:val="nil"/>
              <w:tr2bl w:val="nil"/>
            </w:tcBorders>
            <w:vAlign w:val="center"/>
          </w:tcPr>
          <w:p w14:paraId="64C973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1" w:type="pct"/>
            <w:tcBorders>
              <w:tl2br w:val="nil"/>
              <w:tr2bl w:val="nil"/>
            </w:tcBorders>
            <w:vAlign w:val="center"/>
          </w:tcPr>
          <w:p w14:paraId="58ADA6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151</w:t>
            </w:r>
          </w:p>
        </w:tc>
        <w:tc>
          <w:tcPr>
            <w:tcW w:w="870" w:type="pct"/>
            <w:tcBorders>
              <w:tl2br w:val="nil"/>
              <w:tr2bl w:val="nil"/>
            </w:tcBorders>
            <w:vAlign w:val="center"/>
          </w:tcPr>
          <w:p w14:paraId="3E2D2D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550</w:t>
            </w:r>
          </w:p>
        </w:tc>
        <w:tc>
          <w:tcPr>
            <w:tcW w:w="873" w:type="pct"/>
            <w:tcBorders>
              <w:tl2br w:val="nil"/>
              <w:tr2bl w:val="nil"/>
            </w:tcBorders>
            <w:vAlign w:val="center"/>
          </w:tcPr>
          <w:p w14:paraId="44BA77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1500</w:t>
            </w:r>
          </w:p>
        </w:tc>
      </w:tr>
      <w:tr w14:paraId="14AA5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29D36F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42</w:t>
            </w:r>
          </w:p>
        </w:tc>
        <w:tc>
          <w:tcPr>
            <w:tcW w:w="1067" w:type="pct"/>
            <w:tcBorders>
              <w:tl2br w:val="nil"/>
              <w:tr2bl w:val="nil"/>
            </w:tcBorders>
            <w:vAlign w:val="center"/>
          </w:tcPr>
          <w:p w14:paraId="77EB09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䓛</w:t>
            </w:r>
          </w:p>
        </w:tc>
        <w:tc>
          <w:tcPr>
            <w:tcW w:w="871" w:type="pct"/>
            <w:tcBorders>
              <w:tl2br w:val="nil"/>
              <w:tr2bl w:val="nil"/>
            </w:tcBorders>
            <w:vAlign w:val="center"/>
          </w:tcPr>
          <w:p w14:paraId="7F7420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490</w:t>
            </w:r>
          </w:p>
        </w:tc>
        <w:tc>
          <w:tcPr>
            <w:tcW w:w="871" w:type="pct"/>
            <w:tcBorders>
              <w:tl2br w:val="nil"/>
              <w:tr2bl w:val="nil"/>
            </w:tcBorders>
            <w:vAlign w:val="center"/>
          </w:tcPr>
          <w:p w14:paraId="1F27EE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1293</w:t>
            </w:r>
          </w:p>
        </w:tc>
        <w:tc>
          <w:tcPr>
            <w:tcW w:w="870" w:type="pct"/>
            <w:tcBorders>
              <w:tl2br w:val="nil"/>
              <w:tr2bl w:val="nil"/>
            </w:tcBorders>
            <w:vAlign w:val="center"/>
          </w:tcPr>
          <w:p w14:paraId="40CDA3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4900</w:t>
            </w:r>
          </w:p>
        </w:tc>
        <w:tc>
          <w:tcPr>
            <w:tcW w:w="873" w:type="pct"/>
            <w:tcBorders>
              <w:tl2br w:val="nil"/>
              <w:tr2bl w:val="nil"/>
            </w:tcBorders>
            <w:vAlign w:val="center"/>
          </w:tcPr>
          <w:p w14:paraId="0E6FF7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12900</w:t>
            </w:r>
          </w:p>
        </w:tc>
      </w:tr>
      <w:tr w14:paraId="3A4A7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7B5CC2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43</w:t>
            </w:r>
          </w:p>
        </w:tc>
        <w:tc>
          <w:tcPr>
            <w:tcW w:w="1067" w:type="pct"/>
            <w:tcBorders>
              <w:tl2br w:val="nil"/>
              <w:tr2bl w:val="nil"/>
            </w:tcBorders>
            <w:vAlign w:val="center"/>
          </w:tcPr>
          <w:p w14:paraId="5F3E5C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二苯并[a,h]蒽</w:t>
            </w:r>
          </w:p>
        </w:tc>
        <w:tc>
          <w:tcPr>
            <w:tcW w:w="871" w:type="pct"/>
            <w:tcBorders>
              <w:tl2br w:val="nil"/>
              <w:tr2bl w:val="nil"/>
            </w:tcBorders>
            <w:vAlign w:val="center"/>
          </w:tcPr>
          <w:p w14:paraId="73EECD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0.55</w:t>
            </w:r>
          </w:p>
        </w:tc>
        <w:tc>
          <w:tcPr>
            <w:tcW w:w="871" w:type="pct"/>
            <w:tcBorders>
              <w:tl2br w:val="nil"/>
              <w:tr2bl w:val="nil"/>
            </w:tcBorders>
            <w:vAlign w:val="center"/>
          </w:tcPr>
          <w:p w14:paraId="46CE86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870" w:type="pct"/>
            <w:tcBorders>
              <w:tl2br w:val="nil"/>
              <w:tr2bl w:val="nil"/>
            </w:tcBorders>
            <w:vAlign w:val="center"/>
          </w:tcPr>
          <w:p w14:paraId="009FE6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3" w:type="pct"/>
            <w:tcBorders>
              <w:tl2br w:val="nil"/>
              <w:tr2bl w:val="nil"/>
            </w:tcBorders>
            <w:vAlign w:val="center"/>
          </w:tcPr>
          <w:p w14:paraId="5F10AE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r>
      <w:tr w14:paraId="2B14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72BC7E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44</w:t>
            </w:r>
          </w:p>
        </w:tc>
        <w:tc>
          <w:tcPr>
            <w:tcW w:w="1067" w:type="pct"/>
            <w:tcBorders>
              <w:tl2br w:val="nil"/>
              <w:tr2bl w:val="nil"/>
            </w:tcBorders>
            <w:vAlign w:val="center"/>
          </w:tcPr>
          <w:p w14:paraId="1929A9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茚并[1,2,3-cd]芘</w:t>
            </w:r>
          </w:p>
        </w:tc>
        <w:tc>
          <w:tcPr>
            <w:tcW w:w="871" w:type="pct"/>
            <w:tcBorders>
              <w:tl2br w:val="nil"/>
              <w:tr2bl w:val="nil"/>
            </w:tcBorders>
            <w:vAlign w:val="center"/>
          </w:tcPr>
          <w:p w14:paraId="10F460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1" w:type="pct"/>
            <w:tcBorders>
              <w:tl2br w:val="nil"/>
              <w:tr2bl w:val="nil"/>
            </w:tcBorders>
            <w:vAlign w:val="center"/>
          </w:tcPr>
          <w:p w14:paraId="18B8B2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870" w:type="pct"/>
            <w:tcBorders>
              <w:tl2br w:val="nil"/>
              <w:tr2bl w:val="nil"/>
            </w:tcBorders>
            <w:vAlign w:val="center"/>
          </w:tcPr>
          <w:p w14:paraId="0294B7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873" w:type="pct"/>
            <w:tcBorders>
              <w:tl2br w:val="nil"/>
              <w:tr2bl w:val="nil"/>
            </w:tcBorders>
            <w:vAlign w:val="center"/>
          </w:tcPr>
          <w:p w14:paraId="44FEEA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151</w:t>
            </w:r>
          </w:p>
        </w:tc>
      </w:tr>
      <w:tr w14:paraId="02B5E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47" w:type="pct"/>
            <w:tcBorders>
              <w:tl2br w:val="nil"/>
              <w:tr2bl w:val="nil"/>
            </w:tcBorders>
            <w:vAlign w:val="center"/>
          </w:tcPr>
          <w:p w14:paraId="245C23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w:t>
            </w:r>
          </w:p>
        </w:tc>
        <w:tc>
          <w:tcPr>
            <w:tcW w:w="1067" w:type="pct"/>
            <w:tcBorders>
              <w:tl2br w:val="nil"/>
              <w:tr2bl w:val="nil"/>
            </w:tcBorders>
            <w:vAlign w:val="center"/>
          </w:tcPr>
          <w:p w14:paraId="194462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萘</w:t>
            </w:r>
          </w:p>
        </w:tc>
        <w:tc>
          <w:tcPr>
            <w:tcW w:w="871" w:type="pct"/>
            <w:tcBorders>
              <w:tl2br w:val="nil"/>
              <w:tr2bl w:val="nil"/>
            </w:tcBorders>
            <w:vAlign w:val="center"/>
          </w:tcPr>
          <w:p w14:paraId="3F1CAF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w:t>
            </w:r>
          </w:p>
        </w:tc>
        <w:tc>
          <w:tcPr>
            <w:tcW w:w="871" w:type="pct"/>
            <w:tcBorders>
              <w:tl2br w:val="nil"/>
              <w:tr2bl w:val="nil"/>
            </w:tcBorders>
            <w:vAlign w:val="center"/>
          </w:tcPr>
          <w:p w14:paraId="42EE26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w:t>
            </w:r>
          </w:p>
        </w:tc>
        <w:tc>
          <w:tcPr>
            <w:tcW w:w="870" w:type="pct"/>
            <w:tcBorders>
              <w:tl2br w:val="nil"/>
              <w:tr2bl w:val="nil"/>
            </w:tcBorders>
            <w:vAlign w:val="center"/>
          </w:tcPr>
          <w:p w14:paraId="34F15D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255</w:t>
            </w:r>
          </w:p>
        </w:tc>
        <w:tc>
          <w:tcPr>
            <w:tcW w:w="873" w:type="pct"/>
            <w:tcBorders>
              <w:tl2br w:val="nil"/>
              <w:tr2bl w:val="nil"/>
            </w:tcBorders>
            <w:vAlign w:val="center"/>
          </w:tcPr>
          <w:p w14:paraId="7A5785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700</w:t>
            </w:r>
          </w:p>
        </w:tc>
      </w:tr>
    </w:tbl>
    <w:p w14:paraId="51783CE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2.3.4.5 </w:t>
      </w:r>
      <w:r>
        <w:rPr>
          <w:rFonts w:hint="eastAsia" w:ascii="Times New Roman" w:hAnsi="Times New Roman" w:eastAsia="宋体" w:cs="Times New Roman"/>
          <w:b/>
          <w:bCs w:val="0"/>
          <w:color w:val="auto"/>
          <w:sz w:val="24"/>
          <w:szCs w:val="24"/>
        </w:rPr>
        <w:t>污染物排放标准</w:t>
      </w:r>
    </w:p>
    <w:p w14:paraId="36C549F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1、大气污染物排放标准</w:t>
      </w:r>
    </w:p>
    <w:p w14:paraId="6134841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FF0000"/>
          <w:vertAlign w:val="baseline"/>
          <w:lang w:val="en-US" w:eastAsia="zh-CN"/>
        </w:rPr>
      </w:pPr>
      <w:r>
        <w:rPr>
          <w:rFonts w:hint="eastAsia" w:ascii="Times New Roman" w:hAnsi="Times New Roman" w:eastAsia="宋体" w:cs="Times New Roman"/>
          <w:color w:val="FF0000"/>
          <w:lang w:val="en-US" w:eastAsia="zh-CN"/>
        </w:rPr>
        <w:t>本项目锅炉烟气烟尘、SO</w:t>
      </w:r>
      <w:r>
        <w:rPr>
          <w:rFonts w:hint="eastAsia" w:ascii="Times New Roman" w:hAnsi="Times New Roman" w:eastAsia="宋体" w:cs="Times New Roman"/>
          <w:color w:val="FF0000"/>
          <w:vertAlign w:val="subscript"/>
          <w:lang w:val="en-US" w:eastAsia="zh-CN"/>
        </w:rPr>
        <w:t>2</w:t>
      </w:r>
      <w:r>
        <w:rPr>
          <w:rFonts w:hint="eastAsia" w:ascii="Times New Roman" w:hAnsi="Times New Roman" w:eastAsia="宋体" w:cs="Times New Roman"/>
          <w:color w:val="FF0000"/>
          <w:lang w:val="en-US" w:eastAsia="zh-CN"/>
        </w:rPr>
        <w:t>、NO</w:t>
      </w:r>
      <w:r>
        <w:rPr>
          <w:rFonts w:hint="eastAsia" w:ascii="Times New Roman" w:hAnsi="Times New Roman" w:eastAsia="宋体" w:cs="Times New Roman"/>
          <w:color w:val="FF0000"/>
          <w:vertAlign w:val="subscript"/>
          <w:lang w:val="en-US" w:eastAsia="zh-CN"/>
        </w:rPr>
        <w:t>x</w:t>
      </w:r>
      <w:r>
        <w:rPr>
          <w:rFonts w:hint="eastAsia" w:ascii="Times New Roman" w:hAnsi="Times New Roman" w:eastAsia="宋体" w:cs="Times New Roman"/>
          <w:color w:val="FF0000"/>
          <w:vertAlign w:val="baseline"/>
          <w:lang w:val="en-US" w:eastAsia="zh-CN"/>
        </w:rPr>
        <w:t>、</w:t>
      </w:r>
      <w:r>
        <w:rPr>
          <w:rFonts w:hint="eastAsia" w:ascii="Times New Roman" w:hAnsi="Times New Roman" w:eastAsia="宋体" w:cs="Times New Roman"/>
          <w:color w:val="FF0000"/>
          <w:lang w:val="en-US" w:eastAsia="zh-CN"/>
        </w:rPr>
        <w:t>烟气黑度、汞及其化合物执行《锅炉大气污染物排放标准》（GB13271-2014）表2标准限值。厂界颗粒物执行《大气污染物综合排放标准》（GB16297-1996）表2无组织排放监控浓度限值；NH</w:t>
      </w:r>
      <w:r>
        <w:rPr>
          <w:rFonts w:hint="eastAsia" w:ascii="Times New Roman" w:hAnsi="Times New Roman" w:eastAsia="宋体" w:cs="Times New Roman"/>
          <w:color w:val="FF0000"/>
          <w:vertAlign w:val="subscript"/>
          <w:lang w:val="en-US" w:eastAsia="zh-CN"/>
        </w:rPr>
        <w:t>3</w:t>
      </w:r>
      <w:r>
        <w:rPr>
          <w:rFonts w:hint="eastAsia" w:ascii="Times New Roman" w:hAnsi="Times New Roman" w:eastAsia="宋体" w:cs="Times New Roman"/>
          <w:color w:val="FF0000"/>
          <w:lang w:val="en-US" w:eastAsia="zh-CN"/>
        </w:rPr>
        <w:t>排放执行《恶臭污染物排放标准》（GB14554-93）表2标准限值。</w:t>
      </w:r>
    </w:p>
    <w:p w14:paraId="1763A24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同时，</w:t>
      </w:r>
      <w:r>
        <w:rPr>
          <w:rFonts w:hint="eastAsia" w:ascii="Times New Roman" w:hAnsi="Times New Roman" w:eastAsia="宋体" w:cs="Times New Roman"/>
          <w:color w:val="FF0000"/>
          <w:lang w:val="en-US" w:eastAsia="zh-CN"/>
        </w:rPr>
        <w:t>本项目锅炉烟气现有措施处理能力优越，预留执行超低排放要求的升级空间。</w:t>
      </w:r>
      <w:r>
        <w:rPr>
          <w:rFonts w:hint="eastAsia" w:ascii="Times New Roman" w:hAnsi="Times New Roman" w:eastAsia="宋体" w:cs="Times New Roman"/>
          <w:color w:val="auto"/>
          <w:lang w:val="en-US" w:eastAsia="zh-CN"/>
        </w:rPr>
        <w:t>即锅炉烟气中排放的烟尘、SO</w:t>
      </w:r>
      <w:r>
        <w:rPr>
          <w:rFonts w:hint="eastAsia" w:ascii="Times New Roman" w:hAnsi="Times New Roman" w:eastAsia="宋体" w:cs="Times New Roman"/>
          <w:color w:val="auto"/>
          <w:vertAlign w:val="subscript"/>
          <w:lang w:val="en-US" w:eastAsia="zh-CN"/>
        </w:rPr>
        <w:t>2</w:t>
      </w:r>
      <w:r>
        <w:rPr>
          <w:rFonts w:hint="eastAsia" w:ascii="Times New Roman" w:hAnsi="Times New Roman" w:eastAsia="宋体" w:cs="Times New Roman"/>
          <w:color w:val="auto"/>
          <w:lang w:val="en-US" w:eastAsia="zh-CN"/>
        </w:rPr>
        <w:t>、NO</w:t>
      </w:r>
      <w:r>
        <w:rPr>
          <w:rFonts w:hint="eastAsia" w:ascii="Times New Roman" w:hAnsi="Times New Roman" w:eastAsia="宋体" w:cs="Times New Roman"/>
          <w:color w:val="auto"/>
          <w:vertAlign w:val="subscript"/>
          <w:lang w:val="en-US" w:eastAsia="zh-CN"/>
        </w:rPr>
        <w:t>x</w:t>
      </w:r>
      <w:r>
        <w:rPr>
          <w:rFonts w:hint="eastAsia" w:ascii="Times New Roman" w:hAnsi="Times New Roman" w:eastAsia="宋体" w:cs="Times New Roman"/>
          <w:color w:val="auto"/>
          <w:lang w:val="en-US" w:eastAsia="zh-CN"/>
        </w:rPr>
        <w:t>浓度要满足《关于印发&lt;全面实施燃煤电厂超低排放和节能改造工作方案&gt;的通知》（环发〔2015〕164号）要求，达到超低排放限值（</w:t>
      </w:r>
      <w:r>
        <w:rPr>
          <w:rFonts w:hint="eastAsia" w:ascii="Times New Roman" w:hAnsi="Times New Roman" w:eastAsia="宋体" w:cs="Times New Roman"/>
          <w:color w:val="FF0000"/>
          <w:lang w:val="en-US" w:eastAsia="zh-CN"/>
        </w:rPr>
        <w:t>在基准氧含量9%条件下</w:t>
      </w:r>
      <w:r>
        <w:rPr>
          <w:rFonts w:hint="eastAsia" w:ascii="Times New Roman" w:hAnsi="Times New Roman" w:eastAsia="宋体" w:cs="Times New Roman"/>
          <w:color w:val="auto"/>
          <w:lang w:val="en-US" w:eastAsia="zh-CN"/>
        </w:rPr>
        <w:t>，烟尘、SO</w:t>
      </w:r>
      <w:r>
        <w:rPr>
          <w:rFonts w:hint="eastAsia" w:ascii="Times New Roman" w:hAnsi="Times New Roman" w:eastAsia="宋体" w:cs="Times New Roman"/>
          <w:color w:val="auto"/>
          <w:vertAlign w:val="subscript"/>
          <w:lang w:val="en-US" w:eastAsia="zh-CN"/>
        </w:rPr>
        <w:t>2</w:t>
      </w:r>
      <w:r>
        <w:rPr>
          <w:rFonts w:hint="eastAsia" w:ascii="Times New Roman" w:hAnsi="Times New Roman" w:eastAsia="宋体" w:cs="Times New Roman"/>
          <w:color w:val="auto"/>
          <w:lang w:val="en-US" w:eastAsia="zh-CN"/>
        </w:rPr>
        <w:t>、NO</w:t>
      </w:r>
      <w:r>
        <w:rPr>
          <w:rFonts w:hint="eastAsia" w:ascii="Times New Roman" w:hAnsi="Times New Roman" w:eastAsia="宋体" w:cs="Times New Roman"/>
          <w:color w:val="auto"/>
          <w:vertAlign w:val="subscript"/>
          <w:lang w:val="en-US" w:eastAsia="zh-CN"/>
        </w:rPr>
        <w:t>x</w:t>
      </w:r>
      <w:r>
        <w:rPr>
          <w:rFonts w:hint="eastAsia" w:ascii="Times New Roman" w:hAnsi="Times New Roman" w:eastAsia="宋体" w:cs="Times New Roman"/>
          <w:color w:val="auto"/>
          <w:lang w:val="en-US" w:eastAsia="zh-CN"/>
        </w:rPr>
        <w:t>排放浓度分别不高于10mg/m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、35mg/m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、50mg/m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）要求，烟气黑度、汞及其化合物执行《锅炉大气污染物排放标准》（GB13271-2014）表2标准限值；厂界颗粒物执行《大气污染物综合排放标准》（GB16297-1996）表2无组织排放监控浓度限值；NH</w:t>
      </w:r>
      <w:r>
        <w:rPr>
          <w:rFonts w:hint="eastAsia" w:ascii="Times New Roman" w:hAnsi="Times New Roman" w:eastAsia="宋体" w:cs="Times New Roman"/>
          <w:color w:val="auto"/>
          <w:vertAlign w:val="subscript"/>
          <w:lang w:val="en-US" w:eastAsia="zh-CN"/>
        </w:rPr>
        <w:t>3</w:t>
      </w:r>
      <w:r>
        <w:rPr>
          <w:rFonts w:hint="eastAsia" w:ascii="Times New Roman" w:hAnsi="Times New Roman" w:eastAsia="宋体" w:cs="Times New Roman"/>
          <w:color w:val="auto"/>
          <w:lang w:val="en-US" w:eastAsia="zh-CN"/>
        </w:rPr>
        <w:t>排放执行《恶臭污染物排放标准》（GB14554-93）表2标准限值。具体标准限值见表2.3-8。</w:t>
      </w:r>
    </w:p>
    <w:p w14:paraId="42FA2B3C">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w:t>
      </w:r>
      <w:r>
        <w:rPr>
          <w:rFonts w:hint="eastAsia" w:ascii="Times New Roman" w:hAnsi="Times New Roman" w:eastAsia="宋体" w:cs="Times New Roman"/>
          <w:b/>
          <w:bCs/>
          <w:color w:val="auto"/>
          <w:sz w:val="24"/>
          <w:szCs w:val="24"/>
          <w:lang w:eastAsia="zh-CN"/>
        </w:rPr>
        <w:t>8</w:t>
      </w:r>
      <w:r>
        <w:rPr>
          <w:rFonts w:hint="default" w:ascii="Times New Roman" w:hAnsi="Times New Roman" w:eastAsia="宋体" w:cs="Times New Roman"/>
          <w:b/>
          <w:bCs/>
          <w:color w:val="auto"/>
          <w:sz w:val="24"/>
          <w:szCs w:val="24"/>
          <w:lang w:eastAsia="zh-CN"/>
        </w:rPr>
        <w:t xml:space="preserve">  废气污染物排放标准</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6"/>
        <w:gridCol w:w="1263"/>
        <w:gridCol w:w="849"/>
        <w:gridCol w:w="1134"/>
        <w:gridCol w:w="3880"/>
      </w:tblGrid>
      <w:tr w14:paraId="54D1D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tcBorders>
              <w:tl2br w:val="nil"/>
              <w:tr2bl w:val="nil"/>
            </w:tcBorders>
            <w:vAlign w:val="center"/>
          </w:tcPr>
          <w:p w14:paraId="2100B8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污染源类型</w:t>
            </w:r>
          </w:p>
        </w:tc>
        <w:tc>
          <w:tcPr>
            <w:tcW w:w="741" w:type="pct"/>
            <w:tcBorders>
              <w:tl2br w:val="nil"/>
              <w:tr2bl w:val="nil"/>
            </w:tcBorders>
            <w:vAlign w:val="center"/>
          </w:tcPr>
          <w:p w14:paraId="728336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污染物</w:t>
            </w:r>
          </w:p>
        </w:tc>
        <w:tc>
          <w:tcPr>
            <w:tcW w:w="498" w:type="pct"/>
            <w:tcBorders>
              <w:tl2br w:val="nil"/>
              <w:tr2bl w:val="nil"/>
            </w:tcBorders>
            <w:vAlign w:val="center"/>
          </w:tcPr>
          <w:p w14:paraId="2335C2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单位</w:t>
            </w:r>
          </w:p>
        </w:tc>
        <w:tc>
          <w:tcPr>
            <w:tcW w:w="665" w:type="pct"/>
            <w:tcBorders>
              <w:tl2br w:val="nil"/>
              <w:tr2bl w:val="nil"/>
            </w:tcBorders>
            <w:vAlign w:val="center"/>
          </w:tcPr>
          <w:p w14:paraId="30E60D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标准限值</w:t>
            </w:r>
          </w:p>
        </w:tc>
        <w:tc>
          <w:tcPr>
            <w:tcW w:w="2276" w:type="pct"/>
            <w:tcBorders>
              <w:tl2br w:val="nil"/>
              <w:tr2bl w:val="nil"/>
            </w:tcBorders>
            <w:vAlign w:val="center"/>
          </w:tcPr>
          <w:p w14:paraId="670541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标准来源</w:t>
            </w:r>
          </w:p>
        </w:tc>
      </w:tr>
      <w:tr w14:paraId="5B0EC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restart"/>
            <w:tcBorders>
              <w:tl2br w:val="nil"/>
              <w:tr2bl w:val="nil"/>
            </w:tcBorders>
            <w:vAlign w:val="center"/>
          </w:tcPr>
          <w:p w14:paraId="25432E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新建燃煤锅炉</w:t>
            </w:r>
          </w:p>
        </w:tc>
        <w:tc>
          <w:tcPr>
            <w:tcW w:w="741" w:type="pct"/>
            <w:tcBorders>
              <w:tl2br w:val="nil"/>
              <w:tr2bl w:val="nil"/>
            </w:tcBorders>
            <w:vAlign w:val="center"/>
          </w:tcPr>
          <w:p w14:paraId="3CD8014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烟尘</w:t>
            </w:r>
          </w:p>
        </w:tc>
        <w:tc>
          <w:tcPr>
            <w:tcW w:w="498" w:type="pct"/>
            <w:tcBorders>
              <w:tl2br w:val="nil"/>
              <w:tr2bl w:val="nil"/>
            </w:tcBorders>
            <w:vAlign w:val="center"/>
          </w:tcPr>
          <w:p w14:paraId="6C66D54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2A95C1F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2276" w:type="pct"/>
            <w:vMerge w:val="restart"/>
            <w:tcBorders>
              <w:tl2br w:val="nil"/>
              <w:tr2bl w:val="nil"/>
            </w:tcBorders>
            <w:vAlign w:val="center"/>
          </w:tcPr>
          <w:p w14:paraId="1B1BAE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《锅炉大气污染物排放标准》（GB13271-2014）表2标准限值</w:t>
            </w:r>
          </w:p>
        </w:tc>
      </w:tr>
      <w:tr w14:paraId="0BC5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continue"/>
            <w:tcBorders>
              <w:tl2br w:val="nil"/>
              <w:tr2bl w:val="nil"/>
            </w:tcBorders>
            <w:vAlign w:val="center"/>
          </w:tcPr>
          <w:p w14:paraId="40D6EC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6BEA801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SO</w:t>
            </w:r>
            <w:r>
              <w:rPr>
                <w:rFonts w:hint="eastAsia" w:ascii="Times New Roman" w:hAnsi="Times New Roman" w:eastAsia="宋体" w:cs="Times New Roman"/>
                <w:color w:val="auto"/>
                <w:sz w:val="21"/>
                <w:szCs w:val="21"/>
                <w:vertAlign w:val="subscript"/>
                <w:lang w:val="en-US" w:eastAsia="zh-CN"/>
              </w:rPr>
              <w:t>2</w:t>
            </w:r>
          </w:p>
        </w:tc>
        <w:tc>
          <w:tcPr>
            <w:tcW w:w="498" w:type="pct"/>
            <w:tcBorders>
              <w:tl2br w:val="nil"/>
              <w:tr2bl w:val="nil"/>
            </w:tcBorders>
            <w:vAlign w:val="center"/>
          </w:tcPr>
          <w:p w14:paraId="7337EA4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2A12EB4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c>
          <w:tcPr>
            <w:tcW w:w="2276" w:type="pct"/>
            <w:vMerge w:val="continue"/>
            <w:tcBorders>
              <w:tl2br w:val="nil"/>
              <w:tr2bl w:val="nil"/>
            </w:tcBorders>
            <w:vAlign w:val="center"/>
          </w:tcPr>
          <w:p w14:paraId="653256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6ADF0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continue"/>
            <w:tcBorders>
              <w:tl2br w:val="nil"/>
              <w:tr2bl w:val="nil"/>
            </w:tcBorders>
            <w:vAlign w:val="center"/>
          </w:tcPr>
          <w:p w14:paraId="6FA026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124A75A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NO</w:t>
            </w:r>
            <w:r>
              <w:rPr>
                <w:rFonts w:hint="eastAsia" w:eastAsia="宋体" w:cs="Times New Roman"/>
                <w:color w:val="auto"/>
                <w:sz w:val="21"/>
                <w:szCs w:val="21"/>
                <w:vertAlign w:val="subscript"/>
                <w:lang w:val="en-US" w:eastAsia="zh-CN"/>
              </w:rPr>
              <w:t>x</w:t>
            </w:r>
          </w:p>
        </w:tc>
        <w:tc>
          <w:tcPr>
            <w:tcW w:w="498" w:type="pct"/>
            <w:tcBorders>
              <w:tl2br w:val="nil"/>
              <w:tr2bl w:val="nil"/>
            </w:tcBorders>
            <w:vAlign w:val="center"/>
          </w:tcPr>
          <w:p w14:paraId="7F70025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649D7E8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c>
          <w:tcPr>
            <w:tcW w:w="2276" w:type="pct"/>
            <w:vMerge w:val="continue"/>
            <w:tcBorders>
              <w:tl2br w:val="nil"/>
              <w:tr2bl w:val="nil"/>
            </w:tcBorders>
            <w:vAlign w:val="center"/>
          </w:tcPr>
          <w:p w14:paraId="7F440F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4ACF4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continue"/>
            <w:tcBorders>
              <w:tl2br w:val="nil"/>
              <w:tr2bl w:val="nil"/>
            </w:tcBorders>
            <w:vAlign w:val="center"/>
          </w:tcPr>
          <w:p w14:paraId="37E9BA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13F2F12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烟气黑度</w:t>
            </w:r>
          </w:p>
        </w:tc>
        <w:tc>
          <w:tcPr>
            <w:tcW w:w="498" w:type="pct"/>
            <w:tcBorders>
              <w:tl2br w:val="nil"/>
              <w:tr2bl w:val="nil"/>
            </w:tcBorders>
            <w:vAlign w:val="center"/>
          </w:tcPr>
          <w:p w14:paraId="3D80F4E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665" w:type="pct"/>
            <w:tcBorders>
              <w:tl2br w:val="nil"/>
              <w:tr2bl w:val="nil"/>
            </w:tcBorders>
            <w:vAlign w:val="center"/>
          </w:tcPr>
          <w:p w14:paraId="170902E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2276" w:type="pct"/>
            <w:vMerge w:val="continue"/>
            <w:tcBorders>
              <w:tl2br w:val="nil"/>
              <w:tr2bl w:val="nil"/>
            </w:tcBorders>
            <w:vAlign w:val="center"/>
          </w:tcPr>
          <w:p w14:paraId="60A2C0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0E3EF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continue"/>
            <w:tcBorders>
              <w:tl2br w:val="nil"/>
              <w:tr2bl w:val="nil"/>
            </w:tcBorders>
            <w:vAlign w:val="center"/>
          </w:tcPr>
          <w:p w14:paraId="6E4BA3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74AEE53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汞及其化合物</w:t>
            </w:r>
          </w:p>
        </w:tc>
        <w:tc>
          <w:tcPr>
            <w:tcW w:w="498" w:type="pct"/>
            <w:tcBorders>
              <w:tl2br w:val="nil"/>
              <w:tr2bl w:val="nil"/>
            </w:tcBorders>
            <w:vAlign w:val="center"/>
          </w:tcPr>
          <w:p w14:paraId="42A79EB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61B3017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2276" w:type="pct"/>
            <w:vMerge w:val="continue"/>
            <w:tcBorders>
              <w:tl2br w:val="nil"/>
              <w:tr2bl w:val="nil"/>
            </w:tcBorders>
            <w:vAlign w:val="center"/>
          </w:tcPr>
          <w:p w14:paraId="6828B6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795C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restart"/>
            <w:tcBorders>
              <w:tl2br w:val="nil"/>
              <w:tr2bl w:val="nil"/>
            </w:tcBorders>
            <w:vAlign w:val="center"/>
          </w:tcPr>
          <w:p w14:paraId="79D030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燃煤锅炉</w:t>
            </w:r>
            <w:r>
              <w:rPr>
                <w:rFonts w:hint="eastAsia" w:eastAsia="宋体" w:cs="Times New Roman"/>
                <w:color w:val="auto"/>
                <w:sz w:val="21"/>
                <w:szCs w:val="21"/>
                <w:lang w:val="en-US" w:eastAsia="zh-CN"/>
              </w:rPr>
              <w:t>预留升级执行标准</w:t>
            </w:r>
          </w:p>
        </w:tc>
        <w:tc>
          <w:tcPr>
            <w:tcW w:w="741" w:type="pct"/>
            <w:tcBorders>
              <w:tl2br w:val="nil"/>
              <w:tr2bl w:val="nil"/>
            </w:tcBorders>
            <w:vAlign w:val="center"/>
          </w:tcPr>
          <w:p w14:paraId="5CFE5E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烟尘</w:t>
            </w:r>
          </w:p>
        </w:tc>
        <w:tc>
          <w:tcPr>
            <w:tcW w:w="498" w:type="pct"/>
            <w:tcBorders>
              <w:tl2br w:val="nil"/>
              <w:tr2bl w:val="nil"/>
            </w:tcBorders>
            <w:vAlign w:val="center"/>
          </w:tcPr>
          <w:p w14:paraId="241E9B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062D8B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2276" w:type="pct"/>
            <w:vMerge w:val="restart"/>
            <w:tcBorders>
              <w:tl2br w:val="nil"/>
              <w:tr2bl w:val="nil"/>
            </w:tcBorders>
            <w:vAlign w:val="center"/>
          </w:tcPr>
          <w:p w14:paraId="4E5695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《关于印发&lt;全面实施燃煤电厂超低排放和节能改造工作方案&gt;的通知》（环发〔2015〕164号）要求</w:t>
            </w:r>
          </w:p>
        </w:tc>
      </w:tr>
      <w:tr w14:paraId="5D4CC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continue"/>
            <w:tcBorders>
              <w:tl2br w:val="nil"/>
              <w:tr2bl w:val="nil"/>
            </w:tcBorders>
            <w:vAlign w:val="center"/>
          </w:tcPr>
          <w:p w14:paraId="77125F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173F51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SO</w:t>
            </w:r>
            <w:r>
              <w:rPr>
                <w:rFonts w:hint="eastAsia" w:ascii="Times New Roman" w:hAnsi="Times New Roman" w:eastAsia="宋体" w:cs="Times New Roman"/>
                <w:color w:val="auto"/>
                <w:sz w:val="21"/>
                <w:szCs w:val="21"/>
                <w:vertAlign w:val="subscript"/>
                <w:lang w:val="en-US" w:eastAsia="zh-CN"/>
              </w:rPr>
              <w:t>2</w:t>
            </w:r>
          </w:p>
        </w:tc>
        <w:tc>
          <w:tcPr>
            <w:tcW w:w="498" w:type="pct"/>
            <w:tcBorders>
              <w:tl2br w:val="nil"/>
              <w:tr2bl w:val="nil"/>
            </w:tcBorders>
            <w:vAlign w:val="center"/>
          </w:tcPr>
          <w:p w14:paraId="4509FD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2EE6E9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35</w:t>
            </w:r>
          </w:p>
        </w:tc>
        <w:tc>
          <w:tcPr>
            <w:tcW w:w="2276" w:type="pct"/>
            <w:vMerge w:val="continue"/>
            <w:tcBorders>
              <w:tl2br w:val="nil"/>
              <w:tr2bl w:val="nil"/>
            </w:tcBorders>
            <w:vAlign w:val="center"/>
          </w:tcPr>
          <w:p w14:paraId="2D5A07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5190D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continue"/>
            <w:tcBorders>
              <w:tl2br w:val="nil"/>
              <w:tr2bl w:val="nil"/>
            </w:tcBorders>
            <w:vAlign w:val="center"/>
          </w:tcPr>
          <w:p w14:paraId="4A123E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00C39B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NO</w:t>
            </w:r>
            <w:r>
              <w:rPr>
                <w:rFonts w:hint="eastAsia" w:eastAsia="宋体" w:cs="Times New Roman"/>
                <w:color w:val="auto"/>
                <w:sz w:val="21"/>
                <w:szCs w:val="21"/>
                <w:vertAlign w:val="subscript"/>
                <w:lang w:val="en-US" w:eastAsia="zh-CN"/>
              </w:rPr>
              <w:t>x</w:t>
            </w:r>
          </w:p>
        </w:tc>
        <w:tc>
          <w:tcPr>
            <w:tcW w:w="498" w:type="pct"/>
            <w:tcBorders>
              <w:tl2br w:val="nil"/>
              <w:tr2bl w:val="nil"/>
            </w:tcBorders>
            <w:vAlign w:val="center"/>
          </w:tcPr>
          <w:p w14:paraId="15329B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79788A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2276" w:type="pct"/>
            <w:vMerge w:val="continue"/>
            <w:tcBorders>
              <w:tl2br w:val="nil"/>
              <w:tr2bl w:val="nil"/>
            </w:tcBorders>
            <w:vAlign w:val="center"/>
          </w:tcPr>
          <w:p w14:paraId="6AB862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5A8F6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9" w:type="pct"/>
            <w:vMerge w:val="continue"/>
            <w:tcBorders>
              <w:tl2br w:val="nil"/>
              <w:tr2bl w:val="nil"/>
            </w:tcBorders>
            <w:vAlign w:val="center"/>
          </w:tcPr>
          <w:p w14:paraId="1995EB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7C54DA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烟气黑度</w:t>
            </w:r>
          </w:p>
        </w:tc>
        <w:tc>
          <w:tcPr>
            <w:tcW w:w="498" w:type="pct"/>
            <w:tcBorders>
              <w:tl2br w:val="nil"/>
              <w:tr2bl w:val="nil"/>
            </w:tcBorders>
            <w:vAlign w:val="center"/>
          </w:tcPr>
          <w:p w14:paraId="373D5F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665" w:type="pct"/>
            <w:tcBorders>
              <w:tl2br w:val="nil"/>
              <w:tr2bl w:val="nil"/>
            </w:tcBorders>
            <w:vAlign w:val="center"/>
          </w:tcPr>
          <w:p w14:paraId="1F2259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2276" w:type="pct"/>
            <w:vMerge w:val="restart"/>
            <w:tcBorders>
              <w:tl2br w:val="nil"/>
              <w:tr2bl w:val="nil"/>
            </w:tcBorders>
            <w:vAlign w:val="center"/>
          </w:tcPr>
          <w:p w14:paraId="0124F4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《锅炉大气污染物排放标准》（GB13271-2014）表2标准限值</w:t>
            </w:r>
          </w:p>
        </w:tc>
      </w:tr>
      <w:tr w14:paraId="00A1D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9" w:type="pct"/>
            <w:vMerge w:val="continue"/>
            <w:tcBorders>
              <w:tl2br w:val="nil"/>
              <w:tr2bl w:val="nil"/>
            </w:tcBorders>
            <w:vAlign w:val="center"/>
          </w:tcPr>
          <w:p w14:paraId="110275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741" w:type="pct"/>
            <w:tcBorders>
              <w:tl2br w:val="nil"/>
              <w:tr2bl w:val="nil"/>
            </w:tcBorders>
            <w:vAlign w:val="center"/>
          </w:tcPr>
          <w:p w14:paraId="303977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汞及其化合物</w:t>
            </w:r>
          </w:p>
        </w:tc>
        <w:tc>
          <w:tcPr>
            <w:tcW w:w="498" w:type="pct"/>
            <w:tcBorders>
              <w:tl2br w:val="nil"/>
              <w:tr2bl w:val="nil"/>
            </w:tcBorders>
            <w:vAlign w:val="center"/>
          </w:tcPr>
          <w:p w14:paraId="3825C3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vAlign w:val="center"/>
          </w:tcPr>
          <w:p w14:paraId="1407F3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0.05</w:t>
            </w:r>
          </w:p>
        </w:tc>
        <w:tc>
          <w:tcPr>
            <w:tcW w:w="2276" w:type="pct"/>
            <w:vMerge w:val="continue"/>
            <w:tcBorders>
              <w:tl2br w:val="nil"/>
              <w:tr2bl w:val="nil"/>
            </w:tcBorders>
            <w:vAlign w:val="center"/>
          </w:tcPr>
          <w:p w14:paraId="240F89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1B6B0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5" w:hRule="atLeast"/>
          <w:jc w:val="center"/>
        </w:trPr>
        <w:tc>
          <w:tcPr>
            <w:tcW w:w="819" w:type="pct"/>
            <w:tcBorders>
              <w:tl2br w:val="nil"/>
              <w:tr2bl w:val="nil"/>
            </w:tcBorders>
            <w:vAlign w:val="center"/>
          </w:tcPr>
          <w:p w14:paraId="165AA3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无组织</w:t>
            </w:r>
          </w:p>
        </w:tc>
        <w:tc>
          <w:tcPr>
            <w:tcW w:w="741" w:type="pct"/>
            <w:tcBorders>
              <w:tl2br w:val="nil"/>
              <w:tr2bl w:val="nil"/>
            </w:tcBorders>
            <w:shd w:val="clear"/>
            <w:vAlign w:val="center"/>
          </w:tcPr>
          <w:p w14:paraId="78F16DD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颗粒物</w:t>
            </w:r>
          </w:p>
        </w:tc>
        <w:tc>
          <w:tcPr>
            <w:tcW w:w="498" w:type="pct"/>
            <w:tcBorders>
              <w:tl2br w:val="nil"/>
              <w:tr2bl w:val="nil"/>
            </w:tcBorders>
            <w:shd w:val="clear"/>
            <w:vAlign w:val="center"/>
          </w:tcPr>
          <w:p w14:paraId="090AFD0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mg/m</w:t>
            </w:r>
            <w:r>
              <w:rPr>
                <w:rFonts w:hint="eastAsia" w:ascii="Times New Roman" w:hAnsi="Times New Roman" w:eastAsia="宋体" w:cs="Times New Roman"/>
                <w:color w:val="auto"/>
                <w:sz w:val="21"/>
                <w:szCs w:val="21"/>
                <w:vertAlign w:val="superscript"/>
                <w:lang w:val="en-US" w:eastAsia="zh-CN"/>
              </w:rPr>
              <w:t>3</w:t>
            </w:r>
          </w:p>
        </w:tc>
        <w:tc>
          <w:tcPr>
            <w:tcW w:w="665" w:type="pct"/>
            <w:tcBorders>
              <w:tl2br w:val="nil"/>
              <w:tr2bl w:val="nil"/>
            </w:tcBorders>
            <w:shd w:val="clear"/>
            <w:vAlign w:val="center"/>
          </w:tcPr>
          <w:p w14:paraId="45E1481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1.0</w:t>
            </w:r>
          </w:p>
        </w:tc>
        <w:tc>
          <w:tcPr>
            <w:tcW w:w="2276" w:type="pct"/>
            <w:tcBorders>
              <w:tl2br w:val="nil"/>
              <w:tr2bl w:val="nil"/>
            </w:tcBorders>
            <w:shd w:val="clear"/>
            <w:vAlign w:val="center"/>
          </w:tcPr>
          <w:p w14:paraId="52522C3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《大气污染物综合排放标准》（GB16297-1996）表2无组织排放监控浓度限值</w:t>
            </w:r>
          </w:p>
        </w:tc>
      </w:tr>
    </w:tbl>
    <w:p w14:paraId="0FB9EB2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2、废水排放标准</w:t>
      </w:r>
    </w:p>
    <w:p w14:paraId="5D334E5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hint="default" w:ascii="Times New Roman" w:hAnsi="Times New Roman" w:eastAsia="宋体" w:cs="Times New Roman"/>
          <w:color w:val="auto"/>
          <w:szCs w:val="24"/>
        </w:rPr>
        <w:t>本项目生产废水全部回用</w:t>
      </w:r>
      <w:r>
        <w:rPr>
          <w:rFonts w:hint="eastAsia" w:ascii="Times New Roman" w:hAnsi="Times New Roman" w:eastAsia="宋体" w:cs="Times New Roman"/>
          <w:color w:val="auto"/>
          <w:szCs w:val="24"/>
        </w:rPr>
        <w:t>，</w:t>
      </w:r>
      <w:r>
        <w:rPr>
          <w:rFonts w:hint="default" w:ascii="Times New Roman" w:hAnsi="Times New Roman" w:eastAsia="宋体" w:cs="Times New Roman"/>
          <w:color w:val="auto"/>
          <w:szCs w:val="24"/>
        </w:rPr>
        <w:t>锅炉用水来自</w:t>
      </w:r>
      <w:r>
        <w:rPr>
          <w:rFonts w:hint="eastAsia" w:ascii="Times New Roman" w:hAnsi="Times New Roman" w:eastAsia="宋体" w:cs="Times New Roman"/>
          <w:color w:val="auto"/>
          <w:szCs w:val="24"/>
        </w:rPr>
        <w:t>市政管网自来水，</w:t>
      </w:r>
      <w:r>
        <w:rPr>
          <w:rFonts w:hint="default" w:ascii="Times New Roman" w:hAnsi="Times New Roman" w:eastAsia="宋体" w:cs="Times New Roman"/>
          <w:color w:val="auto"/>
          <w:szCs w:val="24"/>
        </w:rPr>
        <w:t>锅炉排污水</w:t>
      </w:r>
      <w:r>
        <w:rPr>
          <w:rFonts w:hint="eastAsia" w:ascii="Times New Roman" w:hAnsi="Times New Roman" w:eastAsia="宋体" w:cs="Times New Roman"/>
          <w:color w:val="auto"/>
          <w:szCs w:val="24"/>
          <w:lang w:val="en-US" w:eastAsia="zh-CN"/>
        </w:rPr>
        <w:t>风机冷却水等工业废水</w:t>
      </w:r>
      <w:r>
        <w:rPr>
          <w:rFonts w:hint="eastAsia" w:ascii="Times New Roman" w:hAnsi="Times New Roman" w:eastAsia="宋体" w:cs="Times New Roman"/>
          <w:color w:val="auto"/>
          <w:szCs w:val="24"/>
        </w:rPr>
        <w:t>排入</w:t>
      </w:r>
      <w:r>
        <w:rPr>
          <w:rFonts w:hint="eastAsia" w:ascii="Times New Roman" w:hAnsi="Times New Roman" w:eastAsia="宋体" w:cs="Times New Roman"/>
          <w:color w:val="auto"/>
          <w:szCs w:val="24"/>
          <w:lang w:eastAsia="zh-CN"/>
        </w:rPr>
        <w:t>地下沉淀池</w:t>
      </w:r>
      <w:r>
        <w:rPr>
          <w:rFonts w:hint="eastAsia" w:ascii="Times New Roman" w:hAnsi="Times New Roman" w:eastAsia="宋体" w:cs="Times New Roman"/>
          <w:color w:val="auto"/>
          <w:szCs w:val="24"/>
        </w:rPr>
        <w:t>后用于</w:t>
      </w:r>
      <w:r>
        <w:rPr>
          <w:rFonts w:hint="default" w:ascii="Times New Roman" w:hAnsi="Times New Roman" w:eastAsia="宋体" w:cs="Times New Roman"/>
          <w:color w:val="auto"/>
          <w:szCs w:val="24"/>
        </w:rPr>
        <w:t>输煤系统除尘、</w:t>
      </w:r>
      <w:r>
        <w:rPr>
          <w:rFonts w:hint="eastAsia" w:ascii="Times New Roman" w:hAnsi="Times New Roman" w:eastAsia="宋体" w:cs="Times New Roman"/>
          <w:color w:val="auto"/>
          <w:szCs w:val="24"/>
          <w:lang w:val="en-US" w:eastAsia="zh-CN"/>
        </w:rPr>
        <w:t>脱硫用水、</w:t>
      </w:r>
      <w:r>
        <w:rPr>
          <w:rFonts w:hint="default" w:ascii="Times New Roman" w:hAnsi="Times New Roman" w:eastAsia="宋体" w:cs="Times New Roman"/>
          <w:color w:val="auto"/>
          <w:szCs w:val="24"/>
        </w:rPr>
        <w:t>冷渣机用水、灰渣降尘，</w:t>
      </w:r>
      <w:r>
        <w:rPr>
          <w:rFonts w:hint="eastAsia" w:ascii="Times New Roman" w:hAnsi="Times New Roman" w:eastAsia="宋体" w:cs="Times New Roman"/>
          <w:color w:val="FF0000"/>
          <w:szCs w:val="24"/>
          <w:lang w:eastAsia="zh-CN"/>
        </w:rPr>
        <w:t>脱硫废水</w:t>
      </w:r>
      <w:r>
        <w:rPr>
          <w:rFonts w:hint="default" w:ascii="Times New Roman" w:hAnsi="Times New Roman" w:eastAsia="宋体" w:cs="Times New Roman"/>
          <w:color w:val="FF0000"/>
          <w:lang w:eastAsia="zh-CN"/>
        </w:rPr>
        <w:t>经循环池沉淀处理后冲渣使用</w:t>
      </w:r>
      <w:r>
        <w:rPr>
          <w:rFonts w:hint="eastAsia" w:ascii="Times New Roman" w:hAnsi="Times New Roman" w:eastAsia="宋体" w:cs="Times New Roman"/>
          <w:color w:val="FF0000"/>
          <w:szCs w:val="24"/>
          <w:lang w:eastAsia="zh-CN"/>
        </w:rPr>
        <w:t>，不外排，处理设施出口执行《污水综合排放标准》(GB8978-1996)</w:t>
      </w:r>
      <w:r>
        <w:rPr>
          <w:rFonts w:hint="eastAsia" w:ascii="Times New Roman" w:hAnsi="Times New Roman" w:eastAsia="宋体" w:cs="Times New Roman"/>
          <w:color w:val="FF0000"/>
          <w:szCs w:val="24"/>
          <w:lang w:val="en-US" w:eastAsia="zh-CN"/>
        </w:rPr>
        <w:t>表1重金属管控要求</w:t>
      </w:r>
      <w:r>
        <w:rPr>
          <w:rFonts w:hint="default" w:ascii="Times New Roman" w:hAnsi="Times New Roman" w:eastAsia="宋体" w:cs="Times New Roman"/>
          <w:color w:val="FF0000"/>
          <w:szCs w:val="24"/>
        </w:rPr>
        <w:t>。</w:t>
      </w:r>
      <w:r>
        <w:rPr>
          <w:rFonts w:hint="eastAsia" w:ascii="Times New Roman" w:hAnsi="Times New Roman" w:eastAsia="宋体" w:cs="Times New Roman"/>
          <w:color w:val="auto"/>
          <w:szCs w:val="24"/>
        </w:rPr>
        <w:t>本项目不新增工作人员，现有</w:t>
      </w:r>
      <w:r>
        <w:rPr>
          <w:rFonts w:hint="default" w:ascii="Times New Roman" w:hAnsi="Times New Roman" w:eastAsia="宋体" w:cs="Times New Roman"/>
          <w:color w:val="auto"/>
          <w:szCs w:val="24"/>
        </w:rPr>
        <w:t>生活污水</w:t>
      </w:r>
      <w:r>
        <w:rPr>
          <w:rFonts w:hint="eastAsia" w:ascii="Times New Roman" w:hAnsi="Times New Roman" w:eastAsia="宋体" w:cs="Times New Roman"/>
          <w:color w:val="auto"/>
          <w:szCs w:val="24"/>
        </w:rPr>
        <w:t>满足《污水综合排放标准》（GB8978-1996）</w:t>
      </w:r>
      <w:r>
        <w:rPr>
          <w:rFonts w:hint="eastAsia" w:ascii="Times New Roman" w:hAnsi="Times New Roman" w:eastAsia="宋体" w:cs="Times New Roman"/>
          <w:color w:val="auto"/>
          <w:szCs w:val="24"/>
          <w:lang w:val="en-US" w:eastAsia="zh-CN"/>
        </w:rPr>
        <w:t>三级标准，</w:t>
      </w:r>
      <w:r>
        <w:rPr>
          <w:rFonts w:hint="eastAsia" w:ascii="Times New Roman" w:hAnsi="Times New Roman" w:eastAsia="宋体" w:cs="Times New Roman"/>
          <w:color w:val="auto"/>
          <w:szCs w:val="24"/>
        </w:rPr>
        <w:t>通过</w:t>
      </w:r>
      <w:r>
        <w:rPr>
          <w:rFonts w:hint="default" w:ascii="Times New Roman" w:hAnsi="Times New Roman" w:eastAsia="宋体" w:cs="Times New Roman"/>
          <w:color w:val="auto"/>
          <w:szCs w:val="24"/>
        </w:rPr>
        <w:t>市政污水管网进入</w:t>
      </w:r>
      <w:r>
        <w:rPr>
          <w:rFonts w:hint="eastAsia" w:ascii="Times New Roman" w:hAnsi="Times New Roman" w:eastAsia="宋体" w:cs="Times New Roman"/>
          <w:color w:val="auto"/>
          <w:szCs w:val="24"/>
        </w:rPr>
        <w:t>八五二农场污水处理厂进行处理</w:t>
      </w:r>
      <w:r>
        <w:rPr>
          <w:rFonts w:hint="default" w:ascii="Times New Roman" w:hAnsi="Times New Roman" w:eastAsia="宋体" w:cs="Times New Roman"/>
          <w:color w:val="auto"/>
          <w:szCs w:val="24"/>
        </w:rPr>
        <w:t>，达到《城镇污水处理厂污染物排放标准》（GB18918-2002）中的一级A标准后，排水进入蛤蟆通河。</w:t>
      </w:r>
    </w:p>
    <w:p w14:paraId="4D77935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w:t>
      </w:r>
      <w:r>
        <w:rPr>
          <w:rFonts w:hint="eastAsia" w:ascii="Times New Roman" w:hAnsi="Times New Roman" w:eastAsia="宋体" w:cs="Times New Roman"/>
          <w:b/>
          <w:bCs/>
          <w:color w:val="auto"/>
          <w:sz w:val="24"/>
          <w:szCs w:val="24"/>
          <w:lang w:eastAsia="zh-CN"/>
        </w:rPr>
        <w:t>9</w:t>
      </w:r>
      <w:r>
        <w:rPr>
          <w:rFonts w:hint="default" w:ascii="Times New Roman" w:hAnsi="Times New Roman" w:eastAsia="宋体" w:cs="Times New Roman"/>
          <w:b/>
          <w:bCs/>
          <w:color w:val="auto"/>
          <w:sz w:val="24"/>
          <w:szCs w:val="24"/>
          <w:lang w:eastAsia="zh-CN"/>
        </w:rPr>
        <w:t xml:space="preserve">  本项目污染物排放标准表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6"/>
        <w:gridCol w:w="3956"/>
        <w:gridCol w:w="897"/>
        <w:gridCol w:w="1945"/>
        <w:gridCol w:w="1075"/>
      </w:tblGrid>
      <w:tr w14:paraId="495FA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restart"/>
            <w:tcBorders>
              <w:tl2br w:val="nil"/>
              <w:tr2bl w:val="nil"/>
            </w:tcBorders>
            <w:vAlign w:val="center"/>
          </w:tcPr>
          <w:p w14:paraId="752F31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类别</w:t>
            </w:r>
          </w:p>
        </w:tc>
        <w:tc>
          <w:tcPr>
            <w:tcW w:w="2321" w:type="pct"/>
            <w:vMerge w:val="restart"/>
            <w:tcBorders>
              <w:tl2br w:val="nil"/>
              <w:tr2bl w:val="nil"/>
            </w:tcBorders>
            <w:vAlign w:val="center"/>
          </w:tcPr>
          <w:p w14:paraId="21DE08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标准名称及级（类）别</w:t>
            </w:r>
          </w:p>
        </w:tc>
        <w:tc>
          <w:tcPr>
            <w:tcW w:w="526" w:type="pct"/>
            <w:vMerge w:val="restart"/>
            <w:tcBorders>
              <w:tl2br w:val="nil"/>
              <w:tr2bl w:val="nil"/>
            </w:tcBorders>
            <w:vAlign w:val="center"/>
          </w:tcPr>
          <w:p w14:paraId="1B5F74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因子</w:t>
            </w:r>
          </w:p>
        </w:tc>
        <w:tc>
          <w:tcPr>
            <w:tcW w:w="1772" w:type="pct"/>
            <w:gridSpan w:val="2"/>
            <w:tcBorders>
              <w:tl2br w:val="nil"/>
              <w:tr2bl w:val="nil"/>
            </w:tcBorders>
            <w:vAlign w:val="center"/>
          </w:tcPr>
          <w:p w14:paraId="33205B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标准值</w:t>
            </w:r>
          </w:p>
        </w:tc>
      </w:tr>
      <w:tr w14:paraId="7F9F0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4204B2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525CF9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vMerge w:val="continue"/>
            <w:tcBorders>
              <w:tl2br w:val="nil"/>
              <w:tr2bl w:val="nil"/>
            </w:tcBorders>
            <w:vAlign w:val="center"/>
          </w:tcPr>
          <w:p w14:paraId="1960D8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141" w:type="pct"/>
            <w:tcBorders>
              <w:tl2br w:val="nil"/>
              <w:tr2bl w:val="nil"/>
            </w:tcBorders>
            <w:vAlign w:val="center"/>
          </w:tcPr>
          <w:p w14:paraId="6F3097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单位</w:t>
            </w:r>
          </w:p>
        </w:tc>
        <w:tc>
          <w:tcPr>
            <w:tcW w:w="630" w:type="pct"/>
            <w:tcBorders>
              <w:tl2br w:val="nil"/>
              <w:tr2bl w:val="nil"/>
            </w:tcBorders>
            <w:vAlign w:val="center"/>
          </w:tcPr>
          <w:p w14:paraId="1331F2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数值</w:t>
            </w:r>
          </w:p>
        </w:tc>
      </w:tr>
      <w:tr w14:paraId="640FF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restart"/>
            <w:tcBorders>
              <w:tl2br w:val="nil"/>
              <w:tr2bl w:val="nil"/>
            </w:tcBorders>
            <w:vAlign w:val="center"/>
          </w:tcPr>
          <w:p w14:paraId="78989E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废水</w:t>
            </w:r>
          </w:p>
        </w:tc>
        <w:tc>
          <w:tcPr>
            <w:tcW w:w="2321" w:type="pct"/>
            <w:vMerge w:val="restart"/>
            <w:tcBorders>
              <w:tl2br w:val="nil"/>
              <w:tr2bl w:val="nil"/>
            </w:tcBorders>
            <w:vAlign w:val="center"/>
          </w:tcPr>
          <w:p w14:paraId="293B75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《污水综合排放标准》（GB8978-1996）表4中三级</w:t>
            </w:r>
          </w:p>
        </w:tc>
        <w:tc>
          <w:tcPr>
            <w:tcW w:w="526" w:type="pct"/>
            <w:tcBorders>
              <w:tl2br w:val="nil"/>
              <w:tr2bl w:val="nil"/>
            </w:tcBorders>
            <w:vAlign w:val="center"/>
          </w:tcPr>
          <w:p w14:paraId="58E31B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pH</w:t>
            </w:r>
          </w:p>
        </w:tc>
        <w:tc>
          <w:tcPr>
            <w:tcW w:w="1141" w:type="pct"/>
            <w:tcBorders>
              <w:tl2br w:val="nil"/>
              <w:tr2bl w:val="nil"/>
            </w:tcBorders>
            <w:vAlign w:val="center"/>
          </w:tcPr>
          <w:p w14:paraId="19D3C8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无量纲</w:t>
            </w:r>
          </w:p>
        </w:tc>
        <w:tc>
          <w:tcPr>
            <w:tcW w:w="630" w:type="pct"/>
            <w:tcBorders>
              <w:tl2br w:val="nil"/>
              <w:tr2bl w:val="nil"/>
            </w:tcBorders>
            <w:vAlign w:val="center"/>
          </w:tcPr>
          <w:p w14:paraId="4F605E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6-9</w:t>
            </w:r>
          </w:p>
        </w:tc>
      </w:tr>
      <w:tr w14:paraId="3920A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5D5F78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673618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2D8095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COD</w:t>
            </w:r>
          </w:p>
        </w:tc>
        <w:tc>
          <w:tcPr>
            <w:tcW w:w="1141" w:type="pct"/>
            <w:tcBorders>
              <w:tl2br w:val="nil"/>
              <w:tr2bl w:val="nil"/>
            </w:tcBorders>
            <w:vAlign w:val="center"/>
          </w:tcPr>
          <w:p w14:paraId="29FB7F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mg/L</w:t>
            </w:r>
          </w:p>
        </w:tc>
        <w:tc>
          <w:tcPr>
            <w:tcW w:w="630" w:type="pct"/>
            <w:tcBorders>
              <w:tl2br w:val="nil"/>
              <w:tr2bl w:val="nil"/>
            </w:tcBorders>
            <w:vAlign w:val="center"/>
          </w:tcPr>
          <w:p w14:paraId="16FAE5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w:t>
            </w:r>
          </w:p>
        </w:tc>
      </w:tr>
      <w:tr w14:paraId="6CF76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6C129A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029010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3AD53F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BOD</w:t>
            </w:r>
            <w:r>
              <w:rPr>
                <w:rFonts w:hint="eastAsia" w:ascii="Times New Roman" w:hAnsi="Times New Roman" w:eastAsia="宋体" w:cs="Times New Roman"/>
                <w:color w:val="auto"/>
                <w:sz w:val="21"/>
                <w:szCs w:val="21"/>
                <w:vertAlign w:val="subscript"/>
                <w:lang w:val="en-US" w:eastAsia="zh-CN"/>
              </w:rPr>
              <w:t>5</w:t>
            </w:r>
          </w:p>
        </w:tc>
        <w:tc>
          <w:tcPr>
            <w:tcW w:w="1141" w:type="pct"/>
            <w:tcBorders>
              <w:tl2br w:val="nil"/>
              <w:tr2bl w:val="nil"/>
            </w:tcBorders>
            <w:vAlign w:val="center"/>
          </w:tcPr>
          <w:p w14:paraId="2AA9EB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mg/L</w:t>
            </w:r>
          </w:p>
        </w:tc>
        <w:tc>
          <w:tcPr>
            <w:tcW w:w="630" w:type="pct"/>
            <w:tcBorders>
              <w:tl2br w:val="nil"/>
              <w:tr2bl w:val="nil"/>
            </w:tcBorders>
            <w:vAlign w:val="center"/>
          </w:tcPr>
          <w:p w14:paraId="2CF172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r>
      <w:tr w14:paraId="277EA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2CD7AE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2808F7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4CE619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SS</w:t>
            </w:r>
          </w:p>
        </w:tc>
        <w:tc>
          <w:tcPr>
            <w:tcW w:w="1141" w:type="pct"/>
            <w:tcBorders>
              <w:tl2br w:val="nil"/>
              <w:tr2bl w:val="nil"/>
            </w:tcBorders>
            <w:vAlign w:val="center"/>
          </w:tcPr>
          <w:p w14:paraId="7DE247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mg/L</w:t>
            </w:r>
          </w:p>
        </w:tc>
        <w:tc>
          <w:tcPr>
            <w:tcW w:w="630" w:type="pct"/>
            <w:tcBorders>
              <w:tl2br w:val="nil"/>
              <w:tr2bl w:val="nil"/>
            </w:tcBorders>
            <w:vAlign w:val="center"/>
          </w:tcPr>
          <w:p w14:paraId="4B27AF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400</w:t>
            </w:r>
          </w:p>
        </w:tc>
      </w:tr>
      <w:tr w14:paraId="23F93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6CC799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325E62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376B1C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氨氮</w:t>
            </w:r>
          </w:p>
        </w:tc>
        <w:tc>
          <w:tcPr>
            <w:tcW w:w="1141" w:type="pct"/>
            <w:tcBorders>
              <w:tl2br w:val="nil"/>
              <w:tr2bl w:val="nil"/>
            </w:tcBorders>
            <w:vAlign w:val="center"/>
          </w:tcPr>
          <w:p w14:paraId="39CAC1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mg/L</w:t>
            </w:r>
          </w:p>
        </w:tc>
        <w:tc>
          <w:tcPr>
            <w:tcW w:w="630" w:type="pct"/>
            <w:tcBorders>
              <w:tl2br w:val="nil"/>
              <w:tr2bl w:val="nil"/>
            </w:tcBorders>
            <w:vAlign w:val="center"/>
          </w:tcPr>
          <w:p w14:paraId="3602D8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w:t>
            </w:r>
          </w:p>
        </w:tc>
      </w:tr>
      <w:tr w14:paraId="48246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5736F6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restart"/>
            <w:tcBorders>
              <w:tl2br w:val="nil"/>
              <w:tr2bl w:val="nil"/>
            </w:tcBorders>
            <w:vAlign w:val="center"/>
          </w:tcPr>
          <w:p w14:paraId="1998B5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FF0000"/>
                <w:sz w:val="21"/>
                <w:szCs w:val="21"/>
                <w:lang w:val="en-US" w:eastAsia="zh-CN"/>
              </w:rPr>
              <w:t>《污水综合排放标准》(GB8978-1996)表1重金属管控要求</w:t>
            </w:r>
          </w:p>
        </w:tc>
        <w:tc>
          <w:tcPr>
            <w:tcW w:w="526" w:type="pct"/>
            <w:tcBorders>
              <w:tl2br w:val="nil"/>
              <w:tr2bl w:val="nil"/>
            </w:tcBorders>
            <w:vAlign w:val="center"/>
          </w:tcPr>
          <w:p w14:paraId="3934E3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总汞</w:t>
            </w:r>
          </w:p>
        </w:tc>
        <w:tc>
          <w:tcPr>
            <w:tcW w:w="1141" w:type="pct"/>
            <w:tcBorders>
              <w:tl2br w:val="nil"/>
              <w:tr2bl w:val="nil"/>
            </w:tcBorders>
            <w:vAlign w:val="center"/>
          </w:tcPr>
          <w:p w14:paraId="11382A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412895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0.05</w:t>
            </w:r>
          </w:p>
        </w:tc>
      </w:tr>
      <w:tr w14:paraId="4A535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2894FF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2B51E0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421776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烷基汞</w:t>
            </w:r>
          </w:p>
        </w:tc>
        <w:tc>
          <w:tcPr>
            <w:tcW w:w="1141" w:type="pct"/>
            <w:tcBorders>
              <w:tl2br w:val="nil"/>
              <w:tr2bl w:val="nil"/>
            </w:tcBorders>
            <w:vAlign w:val="center"/>
          </w:tcPr>
          <w:p w14:paraId="531614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78B066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不得检出</w:t>
            </w:r>
          </w:p>
        </w:tc>
      </w:tr>
      <w:tr w14:paraId="303B7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29C121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7CC7BC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37EDE5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总镉</w:t>
            </w:r>
          </w:p>
        </w:tc>
        <w:tc>
          <w:tcPr>
            <w:tcW w:w="1141" w:type="pct"/>
            <w:tcBorders>
              <w:tl2br w:val="nil"/>
              <w:tr2bl w:val="nil"/>
            </w:tcBorders>
            <w:vAlign w:val="center"/>
          </w:tcPr>
          <w:p w14:paraId="4B6F7290">
            <w:pPr>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2318B5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0.1</w:t>
            </w:r>
          </w:p>
        </w:tc>
      </w:tr>
      <w:tr w14:paraId="23DBC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09A1D2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353004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4A4E6C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总铬</w:t>
            </w:r>
          </w:p>
        </w:tc>
        <w:tc>
          <w:tcPr>
            <w:tcW w:w="1141" w:type="pct"/>
            <w:tcBorders>
              <w:tl2br w:val="nil"/>
              <w:tr2bl w:val="nil"/>
            </w:tcBorders>
            <w:vAlign w:val="center"/>
          </w:tcPr>
          <w:p w14:paraId="6135DED9">
            <w:pPr>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3B9307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1.5</w:t>
            </w:r>
          </w:p>
        </w:tc>
      </w:tr>
      <w:tr w14:paraId="66D77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5B9627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57238A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2A087F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六价铬</w:t>
            </w:r>
          </w:p>
        </w:tc>
        <w:tc>
          <w:tcPr>
            <w:tcW w:w="1141" w:type="pct"/>
            <w:tcBorders>
              <w:tl2br w:val="nil"/>
              <w:tr2bl w:val="nil"/>
            </w:tcBorders>
            <w:vAlign w:val="center"/>
          </w:tcPr>
          <w:p w14:paraId="67149D0A">
            <w:pPr>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7EF85C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0.5</w:t>
            </w:r>
          </w:p>
        </w:tc>
      </w:tr>
      <w:tr w14:paraId="2ADEB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66728B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7E7395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13FE45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总砷</w:t>
            </w:r>
          </w:p>
        </w:tc>
        <w:tc>
          <w:tcPr>
            <w:tcW w:w="1141" w:type="pct"/>
            <w:tcBorders>
              <w:tl2br w:val="nil"/>
              <w:tr2bl w:val="nil"/>
            </w:tcBorders>
            <w:vAlign w:val="center"/>
          </w:tcPr>
          <w:p w14:paraId="4F6B8111">
            <w:pPr>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0D5A54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0.5</w:t>
            </w:r>
          </w:p>
        </w:tc>
      </w:tr>
      <w:tr w14:paraId="6937D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319ECF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09D301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4072A8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总铅</w:t>
            </w:r>
          </w:p>
        </w:tc>
        <w:tc>
          <w:tcPr>
            <w:tcW w:w="1141" w:type="pct"/>
            <w:tcBorders>
              <w:tl2br w:val="nil"/>
              <w:tr2bl w:val="nil"/>
            </w:tcBorders>
            <w:vAlign w:val="center"/>
          </w:tcPr>
          <w:p w14:paraId="13868FA1">
            <w:pPr>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588A8D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1.0</w:t>
            </w:r>
          </w:p>
        </w:tc>
      </w:tr>
      <w:tr w14:paraId="4CF03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79" w:type="pct"/>
            <w:vMerge w:val="continue"/>
            <w:tcBorders>
              <w:tl2br w:val="nil"/>
              <w:tr2bl w:val="nil"/>
            </w:tcBorders>
            <w:vAlign w:val="center"/>
          </w:tcPr>
          <w:p w14:paraId="78C44E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2321" w:type="pct"/>
            <w:vMerge w:val="continue"/>
            <w:tcBorders>
              <w:tl2br w:val="nil"/>
              <w:tr2bl w:val="nil"/>
            </w:tcBorders>
            <w:vAlign w:val="center"/>
          </w:tcPr>
          <w:p w14:paraId="5A4CAA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26" w:type="pct"/>
            <w:tcBorders>
              <w:tl2br w:val="nil"/>
              <w:tr2bl w:val="nil"/>
            </w:tcBorders>
            <w:vAlign w:val="center"/>
          </w:tcPr>
          <w:p w14:paraId="4B2F49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FF0000"/>
                <w:sz w:val="21"/>
                <w:szCs w:val="21"/>
                <w:lang w:val="en-US" w:eastAsia="zh-CN"/>
              </w:rPr>
            </w:pPr>
            <w:r>
              <w:rPr>
                <w:rFonts w:hint="eastAsia" w:eastAsia="宋体" w:cs="Times New Roman"/>
                <w:color w:val="FF0000"/>
                <w:sz w:val="21"/>
                <w:szCs w:val="21"/>
                <w:lang w:val="en-US" w:eastAsia="zh-CN"/>
              </w:rPr>
              <w:t>总镍</w:t>
            </w:r>
          </w:p>
        </w:tc>
        <w:tc>
          <w:tcPr>
            <w:tcW w:w="1141" w:type="pct"/>
            <w:tcBorders>
              <w:tl2br w:val="nil"/>
              <w:tr2bl w:val="nil"/>
            </w:tcBorders>
            <w:vAlign w:val="center"/>
          </w:tcPr>
          <w:p w14:paraId="30345800">
            <w:pPr>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mg/L</w:t>
            </w:r>
          </w:p>
        </w:tc>
        <w:tc>
          <w:tcPr>
            <w:tcW w:w="630" w:type="pct"/>
            <w:tcBorders>
              <w:tl2br w:val="nil"/>
              <w:tr2bl w:val="nil"/>
            </w:tcBorders>
            <w:vAlign w:val="center"/>
          </w:tcPr>
          <w:p w14:paraId="4149C7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color w:val="FF0000"/>
                <w:sz w:val="21"/>
                <w:szCs w:val="21"/>
                <w:lang w:val="en-US" w:eastAsia="zh-CN"/>
              </w:rPr>
            </w:pPr>
            <w:r>
              <w:rPr>
                <w:rFonts w:hint="eastAsia" w:eastAsia="宋体" w:cs="Times New Roman"/>
                <w:color w:val="FF0000"/>
                <w:sz w:val="21"/>
                <w:szCs w:val="21"/>
                <w:lang w:val="en-US" w:eastAsia="zh-CN"/>
              </w:rPr>
              <w:t>1.0</w:t>
            </w:r>
          </w:p>
        </w:tc>
      </w:tr>
    </w:tbl>
    <w:p w14:paraId="75B3ED7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3、噪声排放标准</w:t>
      </w:r>
    </w:p>
    <w:p w14:paraId="545A144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本项目施工期噪声排放执行</w:t>
      </w:r>
      <w:r>
        <w:rPr>
          <w:rFonts w:hint="eastAsia" w:ascii="Times New Roman" w:hAnsi="Times New Roman" w:eastAsia="宋体" w:cs="Times New Roman"/>
          <w:color w:val="auto"/>
          <w:lang w:eastAsia="zh-CN"/>
        </w:rPr>
        <w:t>《建筑施工噪声排放标准》（GB12523—2025）</w:t>
      </w:r>
      <w:r>
        <w:rPr>
          <w:rFonts w:hint="default" w:ascii="Times New Roman" w:hAnsi="Times New Roman" w:eastAsia="宋体" w:cs="Times New Roman"/>
          <w:color w:val="auto"/>
          <w:lang w:eastAsia="zh-CN"/>
        </w:rPr>
        <w:t>中标准限值。运营期厂界昼夜间噪声满足《工业企业厂界环境噪声排放标准》（GB12348-2008）中</w:t>
      </w:r>
      <w:r>
        <w:rPr>
          <w:rFonts w:hint="eastAsia" w:ascii="Times New Roman" w:hAnsi="Times New Roman" w:eastAsia="宋体" w:cs="Times New Roman"/>
          <w:color w:val="auto"/>
          <w:lang w:val="en-US" w:eastAsia="zh-CN"/>
        </w:rPr>
        <w:t>2</w:t>
      </w:r>
      <w:r>
        <w:rPr>
          <w:rFonts w:hint="default" w:ascii="Times New Roman" w:hAnsi="Times New Roman" w:eastAsia="宋体" w:cs="Times New Roman"/>
          <w:color w:val="auto"/>
          <w:lang w:eastAsia="zh-CN"/>
        </w:rPr>
        <w:t>类声环境功能区标准</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lang w:eastAsia="zh-CN"/>
        </w:rPr>
        <w:t>具体标准值见表2.3-1</w:t>
      </w:r>
      <w:r>
        <w:rPr>
          <w:rFonts w:hint="eastAsia" w:ascii="Times New Roman" w:hAnsi="Times New Roman" w:eastAsia="宋体" w:cs="Times New Roman"/>
          <w:color w:val="auto"/>
          <w:lang w:eastAsia="zh-CN"/>
        </w:rPr>
        <w:t>0</w:t>
      </w:r>
      <w:r>
        <w:rPr>
          <w:rFonts w:hint="default" w:ascii="Times New Roman" w:hAnsi="Times New Roman" w:eastAsia="宋体" w:cs="Times New Roman"/>
          <w:color w:val="auto"/>
          <w:lang w:eastAsia="zh-CN"/>
        </w:rPr>
        <w:t>。</w:t>
      </w:r>
    </w:p>
    <w:p w14:paraId="5C1A1578">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表2.3-1</w:t>
      </w:r>
      <w:r>
        <w:rPr>
          <w:rFonts w:hint="eastAsia" w:ascii="Times New Roman" w:hAnsi="Times New Roman" w:eastAsia="宋体" w:cs="Times New Roman"/>
          <w:b/>
          <w:bCs/>
          <w:color w:val="auto"/>
          <w:sz w:val="24"/>
          <w:szCs w:val="24"/>
          <w:lang w:val="en-US" w:eastAsia="zh-CN"/>
        </w:rPr>
        <w:t>1</w:t>
      </w:r>
      <w:r>
        <w:rPr>
          <w:rFonts w:hint="default" w:ascii="Times New Roman" w:hAnsi="Times New Roman" w:eastAsia="宋体" w:cs="Times New Roman"/>
          <w:b/>
          <w:bCs/>
          <w:color w:val="auto"/>
          <w:sz w:val="24"/>
          <w:szCs w:val="24"/>
          <w:lang w:eastAsia="zh-CN"/>
        </w:rPr>
        <w:t xml:space="preserve">  噪声排放标准值</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3"/>
        <w:gridCol w:w="1042"/>
        <w:gridCol w:w="914"/>
        <w:gridCol w:w="851"/>
        <w:gridCol w:w="3882"/>
      </w:tblGrid>
      <w:tr w14:paraId="53F88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 w:hRule="atLeast"/>
          <w:jc w:val="center"/>
        </w:trPr>
        <w:tc>
          <w:tcPr>
            <w:tcW w:w="1075" w:type="pct"/>
            <w:vMerge w:val="restart"/>
            <w:tcBorders>
              <w:tl2br w:val="nil"/>
              <w:tr2bl w:val="nil"/>
            </w:tcBorders>
            <w:vAlign w:val="center"/>
          </w:tcPr>
          <w:p w14:paraId="3FDA3E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对象</w:t>
            </w:r>
          </w:p>
        </w:tc>
        <w:tc>
          <w:tcPr>
            <w:tcW w:w="611" w:type="pct"/>
            <w:vMerge w:val="restart"/>
            <w:tcBorders>
              <w:tl2br w:val="nil"/>
              <w:tr2bl w:val="nil"/>
            </w:tcBorders>
            <w:vAlign w:val="center"/>
          </w:tcPr>
          <w:p w14:paraId="022BE3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单位</w:t>
            </w:r>
          </w:p>
        </w:tc>
        <w:tc>
          <w:tcPr>
            <w:tcW w:w="1035" w:type="pct"/>
            <w:gridSpan w:val="2"/>
            <w:tcBorders>
              <w:tl2br w:val="nil"/>
              <w:tr2bl w:val="nil"/>
            </w:tcBorders>
            <w:vAlign w:val="center"/>
          </w:tcPr>
          <w:p w14:paraId="0BF456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标准限值</w:t>
            </w:r>
          </w:p>
        </w:tc>
        <w:tc>
          <w:tcPr>
            <w:tcW w:w="2277" w:type="pct"/>
            <w:vMerge w:val="restart"/>
            <w:tcBorders>
              <w:tl2br w:val="nil"/>
              <w:tr2bl w:val="nil"/>
            </w:tcBorders>
            <w:vAlign w:val="center"/>
          </w:tcPr>
          <w:p w14:paraId="7CAEE6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标准来源</w:t>
            </w:r>
          </w:p>
        </w:tc>
      </w:tr>
      <w:tr w14:paraId="33477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 w:hRule="atLeast"/>
          <w:jc w:val="center"/>
        </w:trPr>
        <w:tc>
          <w:tcPr>
            <w:tcW w:w="1075" w:type="pct"/>
            <w:vMerge w:val="continue"/>
            <w:tcBorders>
              <w:tl2br w:val="nil"/>
              <w:tr2bl w:val="nil"/>
            </w:tcBorders>
            <w:vAlign w:val="center"/>
          </w:tcPr>
          <w:p w14:paraId="3B7B0B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611" w:type="pct"/>
            <w:vMerge w:val="continue"/>
            <w:tcBorders>
              <w:tl2br w:val="nil"/>
              <w:tr2bl w:val="nil"/>
            </w:tcBorders>
            <w:vAlign w:val="center"/>
          </w:tcPr>
          <w:p w14:paraId="16A472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536" w:type="pct"/>
            <w:tcBorders>
              <w:tl2br w:val="nil"/>
              <w:tr2bl w:val="nil"/>
            </w:tcBorders>
            <w:vAlign w:val="center"/>
          </w:tcPr>
          <w:p w14:paraId="5D3352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昼间</w:t>
            </w:r>
          </w:p>
        </w:tc>
        <w:tc>
          <w:tcPr>
            <w:tcW w:w="499" w:type="pct"/>
            <w:tcBorders>
              <w:tl2br w:val="nil"/>
              <w:tr2bl w:val="nil"/>
            </w:tcBorders>
            <w:vAlign w:val="center"/>
          </w:tcPr>
          <w:p w14:paraId="40162C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夜间</w:t>
            </w:r>
          </w:p>
        </w:tc>
        <w:tc>
          <w:tcPr>
            <w:tcW w:w="2277" w:type="pct"/>
            <w:vMerge w:val="continue"/>
            <w:tcBorders>
              <w:tl2br w:val="nil"/>
              <w:tr2bl w:val="nil"/>
            </w:tcBorders>
            <w:vAlign w:val="center"/>
          </w:tcPr>
          <w:p w14:paraId="58AD5C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r>
      <w:tr w14:paraId="6349F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1075" w:type="pct"/>
            <w:tcBorders>
              <w:tl2br w:val="nil"/>
              <w:tr2bl w:val="nil"/>
            </w:tcBorders>
            <w:vAlign w:val="center"/>
          </w:tcPr>
          <w:p w14:paraId="05DC8A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运营期厂界噪声</w:t>
            </w:r>
          </w:p>
        </w:tc>
        <w:tc>
          <w:tcPr>
            <w:tcW w:w="611" w:type="pct"/>
            <w:tcBorders>
              <w:tl2br w:val="nil"/>
              <w:tr2bl w:val="nil"/>
            </w:tcBorders>
            <w:vAlign w:val="center"/>
          </w:tcPr>
          <w:p w14:paraId="36B8E8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dB（A）</w:t>
            </w:r>
          </w:p>
        </w:tc>
        <w:tc>
          <w:tcPr>
            <w:tcW w:w="536" w:type="pct"/>
            <w:tcBorders>
              <w:tl2br w:val="nil"/>
              <w:tr2bl w:val="nil"/>
            </w:tcBorders>
            <w:vAlign w:val="center"/>
          </w:tcPr>
          <w:p w14:paraId="4F641D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60</w:t>
            </w:r>
          </w:p>
        </w:tc>
        <w:tc>
          <w:tcPr>
            <w:tcW w:w="499" w:type="pct"/>
            <w:tcBorders>
              <w:tl2br w:val="nil"/>
              <w:tr2bl w:val="nil"/>
            </w:tcBorders>
            <w:vAlign w:val="center"/>
          </w:tcPr>
          <w:p w14:paraId="03D923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50</w:t>
            </w:r>
          </w:p>
        </w:tc>
        <w:tc>
          <w:tcPr>
            <w:tcW w:w="2277" w:type="pct"/>
            <w:tcBorders>
              <w:tl2br w:val="nil"/>
              <w:tr2bl w:val="nil"/>
            </w:tcBorders>
            <w:vAlign w:val="center"/>
          </w:tcPr>
          <w:p w14:paraId="3D1BF4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《工业企业厂界环境噪声排放标准》（GB12348-2008）表1中1类标准</w:t>
            </w:r>
          </w:p>
        </w:tc>
      </w:tr>
      <w:tr w14:paraId="4FF0A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 w:hRule="atLeast"/>
          <w:jc w:val="center"/>
        </w:trPr>
        <w:tc>
          <w:tcPr>
            <w:tcW w:w="1075" w:type="pct"/>
            <w:tcBorders>
              <w:tl2br w:val="nil"/>
              <w:tr2bl w:val="nil"/>
            </w:tcBorders>
            <w:vAlign w:val="center"/>
          </w:tcPr>
          <w:p w14:paraId="7D1E36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施工期厂界噪声</w:t>
            </w:r>
          </w:p>
        </w:tc>
        <w:tc>
          <w:tcPr>
            <w:tcW w:w="611" w:type="pct"/>
            <w:tcBorders>
              <w:tl2br w:val="nil"/>
              <w:tr2bl w:val="nil"/>
            </w:tcBorders>
            <w:vAlign w:val="center"/>
          </w:tcPr>
          <w:p w14:paraId="196342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dB（A）</w:t>
            </w:r>
          </w:p>
        </w:tc>
        <w:tc>
          <w:tcPr>
            <w:tcW w:w="536" w:type="pct"/>
            <w:tcBorders>
              <w:tl2br w:val="nil"/>
              <w:tr2bl w:val="nil"/>
            </w:tcBorders>
            <w:vAlign w:val="center"/>
          </w:tcPr>
          <w:p w14:paraId="46C6FC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w:t>
            </w:r>
          </w:p>
        </w:tc>
        <w:tc>
          <w:tcPr>
            <w:tcW w:w="499" w:type="pct"/>
            <w:tcBorders>
              <w:tl2br w:val="nil"/>
              <w:tr2bl w:val="nil"/>
            </w:tcBorders>
            <w:vAlign w:val="center"/>
          </w:tcPr>
          <w:p w14:paraId="0A25F3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2277" w:type="pct"/>
            <w:tcBorders>
              <w:tl2br w:val="nil"/>
              <w:tr2bl w:val="nil"/>
            </w:tcBorders>
            <w:vAlign w:val="center"/>
          </w:tcPr>
          <w:p w14:paraId="698C59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《建筑施工噪声排放标准》（GB12523—2025）</w:t>
            </w:r>
          </w:p>
        </w:tc>
      </w:tr>
    </w:tbl>
    <w:p w14:paraId="44E85CA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4、固体废物排放标准</w:t>
      </w:r>
    </w:p>
    <w:p w14:paraId="32563BC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本项目所排放的固体废物应执行《一般工业固体废物贮存和填埋</w:t>
      </w:r>
      <w:r>
        <w:rPr>
          <w:rFonts w:hint="eastAsia" w:ascii="Times New Roman" w:hAnsi="Times New Roman" w:eastAsia="宋体" w:cs="Times New Roman"/>
          <w:color w:val="auto"/>
          <w:lang w:eastAsia="zh-CN"/>
        </w:rPr>
        <w:t>污染</w:t>
      </w:r>
      <w:r>
        <w:rPr>
          <w:rFonts w:hint="default" w:ascii="Times New Roman" w:hAnsi="Times New Roman" w:eastAsia="宋体" w:cs="Times New Roman"/>
          <w:color w:val="auto"/>
          <w:lang w:eastAsia="zh-CN"/>
        </w:rPr>
        <w:t>控制标准》（GB 18599-2020）</w:t>
      </w:r>
      <w:r>
        <w:rPr>
          <w:rFonts w:hint="eastAsia" w:ascii="Times New Roman" w:hAnsi="Times New Roman" w:eastAsia="宋体" w:cs="Times New Roman"/>
          <w:color w:val="auto"/>
          <w:lang w:eastAsia="zh-CN"/>
        </w:rPr>
        <w:t>、《固体废物分类与代码目录》</w:t>
      </w:r>
      <w:r>
        <w:rPr>
          <w:rFonts w:hint="default" w:ascii="Times New Roman" w:hAnsi="Times New Roman" w:eastAsia="宋体" w:cs="Times New Roman"/>
          <w:color w:val="auto"/>
          <w:lang w:eastAsia="zh-CN"/>
        </w:rPr>
        <w:t>及《危险废物贮存污染控制标准》（GB18597-2023）。</w:t>
      </w:r>
    </w:p>
    <w:p w14:paraId="6B384ACA">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129" w:name="_Toc21922"/>
      <w:bookmarkStart w:id="130" w:name="_Toc21384"/>
      <w:r>
        <w:rPr>
          <w:rFonts w:hint="eastAsia" w:ascii="Times New Roman" w:hAnsi="Times New Roman" w:cs="Times New Roman"/>
          <w:b/>
          <w:bCs/>
          <w:color w:val="auto"/>
          <w:lang w:val="en-US" w:eastAsia="zh-CN"/>
        </w:rPr>
        <w:t xml:space="preserve">2.4 </w:t>
      </w:r>
      <w:r>
        <w:rPr>
          <w:rFonts w:hint="default" w:ascii="Times New Roman" w:hAnsi="Times New Roman" w:eastAsia="宋体" w:cs="Times New Roman"/>
          <w:b/>
          <w:bCs/>
          <w:color w:val="auto"/>
        </w:rPr>
        <w:t>评价工作等级和评价范围</w:t>
      </w:r>
      <w:bookmarkEnd w:id="129"/>
      <w:bookmarkEnd w:id="130"/>
    </w:p>
    <w:p w14:paraId="071B1E3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31" w:name="_Toc105659877"/>
      <w:bookmarkStart w:id="132" w:name="_Toc107238094"/>
      <w:bookmarkStart w:id="133" w:name="_Toc28337"/>
      <w:bookmarkStart w:id="134" w:name="_Toc5586"/>
      <w:bookmarkStart w:id="135" w:name="_Toc29043"/>
      <w:bookmarkStart w:id="136" w:name="_Toc3074"/>
      <w:r>
        <w:rPr>
          <w:rFonts w:hint="eastAsia" w:ascii="Times New Roman" w:hAnsi="Times New Roman" w:cs="Times New Roman"/>
          <w:b/>
          <w:bCs/>
          <w:color w:val="auto"/>
          <w:sz w:val="28"/>
          <w:szCs w:val="28"/>
          <w:lang w:val="en-US" w:eastAsia="zh-CN"/>
        </w:rPr>
        <w:t xml:space="preserve">2.4.1 </w:t>
      </w:r>
      <w:r>
        <w:rPr>
          <w:rFonts w:hint="eastAsia" w:ascii="Times New Roman" w:hAnsi="Times New Roman" w:eastAsia="宋体" w:cs="Times New Roman"/>
          <w:b/>
          <w:bCs/>
          <w:color w:val="auto"/>
          <w:sz w:val="28"/>
          <w:szCs w:val="28"/>
          <w:lang w:val="en-US" w:eastAsia="zh-CN"/>
        </w:rPr>
        <w:t>环境空气</w:t>
      </w:r>
      <w:bookmarkEnd w:id="131"/>
      <w:bookmarkEnd w:id="132"/>
      <w:bookmarkEnd w:id="133"/>
      <w:bookmarkEnd w:id="134"/>
      <w:bookmarkEnd w:id="135"/>
      <w:bookmarkEnd w:id="136"/>
    </w:p>
    <w:p w14:paraId="5E55613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2.4.1.1 </w:t>
      </w:r>
      <w:r>
        <w:rPr>
          <w:rFonts w:hint="eastAsia" w:ascii="Times New Roman" w:hAnsi="Times New Roman" w:eastAsia="宋体" w:cs="Times New Roman"/>
          <w:b/>
          <w:bCs w:val="0"/>
          <w:color w:val="auto"/>
          <w:sz w:val="24"/>
          <w:szCs w:val="24"/>
        </w:rPr>
        <w:t>评价工作等级</w:t>
      </w:r>
    </w:p>
    <w:p w14:paraId="655E1C46">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szCs w:val="24"/>
        </w:rPr>
      </w:pPr>
      <w:r>
        <w:rPr>
          <w:rFonts w:hint="default" w:ascii="Times New Roman" w:hAnsi="Times New Roman" w:eastAsia="宋体" w:cs="Times New Roman"/>
          <w:color w:val="auto"/>
          <w:spacing w:val="0"/>
        </w:rPr>
        <w:t>依据《环境影响评价技术导则 大气环境（HJ2.2-2018）》中“5.1环境影响识别与评价因子筛选”要求，</w:t>
      </w:r>
      <w:r>
        <w:rPr>
          <w:rFonts w:hint="default" w:ascii="Times New Roman" w:hAnsi="Times New Roman" w:eastAsia="宋体" w:cs="Times New Roman"/>
          <w:iCs/>
          <w:color w:val="auto"/>
          <w:spacing w:val="0"/>
          <w:kern w:val="0"/>
          <w:szCs w:val="24"/>
        </w:rPr>
        <w:t>本项目大气环境影响评价因子主要为项目排放的基本污染物及其他污染物，同时当建设项目排放的SO</w:t>
      </w:r>
      <w:r>
        <w:rPr>
          <w:rFonts w:hint="default" w:ascii="Times New Roman" w:hAnsi="Times New Roman" w:eastAsia="宋体" w:cs="Times New Roman"/>
          <w:iCs/>
          <w:color w:val="auto"/>
          <w:spacing w:val="0"/>
          <w:kern w:val="0"/>
          <w:szCs w:val="24"/>
          <w:vertAlign w:val="subscript"/>
        </w:rPr>
        <w:t>2</w:t>
      </w:r>
      <w:r>
        <w:rPr>
          <w:rFonts w:hint="default" w:ascii="Times New Roman" w:hAnsi="Times New Roman" w:eastAsia="宋体" w:cs="Times New Roman"/>
          <w:iCs/>
          <w:color w:val="auto"/>
          <w:spacing w:val="0"/>
          <w:kern w:val="0"/>
          <w:szCs w:val="24"/>
        </w:rPr>
        <w:t>和NO</w:t>
      </w:r>
      <w:r>
        <w:rPr>
          <w:rFonts w:hint="default" w:ascii="Times New Roman" w:hAnsi="Times New Roman" w:eastAsia="宋体" w:cs="Times New Roman"/>
          <w:iCs/>
          <w:color w:val="auto"/>
          <w:spacing w:val="0"/>
          <w:kern w:val="0"/>
          <w:szCs w:val="24"/>
          <w:vertAlign w:val="subscript"/>
        </w:rPr>
        <w:t>x</w:t>
      </w:r>
      <w:r>
        <w:rPr>
          <w:rFonts w:hint="default" w:ascii="Times New Roman" w:hAnsi="Times New Roman" w:eastAsia="宋体" w:cs="Times New Roman"/>
          <w:iCs/>
          <w:color w:val="auto"/>
          <w:spacing w:val="0"/>
          <w:kern w:val="0"/>
          <w:szCs w:val="24"/>
        </w:rPr>
        <w:t>年排放量大于或等于500t/a时，评价因子应增加二次</w:t>
      </w:r>
      <w:r>
        <w:rPr>
          <w:rFonts w:hint="default" w:ascii="Times New Roman" w:hAnsi="Times New Roman" w:eastAsia="宋体" w:cs="Times New Roman"/>
          <w:color w:val="auto"/>
          <w:spacing w:val="0"/>
          <w:szCs w:val="24"/>
        </w:rPr>
        <w:t>PM</w:t>
      </w:r>
      <w:r>
        <w:rPr>
          <w:rFonts w:hint="default" w:ascii="Times New Roman" w:hAnsi="Times New Roman" w:eastAsia="宋体" w:cs="Times New Roman"/>
          <w:color w:val="auto"/>
          <w:spacing w:val="0"/>
          <w:szCs w:val="24"/>
          <w:vertAlign w:val="subscript"/>
        </w:rPr>
        <w:t>2.5</w:t>
      </w:r>
      <w:r>
        <w:rPr>
          <w:rFonts w:hint="default" w:ascii="Times New Roman" w:hAnsi="Times New Roman" w:eastAsia="宋体" w:cs="Times New Roman"/>
          <w:color w:val="auto"/>
          <w:spacing w:val="0"/>
          <w:szCs w:val="24"/>
        </w:rPr>
        <w:t>。</w:t>
      </w:r>
    </w:p>
    <w:p w14:paraId="7FCAE4D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iCs/>
          <w:color w:val="auto"/>
          <w:kern w:val="0"/>
          <w:szCs w:val="24"/>
        </w:rPr>
        <w:t>根据对本项目污染源初步调查和工程分析的结果可知，本项目排放的废气污染物有烟尘、SO</w:t>
      </w:r>
      <w:r>
        <w:rPr>
          <w:rFonts w:hint="default" w:ascii="Times New Roman" w:hAnsi="Times New Roman" w:eastAsia="宋体" w:cs="Times New Roman"/>
          <w:iCs/>
          <w:color w:val="auto"/>
          <w:kern w:val="0"/>
          <w:szCs w:val="24"/>
          <w:vertAlign w:val="subscript"/>
        </w:rPr>
        <w:t>2</w:t>
      </w:r>
      <w:r>
        <w:rPr>
          <w:rFonts w:hint="default" w:ascii="Times New Roman" w:hAnsi="Times New Roman" w:eastAsia="宋体" w:cs="Times New Roman"/>
          <w:iCs/>
          <w:color w:val="auto"/>
          <w:kern w:val="0"/>
          <w:szCs w:val="24"/>
        </w:rPr>
        <w:t>、NO</w:t>
      </w:r>
      <w:r>
        <w:rPr>
          <w:rFonts w:hint="default" w:ascii="Times New Roman" w:hAnsi="Times New Roman" w:eastAsia="宋体" w:cs="Times New Roman"/>
          <w:iCs/>
          <w:color w:val="auto"/>
          <w:kern w:val="0"/>
          <w:szCs w:val="24"/>
          <w:vertAlign w:val="subscript"/>
        </w:rPr>
        <w:t>x</w:t>
      </w:r>
      <w:r>
        <w:rPr>
          <w:rFonts w:hint="default" w:ascii="Times New Roman" w:hAnsi="Times New Roman" w:eastAsia="宋体" w:cs="Times New Roman"/>
          <w:iCs/>
          <w:color w:val="auto"/>
          <w:kern w:val="0"/>
          <w:szCs w:val="24"/>
        </w:rPr>
        <w:t>，特征污染物有汞及其化合物、TSP和NH</w:t>
      </w:r>
      <w:r>
        <w:rPr>
          <w:rFonts w:hint="default" w:ascii="Times New Roman" w:hAnsi="Times New Roman" w:eastAsia="宋体" w:cs="Times New Roman"/>
          <w:iCs/>
          <w:color w:val="auto"/>
          <w:kern w:val="0"/>
          <w:szCs w:val="24"/>
          <w:vertAlign w:val="subscript"/>
        </w:rPr>
        <w:t>3</w:t>
      </w:r>
      <w:r>
        <w:rPr>
          <w:rFonts w:hint="default" w:ascii="Times New Roman" w:hAnsi="Times New Roman" w:eastAsia="宋体" w:cs="Times New Roman"/>
          <w:iCs/>
          <w:color w:val="auto"/>
          <w:kern w:val="0"/>
          <w:szCs w:val="24"/>
        </w:rPr>
        <w:t>。本次评价等级判定污染物烟尘以</w:t>
      </w:r>
      <w:r>
        <w:rPr>
          <w:rFonts w:hint="default" w:ascii="Times New Roman" w:hAnsi="Times New Roman" w:eastAsia="宋体" w:cs="Times New Roman"/>
          <w:color w:val="auto"/>
        </w:rPr>
        <w:t>《环境影响评价技术导则 大气环境（HJ2.2-2018）》章节“3.3基本污染物”中的</w:t>
      </w:r>
      <w:r>
        <w:rPr>
          <w:rFonts w:hint="default" w:ascii="Times New Roman" w:hAnsi="Times New Roman" w:eastAsia="宋体" w:cs="Times New Roman"/>
          <w:iCs/>
          <w:color w:val="auto"/>
          <w:kern w:val="0"/>
          <w:szCs w:val="24"/>
        </w:rPr>
        <w:t>可吸入颗粒物（PM</w:t>
      </w:r>
      <w:r>
        <w:rPr>
          <w:rFonts w:hint="default" w:ascii="Times New Roman" w:hAnsi="Times New Roman" w:eastAsia="宋体" w:cs="Times New Roman"/>
          <w:iCs/>
          <w:color w:val="auto"/>
          <w:kern w:val="0"/>
          <w:szCs w:val="24"/>
          <w:vertAlign w:val="subscript"/>
        </w:rPr>
        <w:t>10</w:t>
      </w:r>
      <w:r>
        <w:rPr>
          <w:rFonts w:hint="default" w:ascii="Times New Roman" w:hAnsi="Times New Roman" w:eastAsia="宋体" w:cs="Times New Roman"/>
          <w:iCs/>
          <w:color w:val="auto"/>
          <w:kern w:val="0"/>
          <w:szCs w:val="24"/>
        </w:rPr>
        <w:t>）和细颗粒物（PM</w:t>
      </w:r>
      <w:r>
        <w:rPr>
          <w:rFonts w:hint="default" w:ascii="Times New Roman" w:hAnsi="Times New Roman" w:eastAsia="宋体" w:cs="Times New Roman"/>
          <w:iCs/>
          <w:color w:val="auto"/>
          <w:kern w:val="0"/>
          <w:szCs w:val="24"/>
          <w:vertAlign w:val="subscript"/>
        </w:rPr>
        <w:t>2.5</w:t>
      </w:r>
      <w:r>
        <w:rPr>
          <w:rFonts w:hint="default" w:ascii="Times New Roman" w:hAnsi="Times New Roman" w:eastAsia="宋体" w:cs="Times New Roman"/>
          <w:iCs/>
          <w:color w:val="auto"/>
          <w:kern w:val="0"/>
          <w:szCs w:val="24"/>
        </w:rPr>
        <w:t>）作为评价因子。同时</w:t>
      </w:r>
      <w:r>
        <w:rPr>
          <w:rFonts w:hint="default" w:ascii="Times New Roman" w:hAnsi="Times New Roman" w:eastAsia="宋体" w:cs="Times New Roman"/>
          <w:color w:val="auto"/>
          <w:szCs w:val="24"/>
        </w:rPr>
        <w:t>本项目排放的SO</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和NO</w:t>
      </w:r>
      <w:r>
        <w:rPr>
          <w:rFonts w:hint="default" w:ascii="Times New Roman" w:hAnsi="Times New Roman" w:eastAsia="宋体" w:cs="Times New Roman"/>
          <w:color w:val="auto"/>
          <w:szCs w:val="24"/>
          <w:vertAlign w:val="subscript"/>
        </w:rPr>
        <w:t>x</w:t>
      </w:r>
      <w:r>
        <w:rPr>
          <w:rFonts w:hint="default" w:ascii="Times New Roman" w:hAnsi="Times New Roman" w:eastAsia="宋体" w:cs="Times New Roman"/>
          <w:color w:val="auto"/>
          <w:szCs w:val="24"/>
        </w:rPr>
        <w:t>核定年排放量之和＜500t/a，因此，</w:t>
      </w:r>
      <w:r>
        <w:rPr>
          <w:rFonts w:hint="default" w:ascii="Times New Roman" w:hAnsi="Times New Roman" w:eastAsia="宋体" w:cs="Times New Roman"/>
          <w:color w:val="auto"/>
        </w:rPr>
        <w:t>本次大气环境影响</w:t>
      </w:r>
      <w:r>
        <w:rPr>
          <w:rFonts w:hint="default" w:ascii="Times New Roman" w:hAnsi="Times New Roman" w:eastAsia="宋体" w:cs="Times New Roman"/>
          <w:color w:val="auto"/>
          <w:szCs w:val="24"/>
        </w:rPr>
        <w:t>评价因子不需要增加二次PM</w:t>
      </w:r>
      <w:r>
        <w:rPr>
          <w:rFonts w:hint="default" w:ascii="Times New Roman" w:hAnsi="Times New Roman" w:eastAsia="宋体" w:cs="Times New Roman"/>
          <w:color w:val="auto"/>
          <w:szCs w:val="24"/>
          <w:vertAlign w:val="subscript"/>
        </w:rPr>
        <w:t>2.5</w:t>
      </w:r>
      <w:r>
        <w:rPr>
          <w:rFonts w:hint="default" w:ascii="Times New Roman" w:hAnsi="Times New Roman" w:eastAsia="宋体" w:cs="Times New Roman"/>
          <w:color w:val="auto"/>
          <w:szCs w:val="24"/>
        </w:rPr>
        <w:t>，本项目大气环境影响评价因子为</w:t>
      </w:r>
      <w:r>
        <w:rPr>
          <w:rFonts w:hint="default" w:ascii="Times New Roman" w:hAnsi="Times New Roman" w:eastAsia="宋体" w:cs="Times New Roman"/>
          <w:iCs/>
          <w:color w:val="auto"/>
          <w:kern w:val="0"/>
          <w:szCs w:val="24"/>
        </w:rPr>
        <w:t>PM</w:t>
      </w:r>
      <w:r>
        <w:rPr>
          <w:rFonts w:hint="default" w:ascii="Times New Roman" w:hAnsi="Times New Roman" w:eastAsia="宋体" w:cs="Times New Roman"/>
          <w:iCs/>
          <w:color w:val="auto"/>
          <w:kern w:val="0"/>
          <w:szCs w:val="24"/>
          <w:vertAlign w:val="subscript"/>
        </w:rPr>
        <w:t>10</w:t>
      </w:r>
      <w:r>
        <w:rPr>
          <w:rFonts w:hint="default" w:ascii="Times New Roman" w:hAnsi="Times New Roman" w:eastAsia="宋体" w:cs="Times New Roman"/>
          <w:iCs/>
          <w:color w:val="auto"/>
          <w:kern w:val="0"/>
          <w:szCs w:val="24"/>
        </w:rPr>
        <w:t>、一次PM</w:t>
      </w:r>
      <w:r>
        <w:rPr>
          <w:rFonts w:hint="default" w:ascii="Times New Roman" w:hAnsi="Times New Roman" w:eastAsia="宋体" w:cs="Times New Roman"/>
          <w:iCs/>
          <w:color w:val="auto"/>
          <w:kern w:val="0"/>
          <w:szCs w:val="24"/>
          <w:vertAlign w:val="subscript"/>
        </w:rPr>
        <w:t>2.5</w:t>
      </w:r>
      <w:r>
        <w:rPr>
          <w:rFonts w:hint="default" w:ascii="Times New Roman" w:hAnsi="Times New Roman" w:eastAsia="宋体" w:cs="Times New Roman"/>
          <w:iCs/>
          <w:color w:val="auto"/>
          <w:kern w:val="0"/>
          <w:szCs w:val="24"/>
        </w:rPr>
        <w:t>、SO</w:t>
      </w:r>
      <w:r>
        <w:rPr>
          <w:rFonts w:hint="default" w:ascii="Times New Roman" w:hAnsi="Times New Roman" w:eastAsia="宋体" w:cs="Times New Roman"/>
          <w:iCs/>
          <w:color w:val="auto"/>
          <w:kern w:val="0"/>
          <w:szCs w:val="24"/>
          <w:vertAlign w:val="subscript"/>
        </w:rPr>
        <w:t>2</w:t>
      </w:r>
      <w:r>
        <w:rPr>
          <w:rFonts w:hint="default" w:ascii="Times New Roman" w:hAnsi="Times New Roman" w:eastAsia="宋体" w:cs="Times New Roman"/>
          <w:iCs/>
          <w:color w:val="auto"/>
          <w:kern w:val="0"/>
          <w:szCs w:val="24"/>
        </w:rPr>
        <w:t>、NO</w:t>
      </w:r>
      <w:r>
        <w:rPr>
          <w:rFonts w:hint="default" w:ascii="Times New Roman" w:hAnsi="Times New Roman" w:eastAsia="宋体" w:cs="Times New Roman"/>
          <w:iCs/>
          <w:color w:val="auto"/>
          <w:kern w:val="0"/>
          <w:szCs w:val="24"/>
          <w:vertAlign w:val="subscript"/>
        </w:rPr>
        <w:t>2</w:t>
      </w:r>
      <w:r>
        <w:rPr>
          <w:rFonts w:hint="default" w:ascii="Times New Roman" w:hAnsi="Times New Roman" w:eastAsia="宋体" w:cs="Times New Roman"/>
          <w:iCs/>
          <w:color w:val="auto"/>
          <w:kern w:val="0"/>
          <w:szCs w:val="24"/>
        </w:rPr>
        <w:t>、汞及其化合物、TSP和NH</w:t>
      </w:r>
      <w:r>
        <w:rPr>
          <w:rFonts w:hint="default" w:ascii="Times New Roman" w:hAnsi="Times New Roman" w:eastAsia="宋体" w:cs="Times New Roman"/>
          <w:iCs/>
          <w:color w:val="auto"/>
          <w:kern w:val="0"/>
          <w:szCs w:val="24"/>
          <w:vertAlign w:val="subscript"/>
        </w:rPr>
        <w:t>3</w:t>
      </w:r>
      <w:r>
        <w:rPr>
          <w:rFonts w:hint="default" w:ascii="Times New Roman" w:hAnsi="Times New Roman" w:eastAsia="宋体" w:cs="Times New Roman"/>
          <w:iCs/>
          <w:color w:val="auto"/>
          <w:kern w:val="0"/>
          <w:szCs w:val="24"/>
        </w:rPr>
        <w:t>。</w:t>
      </w:r>
    </w:p>
    <w:p w14:paraId="41AC16A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根据《环境影响评价技术导则-大气环境》（HJ2.2-2018），将环境空气影响评价工作分为一、二、三级，划分依据见下表。</w:t>
      </w:r>
    </w:p>
    <w:p w14:paraId="2F0953B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表2.4-1</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 xml:space="preserve"> 评价工作等级判据一览表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69"/>
        <w:gridCol w:w="4753"/>
      </w:tblGrid>
      <w:tr w14:paraId="7EFF2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1" w:type="pct"/>
            <w:tcBorders>
              <w:tl2br w:val="nil"/>
              <w:tr2bl w:val="nil"/>
            </w:tcBorders>
            <w:vAlign w:val="center"/>
          </w:tcPr>
          <w:p w14:paraId="369CDF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评价工作等级</w:t>
            </w:r>
          </w:p>
        </w:tc>
        <w:tc>
          <w:tcPr>
            <w:tcW w:w="2788" w:type="pct"/>
            <w:tcBorders>
              <w:tl2br w:val="nil"/>
              <w:tr2bl w:val="nil"/>
            </w:tcBorders>
            <w:vAlign w:val="center"/>
          </w:tcPr>
          <w:p w14:paraId="676A40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评价工作分级判据</w:t>
            </w:r>
          </w:p>
        </w:tc>
      </w:tr>
      <w:tr w14:paraId="7B8CE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1" w:type="pct"/>
            <w:tcBorders>
              <w:tl2br w:val="nil"/>
              <w:tr2bl w:val="nil"/>
            </w:tcBorders>
            <w:vAlign w:val="center"/>
          </w:tcPr>
          <w:p w14:paraId="014A83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2788" w:type="pct"/>
            <w:tcBorders>
              <w:tl2br w:val="nil"/>
              <w:tr2bl w:val="nil"/>
            </w:tcBorders>
            <w:vAlign w:val="center"/>
          </w:tcPr>
          <w:p w14:paraId="072481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w:t>
            </w:r>
            <w:r>
              <w:rPr>
                <w:rFonts w:hint="eastAsia" w:ascii="Times New Roman" w:hAnsi="Times New Roman" w:eastAsia="宋体" w:cs="Times New Roman"/>
                <w:color w:val="auto"/>
                <w:sz w:val="21"/>
                <w:szCs w:val="21"/>
                <w:vertAlign w:val="subscript"/>
                <w:lang w:val="en-US" w:eastAsia="zh-CN"/>
              </w:rPr>
              <w:t>Max</w:t>
            </w:r>
            <w:r>
              <w:rPr>
                <w:rFonts w:hint="eastAsia" w:ascii="Times New Roman" w:hAnsi="Times New Roman" w:eastAsia="宋体" w:cs="Times New Roman"/>
                <w:color w:val="auto"/>
                <w:sz w:val="21"/>
                <w:szCs w:val="21"/>
                <w:lang w:val="en-US" w:eastAsia="zh-CN"/>
              </w:rPr>
              <w:t>≥10%</w:t>
            </w:r>
          </w:p>
        </w:tc>
      </w:tr>
      <w:tr w14:paraId="28C08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1" w:type="pct"/>
            <w:tcBorders>
              <w:tl2br w:val="nil"/>
              <w:tr2bl w:val="nil"/>
            </w:tcBorders>
            <w:vAlign w:val="center"/>
          </w:tcPr>
          <w:p w14:paraId="7E3E1B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2788" w:type="pct"/>
            <w:tcBorders>
              <w:tl2br w:val="nil"/>
              <w:tr2bl w:val="nil"/>
            </w:tcBorders>
            <w:vAlign w:val="center"/>
          </w:tcPr>
          <w:p w14:paraId="56A6FD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1%≤P</w:t>
            </w:r>
            <w:r>
              <w:rPr>
                <w:rFonts w:hint="eastAsia" w:ascii="Times New Roman" w:hAnsi="Times New Roman" w:eastAsia="宋体" w:cs="Times New Roman"/>
                <w:color w:val="auto"/>
                <w:sz w:val="21"/>
                <w:szCs w:val="21"/>
                <w:vertAlign w:val="subscript"/>
                <w:lang w:val="en-US" w:eastAsia="zh-CN"/>
              </w:rPr>
              <w:t>Max</w:t>
            </w:r>
            <w:r>
              <w:rPr>
                <w:rFonts w:hint="eastAsia" w:ascii="Times New Roman" w:hAnsi="Times New Roman" w:eastAsia="宋体" w:cs="Times New Roman"/>
                <w:color w:val="auto"/>
                <w:sz w:val="21"/>
                <w:szCs w:val="21"/>
                <w:lang w:val="en-US" w:eastAsia="zh-CN"/>
              </w:rPr>
              <w:t>＜10%</w:t>
            </w:r>
          </w:p>
        </w:tc>
      </w:tr>
      <w:tr w14:paraId="4C4C1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1" w:type="pct"/>
            <w:tcBorders>
              <w:tl2br w:val="nil"/>
              <w:tr2bl w:val="nil"/>
            </w:tcBorders>
            <w:vAlign w:val="center"/>
          </w:tcPr>
          <w:p w14:paraId="49897D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2788" w:type="pct"/>
            <w:tcBorders>
              <w:tl2br w:val="nil"/>
              <w:tr2bl w:val="nil"/>
            </w:tcBorders>
            <w:vAlign w:val="center"/>
          </w:tcPr>
          <w:p w14:paraId="407588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w:t>
            </w:r>
            <w:r>
              <w:rPr>
                <w:rFonts w:hint="eastAsia" w:ascii="Times New Roman" w:hAnsi="Times New Roman" w:eastAsia="宋体" w:cs="Times New Roman"/>
                <w:color w:val="auto"/>
                <w:sz w:val="21"/>
                <w:szCs w:val="21"/>
                <w:vertAlign w:val="subscript"/>
                <w:lang w:val="en-US" w:eastAsia="zh-CN"/>
              </w:rPr>
              <w:t>Max</w:t>
            </w:r>
            <w:r>
              <w:rPr>
                <w:rFonts w:hint="eastAsia" w:ascii="Times New Roman" w:hAnsi="Times New Roman" w:eastAsia="宋体" w:cs="Times New Roman"/>
                <w:color w:val="auto"/>
                <w:sz w:val="21"/>
                <w:szCs w:val="21"/>
                <w:lang w:val="en-US" w:eastAsia="zh-CN"/>
              </w:rPr>
              <w:t>＜1%</w:t>
            </w:r>
          </w:p>
        </w:tc>
      </w:tr>
    </w:tbl>
    <w:p w14:paraId="49E8D6E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其中Pi为第i个污染物的最大地面空气质量浓度占标率，%；D</w:t>
      </w:r>
      <w:r>
        <w:rPr>
          <w:rFonts w:ascii="Times New Roman" w:hAnsi="Times New Roman" w:eastAsia="宋体" w:cs="Times New Roman"/>
          <w:color w:val="auto"/>
          <w:vertAlign w:val="subscript"/>
        </w:rPr>
        <w:t>10%</w:t>
      </w:r>
      <w:r>
        <w:rPr>
          <w:rFonts w:ascii="Times New Roman" w:hAnsi="Times New Roman" w:eastAsia="宋体" w:cs="Times New Roman"/>
          <w:color w:val="auto"/>
        </w:rPr>
        <w:t>为第i个污染物的地面空气质量浓度达到标准值的10%时所对应的最远距离D</w:t>
      </w:r>
      <w:r>
        <w:rPr>
          <w:rFonts w:ascii="Times New Roman" w:hAnsi="Times New Roman" w:eastAsia="宋体" w:cs="Times New Roman"/>
          <w:color w:val="auto"/>
          <w:vertAlign w:val="subscript"/>
        </w:rPr>
        <w:t>10%</w:t>
      </w:r>
      <w:r>
        <w:rPr>
          <w:rFonts w:ascii="Times New Roman" w:hAnsi="Times New Roman" w:eastAsia="宋体" w:cs="Times New Roman"/>
          <w:color w:val="auto"/>
        </w:rPr>
        <w:t>。</w:t>
      </w:r>
    </w:p>
    <w:p w14:paraId="7C1EC71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Pi的计算式为：</w:t>
      </w:r>
    </w:p>
    <w:p w14:paraId="4A3F7188">
      <w:pPr>
        <w:ind w:firstLine="0" w:firstLineChars="0"/>
        <w:jc w:val="center"/>
        <w:rPr>
          <w:rFonts w:ascii="Times New Roman" w:hAnsi="Times New Roman" w:eastAsia="宋体" w:cs="Times New Roman"/>
          <w:color w:val="auto"/>
          <w:szCs w:val="28"/>
        </w:rPr>
      </w:pPr>
      <w:r>
        <w:rPr>
          <w:rFonts w:ascii="Times New Roman" w:hAnsi="Times New Roman" w:eastAsia="宋体" w:cs="Times New Roman"/>
          <w:color w:val="auto"/>
          <w:szCs w:val="28"/>
        </w:rPr>
        <w:object>
          <v:shape id="_x0000_i1025" o:spt="75" type="#_x0000_t75" style="height:33.75pt;width:77.25pt;" o:ole="t" filled="f" o:preferrelative="t" stroked="f" coordsize="21600,21600">
            <v:path/>
            <v:fill on="f" focussize="0,0"/>
            <v:stroke on="f" joinstyle="miter"/>
            <v:imagedata r:id="rId25" o:title=""/>
            <o:lock v:ext="edit" aspectratio="t"/>
            <w10:wrap type="none"/>
            <w10:anchorlock/>
          </v:shape>
          <o:OLEObject Type="Embed" ProgID="Equation.DSMT4" ShapeID="_x0000_i1025" DrawAspect="Content" ObjectID="_1468075725" r:id="rId24">
            <o:LockedField>false</o:LockedField>
          </o:OLEObject>
        </w:object>
      </w:r>
    </w:p>
    <w:p w14:paraId="296D5A03">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rPr>
      </w:pPr>
      <w:r>
        <w:rPr>
          <w:rFonts w:ascii="Times New Roman" w:hAnsi="Times New Roman"/>
          <w:color w:val="auto"/>
        </w:rPr>
        <w:t>式中：P</w:t>
      </w:r>
      <w:r>
        <w:rPr>
          <w:rFonts w:ascii="Times New Roman" w:hAnsi="Times New Roman"/>
          <w:color w:val="auto"/>
          <w:vertAlign w:val="subscript"/>
        </w:rPr>
        <w:t>i</w:t>
      </w:r>
      <w:r>
        <w:rPr>
          <w:rFonts w:ascii="Times New Roman" w:hAnsi="Times New Roman"/>
          <w:color w:val="auto"/>
        </w:rPr>
        <w:t>—第i个污染物的最大地面空气质量浓度占标率，%；</w:t>
      </w:r>
    </w:p>
    <w:p w14:paraId="2E1328DF">
      <w:pPr>
        <w:pStyle w:val="69"/>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color w:val="auto"/>
        </w:rPr>
      </w:pPr>
      <w:r>
        <w:rPr>
          <w:rFonts w:ascii="Times New Roman" w:hAnsi="Times New Roman"/>
          <w:color w:val="auto"/>
        </w:rPr>
        <w:t>C</w:t>
      </w:r>
      <w:r>
        <w:rPr>
          <w:rFonts w:ascii="Times New Roman" w:hAnsi="Times New Roman"/>
          <w:color w:val="auto"/>
          <w:vertAlign w:val="subscript"/>
        </w:rPr>
        <w:t>i</w:t>
      </w:r>
      <w:r>
        <w:rPr>
          <w:rFonts w:ascii="Times New Roman" w:hAnsi="Times New Roman"/>
          <w:color w:val="auto"/>
        </w:rPr>
        <w:t>—采用估算模型计算出的第i个污染物的最大1h地面空气质量浓度，μg/m</w:t>
      </w:r>
      <w:r>
        <w:rPr>
          <w:rFonts w:ascii="Times New Roman" w:hAnsi="Times New Roman"/>
          <w:color w:val="auto"/>
          <w:vertAlign w:val="superscript"/>
        </w:rPr>
        <w:t>3</w:t>
      </w:r>
      <w:r>
        <w:rPr>
          <w:rFonts w:ascii="Times New Roman" w:hAnsi="Times New Roman"/>
          <w:color w:val="auto"/>
        </w:rPr>
        <w:t>；</w:t>
      </w:r>
    </w:p>
    <w:p w14:paraId="2BF90B3C">
      <w:pPr>
        <w:pStyle w:val="69"/>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color w:val="auto"/>
        </w:rPr>
      </w:pPr>
      <w:r>
        <w:rPr>
          <w:rFonts w:ascii="Times New Roman" w:hAnsi="Times New Roman"/>
          <w:color w:val="auto"/>
        </w:rPr>
        <w:t>Coi—第i个污染物的环境空气质量浓度标准，μg/m³。一般选用GB3095中1h平均质量浓度的二级浓度限值，如项目位于一类环境空气功能区，应选择相应的一级浓度限值；对该标准中未包含的污染物，使用导则（HJ2.2-2018）中5.2确定的各评价因子1h平均质量浓度限值。对仅有8h平均质量浓度限值、日平均质量浓度限值或年平均质量浓度限值的，可分别按2倍、3倍、6倍折算为1h平均质量浓度限值。</w:t>
      </w:r>
    </w:p>
    <w:p w14:paraId="3392055C">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rPr>
      </w:pPr>
      <w:r>
        <w:rPr>
          <w:rFonts w:ascii="Times New Roman" w:hAnsi="Times New Roman"/>
          <w:iCs/>
          <w:color w:val="auto"/>
          <w:kern w:val="0"/>
          <w:szCs w:val="24"/>
        </w:rPr>
        <w:t>本项目大气环境影响评价因子SO</w:t>
      </w:r>
      <w:r>
        <w:rPr>
          <w:rFonts w:ascii="Times New Roman" w:hAnsi="Times New Roman"/>
          <w:iCs/>
          <w:color w:val="auto"/>
          <w:kern w:val="0"/>
          <w:szCs w:val="24"/>
          <w:vertAlign w:val="subscript"/>
        </w:rPr>
        <w:t>2</w:t>
      </w:r>
      <w:r>
        <w:rPr>
          <w:rFonts w:ascii="Times New Roman" w:hAnsi="Times New Roman"/>
          <w:iCs/>
          <w:color w:val="auto"/>
          <w:kern w:val="0"/>
          <w:szCs w:val="24"/>
        </w:rPr>
        <w:t>、NO</w:t>
      </w:r>
      <w:r>
        <w:rPr>
          <w:rFonts w:ascii="Times New Roman" w:hAnsi="Times New Roman"/>
          <w:iCs/>
          <w:color w:val="auto"/>
          <w:kern w:val="0"/>
          <w:szCs w:val="24"/>
          <w:vertAlign w:val="subscript"/>
        </w:rPr>
        <w:t>2</w:t>
      </w:r>
      <w:r>
        <w:rPr>
          <w:rFonts w:ascii="Times New Roman" w:hAnsi="Times New Roman"/>
          <w:color w:val="auto"/>
          <w:szCs w:val="24"/>
        </w:rPr>
        <w:t>选用《环境空气质量标准》（GB3095-20</w:t>
      </w:r>
      <w:r>
        <w:rPr>
          <w:rFonts w:hint="eastAsia" w:ascii="Times New Roman" w:hAnsi="Times New Roman"/>
          <w:color w:val="auto"/>
          <w:szCs w:val="24"/>
          <w:lang w:val="en-US" w:eastAsia="zh-CN"/>
        </w:rPr>
        <w:t>26</w:t>
      </w:r>
      <w:r>
        <w:rPr>
          <w:rFonts w:ascii="Times New Roman" w:hAnsi="Times New Roman"/>
          <w:color w:val="auto"/>
          <w:szCs w:val="24"/>
        </w:rPr>
        <w:t>）表1环境空气污染物基本项目浓度限值中1小时平均浓度限值的二级浓度限值；</w:t>
      </w:r>
      <w:r>
        <w:rPr>
          <w:rFonts w:ascii="Times New Roman" w:hAnsi="Times New Roman"/>
          <w:iCs/>
          <w:color w:val="auto"/>
          <w:kern w:val="0"/>
          <w:szCs w:val="24"/>
        </w:rPr>
        <w:t>PM</w:t>
      </w:r>
      <w:r>
        <w:rPr>
          <w:rFonts w:ascii="Times New Roman" w:hAnsi="Times New Roman"/>
          <w:iCs/>
          <w:color w:val="auto"/>
          <w:kern w:val="0"/>
          <w:szCs w:val="24"/>
          <w:vertAlign w:val="subscript"/>
        </w:rPr>
        <w:t>10</w:t>
      </w:r>
      <w:r>
        <w:rPr>
          <w:rFonts w:ascii="Times New Roman" w:hAnsi="Times New Roman"/>
          <w:iCs/>
          <w:color w:val="auto"/>
          <w:kern w:val="0"/>
          <w:szCs w:val="24"/>
        </w:rPr>
        <w:t>、PM</w:t>
      </w:r>
      <w:r>
        <w:rPr>
          <w:rFonts w:ascii="Times New Roman" w:hAnsi="Times New Roman"/>
          <w:iCs/>
          <w:color w:val="auto"/>
          <w:kern w:val="0"/>
          <w:szCs w:val="24"/>
          <w:vertAlign w:val="subscript"/>
        </w:rPr>
        <w:t>2.5</w:t>
      </w:r>
      <w:r>
        <w:rPr>
          <w:rFonts w:ascii="Times New Roman" w:hAnsi="Times New Roman"/>
          <w:color w:val="auto"/>
          <w:szCs w:val="24"/>
        </w:rPr>
        <w:t>、TSP选用《环境空气质量标准》（GB3095-20</w:t>
      </w:r>
      <w:r>
        <w:rPr>
          <w:rFonts w:hint="eastAsia" w:ascii="Times New Roman" w:hAnsi="Times New Roman"/>
          <w:color w:val="auto"/>
          <w:szCs w:val="24"/>
          <w:lang w:val="en-US" w:eastAsia="zh-CN"/>
        </w:rPr>
        <w:t>26</w:t>
      </w:r>
      <w:r>
        <w:rPr>
          <w:rFonts w:ascii="Times New Roman" w:hAnsi="Times New Roman"/>
          <w:color w:val="auto"/>
          <w:szCs w:val="24"/>
        </w:rPr>
        <w:t>）表1环境空气污染物基本项目浓度限值中1小时平均浓度限值的二级浓度限值中的24小时平均质量浓度值的3倍值；</w:t>
      </w:r>
      <w:r>
        <w:rPr>
          <w:rFonts w:ascii="Times New Roman" w:hAnsi="Times New Roman"/>
          <w:iCs/>
          <w:snapToGrid w:val="0"/>
          <w:color w:val="auto"/>
          <w:kern w:val="0"/>
          <w:szCs w:val="24"/>
        </w:rPr>
        <w:t>汞及其化合物</w:t>
      </w:r>
      <w:r>
        <w:rPr>
          <w:rFonts w:ascii="Times New Roman" w:hAnsi="Times New Roman"/>
          <w:color w:val="auto"/>
          <w:szCs w:val="24"/>
        </w:rPr>
        <w:t>选用《环境空气质量标准》（GB3095-20</w:t>
      </w:r>
      <w:r>
        <w:rPr>
          <w:rFonts w:hint="eastAsia" w:ascii="Times New Roman" w:hAnsi="Times New Roman"/>
          <w:color w:val="auto"/>
          <w:szCs w:val="24"/>
          <w:lang w:val="en-US" w:eastAsia="zh-CN"/>
        </w:rPr>
        <w:t>26</w:t>
      </w:r>
      <w:r>
        <w:rPr>
          <w:rFonts w:ascii="Times New Roman" w:hAnsi="Times New Roman"/>
          <w:color w:val="auto"/>
          <w:szCs w:val="24"/>
        </w:rPr>
        <w:t>）附录A中年平均质量浓度限值的6倍值；</w:t>
      </w:r>
      <w:r>
        <w:rPr>
          <w:rFonts w:ascii="Times New Roman" w:hAnsi="Times New Roman"/>
          <w:iCs/>
          <w:color w:val="auto"/>
          <w:kern w:val="0"/>
          <w:szCs w:val="24"/>
        </w:rPr>
        <w:t>NH</w:t>
      </w:r>
      <w:r>
        <w:rPr>
          <w:rFonts w:ascii="Times New Roman" w:hAnsi="Times New Roman"/>
          <w:iCs/>
          <w:color w:val="auto"/>
          <w:kern w:val="0"/>
          <w:szCs w:val="24"/>
          <w:vertAlign w:val="subscript"/>
        </w:rPr>
        <w:t>3</w:t>
      </w:r>
      <w:r>
        <w:rPr>
          <w:rFonts w:ascii="Times New Roman" w:hAnsi="Times New Roman"/>
          <w:iCs/>
          <w:color w:val="auto"/>
          <w:kern w:val="0"/>
          <w:szCs w:val="24"/>
        </w:rPr>
        <w:t>选用</w:t>
      </w:r>
      <w:r>
        <w:rPr>
          <w:rFonts w:ascii="Times New Roman" w:hAnsi="Times New Roman"/>
          <w:color w:val="auto"/>
          <w:szCs w:val="24"/>
        </w:rPr>
        <w:t>《环境影响评价技术导则 大气环境》（HJ2.2-2018）附录D标准值。</w:t>
      </w:r>
    </w:p>
    <w:p w14:paraId="7105A04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iCs/>
          <w:color w:val="auto"/>
          <w:szCs w:val="24"/>
        </w:rPr>
        <w:t>本项目估算模型参数见表2.4-2，</w:t>
      </w:r>
      <w:r>
        <w:rPr>
          <w:rFonts w:ascii="Times New Roman" w:hAnsi="Times New Roman" w:eastAsia="宋体" w:cs="Times New Roman"/>
          <w:color w:val="auto"/>
          <w:szCs w:val="24"/>
        </w:rPr>
        <w:t>估算模型参数选取如下：</w:t>
      </w:r>
    </w:p>
    <w:p w14:paraId="6EDFAF96">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szCs w:val="24"/>
        </w:rPr>
      </w:pPr>
      <w:r>
        <w:rPr>
          <w:rFonts w:ascii="Times New Roman" w:hAnsi="Times New Roman"/>
          <w:color w:val="auto"/>
          <w:szCs w:val="24"/>
        </w:rPr>
        <w:t>（1）根据《环境影响评价技术导则 大气环境》(HJ2.2-2018)“附录B的B.6.1城市/农村选项—当项目周边3km半径范围内一半以上面积属于城市建成区或者规划区时选择城市，否则选择农村”。因此本次大气环境影响评价选取</w:t>
      </w:r>
      <w:r>
        <w:rPr>
          <w:rFonts w:hint="eastAsia" w:ascii="Times New Roman" w:hAnsi="Times New Roman"/>
          <w:color w:val="auto"/>
          <w:szCs w:val="24"/>
          <w:lang w:val="en-US" w:eastAsia="zh-CN"/>
        </w:rPr>
        <w:t>农村</w:t>
      </w:r>
      <w:r>
        <w:rPr>
          <w:rFonts w:ascii="Times New Roman" w:hAnsi="Times New Roman"/>
          <w:color w:val="auto"/>
          <w:szCs w:val="24"/>
        </w:rPr>
        <w:t>选项。</w:t>
      </w:r>
    </w:p>
    <w:p w14:paraId="3E20DE18">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szCs w:val="24"/>
        </w:rPr>
      </w:pPr>
      <w:r>
        <w:rPr>
          <w:rFonts w:ascii="Times New Roman" w:hAnsi="Times New Roman"/>
          <w:color w:val="auto"/>
          <w:szCs w:val="24"/>
        </w:rPr>
        <w:t>（2）根据《环境影响评价技术导则 大气环境》(HJ2.2-2018)“附录B的B.3.1—估算模型所需最高和最低环境温度，一般需选取评价区域近20年以上资料统计结果”。本项目估算所需最高和最低环境温度取值采用</w:t>
      </w:r>
      <w:r>
        <w:rPr>
          <w:rFonts w:hint="eastAsia" w:ascii="Times New Roman" w:hAnsi="Times New Roman"/>
          <w:color w:val="auto"/>
          <w:szCs w:val="24"/>
          <w:lang w:val="en-US" w:eastAsia="zh-CN"/>
        </w:rPr>
        <w:t>宝清</w:t>
      </w:r>
      <w:r>
        <w:rPr>
          <w:rFonts w:ascii="Times New Roman" w:hAnsi="Times New Roman"/>
          <w:color w:val="auto"/>
          <w:szCs w:val="24"/>
        </w:rPr>
        <w:t>气象站（50</w:t>
      </w:r>
      <w:r>
        <w:rPr>
          <w:rFonts w:hint="eastAsia" w:ascii="Times New Roman" w:hAnsi="Times New Roman"/>
          <w:color w:val="auto"/>
          <w:szCs w:val="24"/>
          <w:lang w:val="en-US" w:eastAsia="zh-CN"/>
        </w:rPr>
        <w:t>888</w:t>
      </w:r>
      <w:r>
        <w:rPr>
          <w:rFonts w:ascii="Times New Roman" w:hAnsi="Times New Roman"/>
          <w:color w:val="auto"/>
          <w:szCs w:val="24"/>
        </w:rPr>
        <w:t>）近20年气象数据统计结果。</w:t>
      </w:r>
    </w:p>
    <w:p w14:paraId="6BD970C9">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szCs w:val="24"/>
        </w:rPr>
      </w:pPr>
      <w:r>
        <w:rPr>
          <w:rFonts w:ascii="Times New Roman" w:hAnsi="Times New Roman"/>
          <w:color w:val="auto"/>
          <w:szCs w:val="24"/>
        </w:rPr>
        <w:t>（3）根据《环境影响评价技术导则 大气环境》(HJ2.2-2018)“附录B的B.5地表参数—AERSCREEN的地表参数根据模型特点取项目周边3km范围内占地面积最大的土地利用类型来确定”。本项目周边3km范围内占地面积最大的土地利用类型为城市建设用地，因此本次大气环境影响评价的土地利用类型为</w:t>
      </w:r>
      <w:r>
        <w:rPr>
          <w:rFonts w:hint="eastAsia" w:ascii="Times New Roman" w:hAnsi="Times New Roman"/>
          <w:color w:val="auto"/>
          <w:szCs w:val="24"/>
          <w:lang w:val="en-US" w:eastAsia="zh-CN"/>
        </w:rPr>
        <w:t>农作地</w:t>
      </w:r>
      <w:r>
        <w:rPr>
          <w:rFonts w:ascii="Times New Roman" w:hAnsi="Times New Roman"/>
          <w:color w:val="auto"/>
          <w:szCs w:val="24"/>
        </w:rPr>
        <w:t>。</w:t>
      </w:r>
    </w:p>
    <w:p w14:paraId="54D24E67">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szCs w:val="24"/>
        </w:rPr>
      </w:pPr>
      <w:r>
        <w:rPr>
          <w:rFonts w:ascii="Times New Roman" w:hAnsi="Times New Roman"/>
          <w:color w:val="auto"/>
          <w:szCs w:val="24"/>
        </w:rPr>
        <w:t>（4）根据《环境影响评价技术导则 大气环境》(HJ2.2-2018)“附录B的B.5地表参数—AERMOD和AERSCREEN所需的区域湿度条件根据中国干湿度分布图判断，经过判定，</w:t>
      </w:r>
      <w:r>
        <w:rPr>
          <w:rFonts w:hint="eastAsia" w:ascii="Times New Roman" w:hAnsi="Times New Roman"/>
          <w:color w:val="auto"/>
          <w:szCs w:val="24"/>
        </w:rPr>
        <w:t>本项目</w:t>
      </w:r>
      <w:r>
        <w:rPr>
          <w:rFonts w:ascii="Times New Roman" w:hAnsi="Times New Roman"/>
          <w:color w:val="auto"/>
          <w:szCs w:val="24"/>
        </w:rPr>
        <w:t>地区属于</w:t>
      </w:r>
      <w:r>
        <w:rPr>
          <w:rFonts w:hint="eastAsia" w:ascii="Times New Roman" w:hAnsi="Times New Roman"/>
          <w:color w:val="auto"/>
          <w:szCs w:val="24"/>
        </w:rPr>
        <w:t>潮湿</w:t>
      </w:r>
      <w:r>
        <w:rPr>
          <w:rFonts w:ascii="Times New Roman" w:hAnsi="Times New Roman"/>
          <w:color w:val="auto"/>
          <w:szCs w:val="24"/>
        </w:rPr>
        <w:t>气候。</w:t>
      </w:r>
    </w:p>
    <w:p w14:paraId="493A170D">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szCs w:val="24"/>
        </w:rPr>
      </w:pPr>
      <w:r>
        <w:rPr>
          <w:rFonts w:ascii="Times New Roman" w:hAnsi="Times New Roman"/>
          <w:color w:val="auto"/>
          <w:szCs w:val="24"/>
        </w:rPr>
        <w:t>（5）根据《环境影响评价技术导则 大气环境》(HJ2.2-2018)“附录B的B.4地形数据—原始地形数据分辨率不得小于90m”，本次大气环境影响评价地形数据分辨率为90m。</w:t>
      </w:r>
    </w:p>
    <w:p w14:paraId="43C32872">
      <w:pPr>
        <w:pStyle w:val="69"/>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color w:val="auto"/>
          <w:szCs w:val="24"/>
        </w:rPr>
      </w:pPr>
      <w:r>
        <w:rPr>
          <w:rFonts w:ascii="Times New Roman" w:hAnsi="Times New Roman"/>
          <w:color w:val="auto"/>
          <w:szCs w:val="24"/>
        </w:rPr>
        <w:t>（6）根据《环境影响评价技术导则 大气环境》(HJ2.2-2018)“附录B的B.6.2-对估算模型AERSCREEN，当污染源附近3km范围内有大型水体时，需选择岸边熏烟选项”，本项目污染源3km范围内无大型水体，因此本次大气环境影响评价不考虑岸线熏烟。</w:t>
      </w:r>
    </w:p>
    <w:p w14:paraId="465ACBCE">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1E1BD85B">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2738573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表2.4-2  本项目估算模型参数表</w:t>
      </w:r>
    </w:p>
    <w:tbl>
      <w:tblPr>
        <w:tblStyle w:val="4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1"/>
        <w:gridCol w:w="2915"/>
        <w:gridCol w:w="2804"/>
      </w:tblGrid>
      <w:tr w14:paraId="4AE41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4" w:type="pct"/>
            <w:gridSpan w:val="2"/>
            <w:tcBorders>
              <w:tl2br w:val="nil"/>
              <w:tr2bl w:val="nil"/>
            </w:tcBorders>
            <w:noWrap w:val="0"/>
            <w:vAlign w:val="center"/>
          </w:tcPr>
          <w:p w14:paraId="701FE23E">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参数</w:t>
            </w:r>
          </w:p>
        </w:tc>
        <w:tc>
          <w:tcPr>
            <w:tcW w:w="1645" w:type="pct"/>
            <w:tcBorders>
              <w:tl2br w:val="nil"/>
              <w:tr2bl w:val="nil"/>
            </w:tcBorders>
            <w:noWrap w:val="0"/>
            <w:vAlign w:val="center"/>
          </w:tcPr>
          <w:p w14:paraId="363FA132">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取值</w:t>
            </w:r>
          </w:p>
        </w:tc>
      </w:tr>
      <w:tr w14:paraId="11225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pct"/>
            <w:vMerge w:val="restart"/>
            <w:tcBorders>
              <w:tl2br w:val="nil"/>
              <w:tr2bl w:val="nil"/>
            </w:tcBorders>
            <w:noWrap w:val="0"/>
            <w:vAlign w:val="center"/>
          </w:tcPr>
          <w:p w14:paraId="4616AF0B">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城市/农村选项</w:t>
            </w:r>
          </w:p>
        </w:tc>
        <w:tc>
          <w:tcPr>
            <w:tcW w:w="1709" w:type="pct"/>
            <w:tcBorders>
              <w:tl2br w:val="nil"/>
              <w:tr2bl w:val="nil"/>
            </w:tcBorders>
            <w:noWrap w:val="0"/>
            <w:vAlign w:val="center"/>
          </w:tcPr>
          <w:p w14:paraId="01235F54">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城市/农村</w:t>
            </w:r>
          </w:p>
        </w:tc>
        <w:tc>
          <w:tcPr>
            <w:tcW w:w="1645" w:type="pct"/>
            <w:tcBorders>
              <w:tl2br w:val="nil"/>
              <w:tr2bl w:val="nil"/>
            </w:tcBorders>
            <w:noWrap w:val="0"/>
            <w:vAlign w:val="center"/>
          </w:tcPr>
          <w:p w14:paraId="0240EBD5">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rPr>
              <w:t>农村</w:t>
            </w:r>
          </w:p>
        </w:tc>
      </w:tr>
      <w:tr w14:paraId="605A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pct"/>
            <w:vMerge w:val="continue"/>
            <w:tcBorders>
              <w:tl2br w:val="nil"/>
              <w:tr2bl w:val="nil"/>
            </w:tcBorders>
            <w:noWrap w:val="0"/>
            <w:vAlign w:val="center"/>
          </w:tcPr>
          <w:p w14:paraId="034B5125">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p>
        </w:tc>
        <w:tc>
          <w:tcPr>
            <w:tcW w:w="1709" w:type="pct"/>
            <w:tcBorders>
              <w:tl2br w:val="nil"/>
              <w:tr2bl w:val="nil"/>
            </w:tcBorders>
            <w:noWrap w:val="0"/>
            <w:vAlign w:val="center"/>
          </w:tcPr>
          <w:p w14:paraId="355BF506">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人口数（城市选项时）</w:t>
            </w:r>
          </w:p>
        </w:tc>
        <w:tc>
          <w:tcPr>
            <w:tcW w:w="1645" w:type="pct"/>
            <w:tcBorders>
              <w:tl2br w:val="nil"/>
              <w:tr2bl w:val="nil"/>
            </w:tcBorders>
            <w:noWrap w:val="0"/>
            <w:vAlign w:val="center"/>
          </w:tcPr>
          <w:p w14:paraId="15CD6C26">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w:t>
            </w:r>
          </w:p>
        </w:tc>
      </w:tr>
      <w:tr w14:paraId="0DF66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4" w:type="pct"/>
            <w:gridSpan w:val="2"/>
            <w:tcBorders>
              <w:tl2br w:val="nil"/>
              <w:tr2bl w:val="nil"/>
            </w:tcBorders>
            <w:noWrap w:val="0"/>
            <w:vAlign w:val="center"/>
          </w:tcPr>
          <w:p w14:paraId="11AF50E9">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最高环境温度/℃</w:t>
            </w:r>
          </w:p>
        </w:tc>
        <w:tc>
          <w:tcPr>
            <w:tcW w:w="1645" w:type="pct"/>
            <w:tcBorders>
              <w:tl2br w:val="nil"/>
              <w:tr2bl w:val="nil"/>
            </w:tcBorders>
            <w:noWrap w:val="0"/>
            <w:vAlign w:val="center"/>
          </w:tcPr>
          <w:p w14:paraId="2057590E">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p>
        </w:tc>
      </w:tr>
      <w:tr w14:paraId="48DF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4" w:type="pct"/>
            <w:gridSpan w:val="2"/>
            <w:tcBorders>
              <w:tl2br w:val="nil"/>
              <w:tr2bl w:val="nil"/>
            </w:tcBorders>
            <w:noWrap w:val="0"/>
            <w:vAlign w:val="center"/>
          </w:tcPr>
          <w:p w14:paraId="3881771F">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最低环境温度/℃</w:t>
            </w:r>
          </w:p>
        </w:tc>
        <w:tc>
          <w:tcPr>
            <w:tcW w:w="1645" w:type="pct"/>
            <w:tcBorders>
              <w:tl2br w:val="nil"/>
              <w:tr2bl w:val="nil"/>
            </w:tcBorders>
            <w:noWrap w:val="0"/>
            <w:vAlign w:val="center"/>
          </w:tcPr>
          <w:p w14:paraId="40093A14">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p>
        </w:tc>
      </w:tr>
      <w:tr w14:paraId="307E3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4" w:type="pct"/>
            <w:gridSpan w:val="2"/>
            <w:tcBorders>
              <w:tl2br w:val="nil"/>
              <w:tr2bl w:val="nil"/>
            </w:tcBorders>
            <w:noWrap w:val="0"/>
            <w:vAlign w:val="center"/>
          </w:tcPr>
          <w:p w14:paraId="673C765C">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土地利用类型</w:t>
            </w:r>
          </w:p>
        </w:tc>
        <w:tc>
          <w:tcPr>
            <w:tcW w:w="1645" w:type="pct"/>
            <w:tcBorders>
              <w:tl2br w:val="nil"/>
              <w:tr2bl w:val="nil"/>
            </w:tcBorders>
            <w:noWrap w:val="0"/>
            <w:vAlign w:val="center"/>
          </w:tcPr>
          <w:p w14:paraId="54433D62">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lang w:eastAsia="zh-CN"/>
              </w:rPr>
            </w:pPr>
            <w:r>
              <w:rPr>
                <w:rFonts w:hint="eastAsia" w:ascii="Times New Roman" w:hAnsi="Times New Roman" w:eastAsia="宋体" w:cs="Times New Roman"/>
                <w:color w:val="auto"/>
                <w:kern w:val="0"/>
                <w:sz w:val="21"/>
                <w:szCs w:val="21"/>
                <w:highlight w:val="none"/>
                <w:lang w:val="en-US" w:eastAsia="zh-CN"/>
              </w:rPr>
              <w:t>农作地</w:t>
            </w:r>
          </w:p>
        </w:tc>
      </w:tr>
      <w:tr w14:paraId="7C892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4" w:type="pct"/>
            <w:gridSpan w:val="2"/>
            <w:tcBorders>
              <w:tl2br w:val="nil"/>
              <w:tr2bl w:val="nil"/>
            </w:tcBorders>
            <w:noWrap w:val="0"/>
            <w:vAlign w:val="center"/>
          </w:tcPr>
          <w:p w14:paraId="213953FD">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区域湿度条件</w:t>
            </w:r>
          </w:p>
        </w:tc>
        <w:tc>
          <w:tcPr>
            <w:tcW w:w="1645" w:type="pct"/>
            <w:tcBorders>
              <w:tl2br w:val="nil"/>
              <w:tr2bl w:val="nil"/>
            </w:tcBorders>
            <w:noWrap w:val="0"/>
            <w:vAlign w:val="center"/>
          </w:tcPr>
          <w:p w14:paraId="64E8F81F">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潮湿气候</w:t>
            </w:r>
          </w:p>
        </w:tc>
      </w:tr>
      <w:tr w14:paraId="2DB41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pct"/>
            <w:vMerge w:val="restart"/>
            <w:tcBorders>
              <w:tl2br w:val="nil"/>
              <w:tr2bl w:val="nil"/>
            </w:tcBorders>
            <w:noWrap w:val="0"/>
            <w:vAlign w:val="center"/>
          </w:tcPr>
          <w:p w14:paraId="5DA13236">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是否考虑地形</w:t>
            </w:r>
          </w:p>
        </w:tc>
        <w:tc>
          <w:tcPr>
            <w:tcW w:w="1709" w:type="pct"/>
            <w:tcBorders>
              <w:tl2br w:val="nil"/>
              <w:tr2bl w:val="nil"/>
            </w:tcBorders>
            <w:noWrap w:val="0"/>
            <w:vAlign w:val="center"/>
          </w:tcPr>
          <w:p w14:paraId="291A5067">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考虑地形</w:t>
            </w:r>
          </w:p>
        </w:tc>
        <w:tc>
          <w:tcPr>
            <w:tcW w:w="1645" w:type="pct"/>
            <w:tcBorders>
              <w:tl2br w:val="nil"/>
              <w:tr2bl w:val="nil"/>
            </w:tcBorders>
            <w:noWrap w:val="0"/>
            <w:vAlign w:val="center"/>
          </w:tcPr>
          <w:p w14:paraId="5824490A">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是</w:t>
            </w:r>
          </w:p>
        </w:tc>
      </w:tr>
      <w:tr w14:paraId="79D82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pct"/>
            <w:vMerge w:val="continue"/>
            <w:tcBorders>
              <w:tl2br w:val="nil"/>
              <w:tr2bl w:val="nil"/>
            </w:tcBorders>
            <w:noWrap w:val="0"/>
            <w:vAlign w:val="center"/>
          </w:tcPr>
          <w:p w14:paraId="1135656F">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p>
        </w:tc>
        <w:tc>
          <w:tcPr>
            <w:tcW w:w="1709" w:type="pct"/>
            <w:tcBorders>
              <w:tl2br w:val="nil"/>
              <w:tr2bl w:val="nil"/>
            </w:tcBorders>
            <w:noWrap w:val="0"/>
            <w:vAlign w:val="center"/>
          </w:tcPr>
          <w:p w14:paraId="53954705">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地形数据分辨率/m</w:t>
            </w:r>
          </w:p>
        </w:tc>
        <w:tc>
          <w:tcPr>
            <w:tcW w:w="1645" w:type="pct"/>
            <w:tcBorders>
              <w:tl2br w:val="nil"/>
              <w:tr2bl w:val="nil"/>
            </w:tcBorders>
            <w:noWrap w:val="0"/>
            <w:vAlign w:val="center"/>
          </w:tcPr>
          <w:p w14:paraId="1EFAB451">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90</w:t>
            </w:r>
          </w:p>
        </w:tc>
      </w:tr>
      <w:tr w14:paraId="0918B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pct"/>
            <w:vMerge w:val="restart"/>
            <w:tcBorders>
              <w:tl2br w:val="nil"/>
              <w:tr2bl w:val="nil"/>
            </w:tcBorders>
            <w:noWrap w:val="0"/>
            <w:vAlign w:val="center"/>
          </w:tcPr>
          <w:p w14:paraId="6A70E81F">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是否考虑岸线熏烟</w:t>
            </w:r>
          </w:p>
        </w:tc>
        <w:tc>
          <w:tcPr>
            <w:tcW w:w="1709" w:type="pct"/>
            <w:tcBorders>
              <w:tl2br w:val="nil"/>
              <w:tr2bl w:val="nil"/>
            </w:tcBorders>
            <w:noWrap w:val="0"/>
            <w:vAlign w:val="center"/>
          </w:tcPr>
          <w:p w14:paraId="24CD504A">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考虑岸线熏烟</w:t>
            </w:r>
          </w:p>
        </w:tc>
        <w:tc>
          <w:tcPr>
            <w:tcW w:w="1645" w:type="pct"/>
            <w:tcBorders>
              <w:tl2br w:val="nil"/>
              <w:tr2bl w:val="nil"/>
            </w:tcBorders>
            <w:noWrap w:val="0"/>
            <w:vAlign w:val="center"/>
          </w:tcPr>
          <w:p w14:paraId="4EE1AFB6">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否</w:t>
            </w:r>
          </w:p>
        </w:tc>
      </w:tr>
      <w:tr w14:paraId="7371B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pct"/>
            <w:vMerge w:val="continue"/>
            <w:tcBorders>
              <w:tl2br w:val="nil"/>
              <w:tr2bl w:val="nil"/>
            </w:tcBorders>
            <w:noWrap w:val="0"/>
            <w:vAlign w:val="center"/>
          </w:tcPr>
          <w:p w14:paraId="3D6701AD">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p>
        </w:tc>
        <w:tc>
          <w:tcPr>
            <w:tcW w:w="1709" w:type="pct"/>
            <w:tcBorders>
              <w:tl2br w:val="nil"/>
              <w:tr2bl w:val="nil"/>
            </w:tcBorders>
            <w:noWrap w:val="0"/>
            <w:vAlign w:val="center"/>
          </w:tcPr>
          <w:p w14:paraId="17A567F5">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岸线距离/km</w:t>
            </w:r>
          </w:p>
        </w:tc>
        <w:tc>
          <w:tcPr>
            <w:tcW w:w="1645" w:type="pct"/>
            <w:tcBorders>
              <w:tl2br w:val="nil"/>
              <w:tr2bl w:val="nil"/>
            </w:tcBorders>
            <w:noWrap w:val="0"/>
            <w:vAlign w:val="center"/>
          </w:tcPr>
          <w:p w14:paraId="2AD5CCF0">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w:t>
            </w:r>
          </w:p>
        </w:tc>
      </w:tr>
      <w:tr w14:paraId="211A5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pct"/>
            <w:vMerge w:val="continue"/>
            <w:tcBorders>
              <w:tl2br w:val="nil"/>
              <w:tr2bl w:val="nil"/>
            </w:tcBorders>
            <w:noWrap w:val="0"/>
            <w:vAlign w:val="center"/>
          </w:tcPr>
          <w:p w14:paraId="1D090CEF">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p>
        </w:tc>
        <w:tc>
          <w:tcPr>
            <w:tcW w:w="1709" w:type="pct"/>
            <w:tcBorders>
              <w:tl2br w:val="nil"/>
              <w:tr2bl w:val="nil"/>
            </w:tcBorders>
            <w:noWrap w:val="0"/>
            <w:vAlign w:val="center"/>
          </w:tcPr>
          <w:p w14:paraId="4B39A3EC">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岸线方向/°</w:t>
            </w:r>
          </w:p>
        </w:tc>
        <w:tc>
          <w:tcPr>
            <w:tcW w:w="1645" w:type="pct"/>
            <w:tcBorders>
              <w:tl2br w:val="nil"/>
              <w:tr2bl w:val="nil"/>
            </w:tcBorders>
            <w:noWrap w:val="0"/>
            <w:vAlign w:val="center"/>
          </w:tcPr>
          <w:p w14:paraId="35D630A0">
            <w:pPr>
              <w:widowControl/>
              <w:adjustRightInd w:val="0"/>
              <w:snapToGrid w:val="0"/>
              <w:spacing w:line="440" w:lineRule="exact"/>
              <w:jc w:val="center"/>
              <w:textAlignment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w:t>
            </w:r>
          </w:p>
        </w:tc>
      </w:tr>
    </w:tbl>
    <w:p w14:paraId="4533F659">
      <w:pPr>
        <w:ind w:firstLine="480"/>
        <w:rPr>
          <w:rFonts w:ascii="Times New Roman" w:hAnsi="Times New Roman" w:eastAsia="宋体" w:cs="Times New Roman"/>
          <w:color w:val="auto"/>
        </w:rPr>
      </w:pPr>
      <w:r>
        <w:rPr>
          <w:rFonts w:ascii="Times New Roman" w:hAnsi="Times New Roman" w:eastAsia="宋体" w:cs="Times New Roman"/>
          <w:color w:val="auto"/>
        </w:rPr>
        <w:t>本项目主要污染物参数表见表2.4-3~表2.4-4，主要污染物估算模型计算结果见</w:t>
      </w:r>
      <w:r>
        <w:rPr>
          <w:rFonts w:hint="eastAsia" w:ascii="Times New Roman" w:hAnsi="Times New Roman" w:eastAsia="宋体" w:cs="Times New Roman"/>
          <w:color w:val="auto"/>
          <w:lang w:val="en-US" w:eastAsia="zh-CN"/>
        </w:rPr>
        <w:t>图2.4-1、</w:t>
      </w:r>
      <w:r>
        <w:rPr>
          <w:rFonts w:ascii="Times New Roman" w:hAnsi="Times New Roman" w:eastAsia="宋体" w:cs="Times New Roman"/>
          <w:color w:val="auto"/>
        </w:rPr>
        <w:t>表2.4-5~表2.4-7。经计算，本项目主要污染物中最大地面浓度占标率为</w:t>
      </w:r>
      <w:r>
        <w:rPr>
          <w:rFonts w:hint="eastAsia" w:ascii="Times New Roman" w:hAnsi="Times New Roman" w:eastAsia="宋体" w:cs="Times New Roman"/>
          <w:color w:val="auto"/>
          <w:lang w:val="en-US" w:eastAsia="zh-CN"/>
        </w:rPr>
        <w:t>锅炉烟囱排放</w:t>
      </w:r>
      <w:r>
        <w:rPr>
          <w:rFonts w:ascii="Times New Roman" w:hAnsi="Times New Roman" w:eastAsia="宋体" w:cs="Times New Roman"/>
          <w:color w:val="auto"/>
        </w:rPr>
        <w:t>的</w:t>
      </w:r>
      <w:r>
        <w:rPr>
          <w:rFonts w:hint="eastAsia" w:ascii="Times New Roman" w:hAnsi="Times New Roman" w:eastAsia="宋体" w:cs="Times New Roman"/>
          <w:color w:val="auto"/>
          <w:lang w:val="en-US" w:eastAsia="zh-CN"/>
        </w:rPr>
        <w:t>NO</w:t>
      </w:r>
      <w:r>
        <w:rPr>
          <w:rFonts w:hint="eastAsia" w:ascii="Times New Roman" w:hAnsi="Times New Roman" w:eastAsia="宋体" w:cs="Times New Roman"/>
          <w:color w:val="auto"/>
          <w:vertAlign w:val="subscript"/>
          <w:lang w:val="en-US" w:eastAsia="zh-CN"/>
        </w:rPr>
        <w:t>2</w:t>
      </w:r>
      <w:r>
        <w:rPr>
          <w:rFonts w:hint="eastAsia" w:ascii="Times New Roman" w:hAnsi="Times New Roman" w:eastAsia="宋体" w:cs="Times New Roman"/>
          <w:color w:val="auto"/>
          <w:lang w:eastAsia="zh-CN"/>
        </w:rPr>
        <w:t>，</w:t>
      </w:r>
      <w:r>
        <w:rPr>
          <w:rFonts w:ascii="Times New Roman" w:hAnsi="Times New Roman" w:eastAsia="宋体" w:cs="Times New Roman"/>
          <w:color w:val="auto"/>
        </w:rPr>
        <w:t>Pmax=</w:t>
      </w:r>
      <w:r>
        <w:rPr>
          <w:rFonts w:hint="eastAsia" w:ascii="Times New Roman" w:hAnsi="Times New Roman" w:eastAsia="宋体" w:cs="Times New Roman"/>
          <w:color w:val="auto"/>
          <w:lang w:val="en-US" w:eastAsia="zh-CN"/>
        </w:rPr>
        <w:t>12.02</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D</w:t>
      </w:r>
      <w:r>
        <w:rPr>
          <w:rFonts w:hint="eastAsia" w:ascii="Times New Roman" w:hAnsi="Times New Roman" w:eastAsia="宋体" w:cs="Times New Roman"/>
          <w:color w:val="auto"/>
          <w:vertAlign w:val="subscript"/>
          <w:lang w:val="en-US" w:eastAsia="zh-CN"/>
        </w:rPr>
        <w:t>10%</w:t>
      </w:r>
      <w:r>
        <w:rPr>
          <w:rFonts w:hint="eastAsia" w:ascii="Times New Roman" w:hAnsi="Times New Roman" w:eastAsia="宋体" w:cs="Times New Roman"/>
          <w:color w:val="auto"/>
          <w:vertAlign w:val="baseline"/>
          <w:lang w:val="en-US" w:eastAsia="zh-CN"/>
        </w:rPr>
        <w:t>最远距离4811m，</w:t>
      </w:r>
      <w:r>
        <w:rPr>
          <w:rFonts w:ascii="Times New Roman" w:hAnsi="Times New Roman" w:eastAsia="宋体" w:cs="Times New Roman"/>
          <w:color w:val="auto"/>
        </w:rPr>
        <w:t>占标率大于10%，根据表2.4-1判定本项目环境空气评价等级为一级。</w:t>
      </w:r>
    </w:p>
    <w:p w14:paraId="24429364">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 xml:space="preserve">2.4.1.2 </w:t>
      </w:r>
      <w:r>
        <w:rPr>
          <w:rFonts w:hint="eastAsia" w:ascii="Times New Roman" w:hAnsi="Times New Roman" w:eastAsia="宋体" w:cs="Times New Roman"/>
          <w:b/>
          <w:bCs w:val="0"/>
          <w:color w:val="auto"/>
          <w:sz w:val="24"/>
          <w:szCs w:val="24"/>
        </w:rPr>
        <w:t>评价范围</w:t>
      </w:r>
    </w:p>
    <w:p w14:paraId="6902C067">
      <w:pPr>
        <w:ind w:firstLine="480"/>
        <w:rPr>
          <w:rFonts w:ascii="Times New Roman" w:hAnsi="Times New Roman" w:eastAsia="宋体" w:cs="Times New Roman"/>
          <w:color w:val="auto"/>
        </w:rPr>
        <w:sectPr>
          <w:footerReference r:id="rId1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ascii="Times New Roman" w:hAnsi="Times New Roman" w:eastAsia="宋体" w:cs="Times New Roman"/>
          <w:color w:val="auto"/>
        </w:rPr>
        <w:t>经计算占标率10%的最远距离D10%为</w:t>
      </w:r>
      <w:r>
        <w:rPr>
          <w:rFonts w:hint="eastAsia" w:ascii="Times New Roman" w:hAnsi="Times New Roman" w:eastAsia="宋体" w:cs="Times New Roman"/>
          <w:color w:val="auto"/>
          <w:lang w:val="en-US" w:eastAsia="zh-CN"/>
        </w:rPr>
        <w:t>4811</w:t>
      </w:r>
      <w:r>
        <w:rPr>
          <w:rFonts w:ascii="Times New Roman" w:hAnsi="Times New Roman" w:eastAsia="宋体" w:cs="Times New Roman"/>
          <w:color w:val="auto"/>
        </w:rPr>
        <w:t>m，根据《环境影响评价技术导则 大气环境》（HJ2.2-2018），本项目</w:t>
      </w:r>
      <w:r>
        <w:rPr>
          <w:rFonts w:hint="eastAsia" w:ascii="Times New Roman" w:hAnsi="Times New Roman" w:eastAsia="宋体" w:cs="Times New Roman"/>
          <w:color w:val="auto"/>
          <w:lang w:val="en-US" w:eastAsia="zh-CN"/>
        </w:rPr>
        <w:t>评价范围根据污染区域外延</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应包括矩形（东西*南北）10.0*10.0km</w:t>
      </w:r>
      <w:r>
        <w:rPr>
          <w:rFonts w:ascii="Times New Roman" w:hAnsi="Times New Roman" w:eastAsia="宋体" w:cs="Times New Roman"/>
          <w:color w:val="auto"/>
        </w:rPr>
        <w:t>，因此，评价范围为以厂址为中心区域，边长</w:t>
      </w:r>
      <w:r>
        <w:rPr>
          <w:rFonts w:hint="eastAsia" w:ascii="Times New Roman" w:hAnsi="Times New Roman" w:eastAsia="宋体" w:cs="Times New Roman"/>
          <w:color w:val="auto"/>
          <w:lang w:val="en-US" w:eastAsia="zh-CN"/>
        </w:rPr>
        <w:t>10</w:t>
      </w:r>
      <w:r>
        <w:rPr>
          <w:rFonts w:ascii="Times New Roman" w:hAnsi="Times New Roman" w:eastAsia="宋体" w:cs="Times New Roman"/>
          <w:color w:val="auto"/>
        </w:rPr>
        <w:t>km的矩形区域作为大气环境影响评价范围。</w:t>
      </w:r>
    </w:p>
    <w:p w14:paraId="48EBA5AA">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color w:val="auto"/>
        </w:rPr>
      </w:pPr>
      <w:r>
        <w:drawing>
          <wp:inline distT="0" distB="0" distL="114300" distR="114300">
            <wp:extent cx="8338820" cy="4759325"/>
            <wp:effectExtent l="0" t="0" r="5080" b="3175"/>
            <wp:docPr id="2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0"/>
                    <pic:cNvPicPr>
                      <a:picLocks noChangeAspect="1"/>
                    </pic:cNvPicPr>
                  </pic:nvPicPr>
                  <pic:blipFill>
                    <a:blip r:embed="rId26"/>
                    <a:stretch>
                      <a:fillRect/>
                    </a:stretch>
                  </pic:blipFill>
                  <pic:spPr>
                    <a:xfrm>
                      <a:off x="0" y="0"/>
                      <a:ext cx="8338820" cy="4759325"/>
                    </a:xfrm>
                    <a:prstGeom prst="rect">
                      <a:avLst/>
                    </a:prstGeom>
                    <a:noFill/>
                    <a:ln>
                      <a:noFill/>
                    </a:ln>
                  </pic:spPr>
                </pic:pic>
              </a:graphicData>
            </a:graphic>
          </wp:inline>
        </w:drawing>
      </w:r>
    </w:p>
    <w:p w14:paraId="13D5E932">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color w:val="FF0000"/>
        </w:rPr>
      </w:pPr>
      <w:r>
        <w:rPr>
          <w:rFonts w:hint="eastAsia" w:eastAsia="宋体" w:cs="Times New Roman"/>
          <w:b/>
          <w:bCs/>
          <w:color w:val="FF0000"/>
          <w:sz w:val="24"/>
          <w:szCs w:val="24"/>
          <w:highlight w:val="none"/>
          <w:lang w:val="en-US" w:eastAsia="zh-CN"/>
        </w:rPr>
        <w:t>图2.4-1  AERSCREEN筛选计算与评价等级</w:t>
      </w:r>
      <w:r>
        <w:rPr>
          <w:color w:val="FF0000"/>
        </w:rPr>
        <w:br w:type="page"/>
      </w:r>
    </w:p>
    <w:p w14:paraId="53EE510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表2.4-3</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本项目污染源排放参数一览表（点源）</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1"/>
        <w:gridCol w:w="1531"/>
        <w:gridCol w:w="1037"/>
        <w:gridCol w:w="873"/>
        <w:gridCol w:w="859"/>
        <w:gridCol w:w="967"/>
        <w:gridCol w:w="853"/>
        <w:gridCol w:w="799"/>
        <w:gridCol w:w="1109"/>
        <w:gridCol w:w="972"/>
        <w:gridCol w:w="881"/>
        <w:gridCol w:w="1125"/>
        <w:gridCol w:w="1550"/>
        <w:gridCol w:w="1006"/>
      </w:tblGrid>
      <w:tr w14:paraId="34667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jc w:val="center"/>
        </w:trPr>
        <w:tc>
          <w:tcPr>
            <w:tcW w:w="212" w:type="pct"/>
            <w:vMerge w:val="restart"/>
            <w:tcBorders>
              <w:tl2br w:val="nil"/>
              <w:tr2bl w:val="nil"/>
            </w:tcBorders>
            <w:vAlign w:val="center"/>
          </w:tcPr>
          <w:p w14:paraId="5936296F">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编号</w:t>
            </w:r>
          </w:p>
        </w:tc>
        <w:tc>
          <w:tcPr>
            <w:tcW w:w="540" w:type="pct"/>
            <w:vMerge w:val="restart"/>
            <w:tcBorders>
              <w:tl2br w:val="nil"/>
              <w:tr2bl w:val="nil"/>
            </w:tcBorders>
            <w:vAlign w:val="center"/>
          </w:tcPr>
          <w:p w14:paraId="24E8F4B2">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工程内容</w:t>
            </w:r>
          </w:p>
        </w:tc>
        <w:tc>
          <w:tcPr>
            <w:tcW w:w="366" w:type="pct"/>
            <w:vMerge w:val="restart"/>
            <w:tcBorders>
              <w:tl2br w:val="nil"/>
              <w:tr2bl w:val="nil"/>
            </w:tcBorders>
            <w:vAlign w:val="center"/>
          </w:tcPr>
          <w:p w14:paraId="7235A307">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污染源名称</w:t>
            </w:r>
          </w:p>
        </w:tc>
        <w:tc>
          <w:tcPr>
            <w:tcW w:w="611" w:type="pct"/>
            <w:gridSpan w:val="2"/>
            <w:tcBorders>
              <w:tl2br w:val="nil"/>
              <w:tr2bl w:val="nil"/>
            </w:tcBorders>
            <w:vAlign w:val="center"/>
          </w:tcPr>
          <w:p w14:paraId="1D4A01DC">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排气筒底部中心坐标/m</w:t>
            </w:r>
          </w:p>
        </w:tc>
        <w:tc>
          <w:tcPr>
            <w:tcW w:w="341" w:type="pct"/>
            <w:vMerge w:val="restart"/>
            <w:tcBorders>
              <w:tl2br w:val="nil"/>
              <w:tr2bl w:val="nil"/>
            </w:tcBorders>
            <w:vAlign w:val="center"/>
          </w:tcPr>
          <w:p w14:paraId="290F1862">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排气筒底部海拔高度/m</w:t>
            </w:r>
          </w:p>
        </w:tc>
        <w:tc>
          <w:tcPr>
            <w:tcW w:w="301" w:type="pct"/>
            <w:vMerge w:val="restart"/>
            <w:tcBorders>
              <w:tl2br w:val="nil"/>
              <w:tr2bl w:val="nil"/>
            </w:tcBorders>
            <w:vAlign w:val="center"/>
          </w:tcPr>
          <w:p w14:paraId="7E9E9D43">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排气筒高度/m</w:t>
            </w:r>
          </w:p>
        </w:tc>
        <w:tc>
          <w:tcPr>
            <w:tcW w:w="282" w:type="pct"/>
            <w:vMerge w:val="restart"/>
            <w:tcBorders>
              <w:tl2br w:val="nil"/>
              <w:tr2bl w:val="nil"/>
            </w:tcBorders>
            <w:vAlign w:val="center"/>
          </w:tcPr>
          <w:p w14:paraId="3636E0C1">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排气筒出口内径/m</w:t>
            </w:r>
          </w:p>
        </w:tc>
        <w:tc>
          <w:tcPr>
            <w:tcW w:w="391" w:type="pct"/>
            <w:vMerge w:val="restart"/>
            <w:tcBorders>
              <w:tl2br w:val="nil"/>
              <w:tr2bl w:val="nil"/>
            </w:tcBorders>
            <w:vAlign w:val="center"/>
          </w:tcPr>
          <w:p w14:paraId="3392CDF2">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烟气</w:t>
            </w:r>
          </w:p>
          <w:p w14:paraId="339DB858">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流量</w:t>
            </w:r>
          </w:p>
          <w:p w14:paraId="523C09F3">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/m</w:t>
            </w:r>
            <w:r>
              <w:rPr>
                <w:rFonts w:ascii="Times New Roman" w:hAnsi="Times New Roman" w:eastAsia="宋体" w:cs="Times New Roman"/>
                <w:color w:val="auto"/>
                <w:kern w:val="0"/>
                <w:sz w:val="21"/>
                <w:szCs w:val="21"/>
                <w:vertAlign w:val="superscript"/>
              </w:rPr>
              <w:t>3</w:t>
            </w:r>
            <w:r>
              <w:rPr>
                <w:rFonts w:ascii="Times New Roman" w:hAnsi="Times New Roman" w:eastAsia="宋体" w:cs="Times New Roman"/>
                <w:color w:val="auto"/>
                <w:kern w:val="0"/>
                <w:sz w:val="21"/>
                <w:szCs w:val="21"/>
              </w:rPr>
              <w:t>/h</w:t>
            </w:r>
          </w:p>
        </w:tc>
        <w:tc>
          <w:tcPr>
            <w:tcW w:w="343" w:type="pct"/>
            <w:vMerge w:val="restart"/>
            <w:tcBorders>
              <w:tl2br w:val="nil"/>
              <w:tr2bl w:val="nil"/>
            </w:tcBorders>
            <w:vAlign w:val="center"/>
          </w:tcPr>
          <w:p w14:paraId="4D2E3A33">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烟气出口温度/℃</w:t>
            </w:r>
          </w:p>
        </w:tc>
        <w:tc>
          <w:tcPr>
            <w:tcW w:w="311" w:type="pct"/>
            <w:vMerge w:val="restart"/>
            <w:tcBorders>
              <w:tl2br w:val="nil"/>
              <w:tr2bl w:val="nil"/>
            </w:tcBorders>
            <w:vAlign w:val="center"/>
          </w:tcPr>
          <w:p w14:paraId="181D0DAF">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年排放小时数/h</w:t>
            </w:r>
          </w:p>
        </w:tc>
        <w:tc>
          <w:tcPr>
            <w:tcW w:w="397" w:type="pct"/>
            <w:vMerge w:val="restart"/>
            <w:tcBorders>
              <w:tl2br w:val="nil"/>
              <w:tr2bl w:val="nil"/>
            </w:tcBorders>
            <w:vAlign w:val="center"/>
          </w:tcPr>
          <w:p w14:paraId="70E40440">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排放工况</w:t>
            </w:r>
          </w:p>
        </w:tc>
        <w:tc>
          <w:tcPr>
            <w:tcW w:w="902" w:type="pct"/>
            <w:gridSpan w:val="2"/>
            <w:vMerge w:val="restart"/>
            <w:tcBorders>
              <w:tl2br w:val="nil"/>
              <w:tr2bl w:val="nil"/>
            </w:tcBorders>
            <w:vAlign w:val="center"/>
          </w:tcPr>
          <w:p w14:paraId="7845BF2B">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污染物排放速率/(kg/h)</w:t>
            </w:r>
          </w:p>
        </w:tc>
      </w:tr>
      <w:tr w14:paraId="569C8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jc w:val="center"/>
        </w:trPr>
        <w:tc>
          <w:tcPr>
            <w:tcW w:w="212" w:type="pct"/>
            <w:vMerge w:val="continue"/>
            <w:tcBorders>
              <w:tl2br w:val="nil"/>
              <w:tr2bl w:val="nil"/>
            </w:tcBorders>
            <w:vAlign w:val="center"/>
          </w:tcPr>
          <w:p w14:paraId="27A613F8">
            <w:pPr>
              <w:widowControl/>
              <w:spacing w:line="240" w:lineRule="auto"/>
              <w:ind w:firstLine="0" w:firstLineChars="0"/>
              <w:jc w:val="center"/>
              <w:rPr>
                <w:rFonts w:ascii="Times New Roman" w:hAnsi="Times New Roman" w:eastAsia="宋体" w:cs="Times New Roman"/>
                <w:color w:val="auto"/>
                <w:kern w:val="0"/>
                <w:sz w:val="21"/>
                <w:szCs w:val="21"/>
              </w:rPr>
            </w:pPr>
          </w:p>
        </w:tc>
        <w:tc>
          <w:tcPr>
            <w:tcW w:w="540" w:type="pct"/>
            <w:vMerge w:val="continue"/>
            <w:tcBorders>
              <w:tl2br w:val="nil"/>
              <w:tr2bl w:val="nil"/>
            </w:tcBorders>
            <w:vAlign w:val="center"/>
          </w:tcPr>
          <w:p w14:paraId="3AD3A711">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66" w:type="pct"/>
            <w:vMerge w:val="continue"/>
            <w:tcBorders>
              <w:tl2br w:val="nil"/>
              <w:tr2bl w:val="nil"/>
            </w:tcBorders>
            <w:vAlign w:val="center"/>
          </w:tcPr>
          <w:p w14:paraId="54C351D0">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8" w:type="pct"/>
            <w:tcBorders>
              <w:tl2br w:val="nil"/>
              <w:tr2bl w:val="nil"/>
            </w:tcBorders>
            <w:vAlign w:val="center"/>
          </w:tcPr>
          <w:p w14:paraId="509FE322">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X</w:t>
            </w:r>
          </w:p>
        </w:tc>
        <w:tc>
          <w:tcPr>
            <w:tcW w:w="303" w:type="pct"/>
            <w:tcBorders>
              <w:tl2br w:val="nil"/>
              <w:tr2bl w:val="nil"/>
            </w:tcBorders>
            <w:vAlign w:val="center"/>
          </w:tcPr>
          <w:p w14:paraId="1E0F45A7">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w:t>
            </w:r>
          </w:p>
        </w:tc>
        <w:tc>
          <w:tcPr>
            <w:tcW w:w="341" w:type="pct"/>
            <w:vMerge w:val="continue"/>
            <w:tcBorders>
              <w:tl2br w:val="nil"/>
              <w:tr2bl w:val="nil"/>
            </w:tcBorders>
            <w:vAlign w:val="center"/>
          </w:tcPr>
          <w:p w14:paraId="75413F97">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7E0BB90B">
            <w:pPr>
              <w:widowControl/>
              <w:spacing w:line="240" w:lineRule="auto"/>
              <w:ind w:firstLine="0" w:firstLineChars="0"/>
              <w:jc w:val="center"/>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1FA5D12F">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91" w:type="pct"/>
            <w:vMerge w:val="continue"/>
            <w:tcBorders>
              <w:tl2br w:val="nil"/>
              <w:tr2bl w:val="nil"/>
            </w:tcBorders>
            <w:vAlign w:val="center"/>
          </w:tcPr>
          <w:p w14:paraId="5B3EAEDB">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3" w:type="pct"/>
            <w:vMerge w:val="continue"/>
            <w:tcBorders>
              <w:tl2br w:val="nil"/>
              <w:tr2bl w:val="nil"/>
            </w:tcBorders>
            <w:vAlign w:val="center"/>
          </w:tcPr>
          <w:p w14:paraId="5C9960AF">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074D099C">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97" w:type="pct"/>
            <w:vMerge w:val="continue"/>
            <w:tcBorders>
              <w:tl2br w:val="nil"/>
              <w:tr2bl w:val="nil"/>
            </w:tcBorders>
            <w:vAlign w:val="center"/>
          </w:tcPr>
          <w:p w14:paraId="69BB159E">
            <w:pPr>
              <w:widowControl/>
              <w:spacing w:line="240" w:lineRule="auto"/>
              <w:ind w:firstLine="0" w:firstLineChars="0"/>
              <w:jc w:val="center"/>
              <w:rPr>
                <w:rFonts w:ascii="Times New Roman" w:hAnsi="Times New Roman" w:eastAsia="宋体" w:cs="Times New Roman"/>
                <w:color w:val="auto"/>
                <w:kern w:val="0"/>
                <w:sz w:val="21"/>
                <w:szCs w:val="21"/>
              </w:rPr>
            </w:pPr>
          </w:p>
        </w:tc>
        <w:tc>
          <w:tcPr>
            <w:tcW w:w="902" w:type="pct"/>
            <w:gridSpan w:val="2"/>
            <w:vMerge w:val="continue"/>
            <w:tcBorders>
              <w:tl2br w:val="nil"/>
              <w:tr2bl w:val="nil"/>
            </w:tcBorders>
            <w:vAlign w:val="center"/>
          </w:tcPr>
          <w:p w14:paraId="308A3026">
            <w:pPr>
              <w:widowControl/>
              <w:spacing w:line="240" w:lineRule="auto"/>
              <w:ind w:firstLine="0" w:firstLineChars="0"/>
              <w:jc w:val="center"/>
              <w:rPr>
                <w:rFonts w:ascii="Times New Roman" w:hAnsi="Times New Roman" w:eastAsia="宋体" w:cs="Times New Roman"/>
                <w:color w:val="auto"/>
                <w:kern w:val="0"/>
                <w:sz w:val="21"/>
                <w:szCs w:val="21"/>
              </w:rPr>
            </w:pPr>
          </w:p>
        </w:tc>
      </w:tr>
      <w:tr w14:paraId="3CBE2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212" w:type="pct"/>
            <w:vMerge w:val="restart"/>
            <w:tcBorders>
              <w:tl2br w:val="nil"/>
              <w:tr2bl w:val="nil"/>
            </w:tcBorders>
            <w:vAlign w:val="center"/>
          </w:tcPr>
          <w:p w14:paraId="6CA898FA">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w:t>
            </w:r>
          </w:p>
        </w:tc>
        <w:tc>
          <w:tcPr>
            <w:tcW w:w="540" w:type="pct"/>
            <w:vMerge w:val="restart"/>
            <w:tcBorders>
              <w:tl2br w:val="nil"/>
              <w:tr2bl w:val="nil"/>
            </w:tcBorders>
            <w:vAlign w:val="center"/>
          </w:tcPr>
          <w:p w14:paraId="3EA52014">
            <w:pPr>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2×42MW热水锅炉</w:t>
            </w:r>
          </w:p>
        </w:tc>
        <w:tc>
          <w:tcPr>
            <w:tcW w:w="366" w:type="pct"/>
            <w:vMerge w:val="restart"/>
            <w:tcBorders>
              <w:tl2br w:val="nil"/>
              <w:tr2bl w:val="nil"/>
            </w:tcBorders>
            <w:vAlign w:val="center"/>
          </w:tcPr>
          <w:p w14:paraId="46018E03">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锅炉烟囱</w:t>
            </w:r>
          </w:p>
        </w:tc>
        <w:tc>
          <w:tcPr>
            <w:tcW w:w="308" w:type="pct"/>
            <w:vMerge w:val="restart"/>
            <w:tcBorders>
              <w:tl2br w:val="nil"/>
              <w:tr2bl w:val="nil"/>
            </w:tcBorders>
            <w:vAlign w:val="center"/>
          </w:tcPr>
          <w:p w14:paraId="164BDFAB">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174</w:t>
            </w:r>
          </w:p>
        </w:tc>
        <w:tc>
          <w:tcPr>
            <w:tcW w:w="303" w:type="pct"/>
            <w:vMerge w:val="restart"/>
            <w:tcBorders>
              <w:tl2br w:val="nil"/>
              <w:tr2bl w:val="nil"/>
            </w:tcBorders>
            <w:vAlign w:val="center"/>
          </w:tcPr>
          <w:p w14:paraId="51F794D3">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196</w:t>
            </w:r>
          </w:p>
        </w:tc>
        <w:tc>
          <w:tcPr>
            <w:tcW w:w="341" w:type="pct"/>
            <w:vMerge w:val="restart"/>
            <w:tcBorders>
              <w:tl2br w:val="nil"/>
              <w:tr2bl w:val="nil"/>
            </w:tcBorders>
            <w:vAlign w:val="center"/>
          </w:tcPr>
          <w:p w14:paraId="3C5F77E9">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125</w:t>
            </w:r>
          </w:p>
        </w:tc>
        <w:tc>
          <w:tcPr>
            <w:tcW w:w="301" w:type="pct"/>
            <w:vMerge w:val="restart"/>
            <w:tcBorders>
              <w:tl2br w:val="nil"/>
              <w:tr2bl w:val="nil"/>
            </w:tcBorders>
            <w:vAlign w:val="center"/>
          </w:tcPr>
          <w:p w14:paraId="36961119">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100</w:t>
            </w:r>
          </w:p>
        </w:tc>
        <w:tc>
          <w:tcPr>
            <w:tcW w:w="282" w:type="pct"/>
            <w:vMerge w:val="restart"/>
            <w:tcBorders>
              <w:tl2br w:val="nil"/>
              <w:tr2bl w:val="nil"/>
            </w:tcBorders>
            <w:vAlign w:val="center"/>
          </w:tcPr>
          <w:p w14:paraId="587AB1B5">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3.2</w:t>
            </w:r>
          </w:p>
        </w:tc>
        <w:tc>
          <w:tcPr>
            <w:tcW w:w="391" w:type="pct"/>
            <w:vMerge w:val="restart"/>
            <w:tcBorders>
              <w:tl2br w:val="nil"/>
              <w:tr2bl w:val="nil"/>
            </w:tcBorders>
            <w:shd w:val="clear" w:color="auto" w:fill="auto"/>
            <w:vAlign w:val="center"/>
          </w:tcPr>
          <w:p w14:paraId="7A762D6A">
            <w:pPr>
              <w:spacing w:line="240" w:lineRule="auto"/>
              <w:ind w:firstLine="0" w:firstLineChars="0"/>
              <w:jc w:val="center"/>
              <w:rPr>
                <w:rFonts w:hint="default" w:ascii="宋体" w:hAnsi="宋体" w:eastAsia="宋体" w:cs="宋体"/>
                <w:color w:val="auto"/>
                <w:sz w:val="22"/>
                <w:lang w:val="en-US" w:eastAsia="zh-CN"/>
              </w:rPr>
            </w:pPr>
            <w:r>
              <w:rPr>
                <w:rFonts w:hint="eastAsia" w:ascii="Times New Roman" w:hAnsi="Times New Roman" w:eastAsia="宋体" w:cs="Times New Roman"/>
                <w:color w:val="auto"/>
                <w:kern w:val="0"/>
                <w:sz w:val="21"/>
                <w:szCs w:val="21"/>
                <w:lang w:val="en-US" w:eastAsia="zh-CN"/>
              </w:rPr>
              <w:t>107980.41</w:t>
            </w:r>
          </w:p>
        </w:tc>
        <w:tc>
          <w:tcPr>
            <w:tcW w:w="343" w:type="pct"/>
            <w:vMerge w:val="restart"/>
            <w:tcBorders>
              <w:tl2br w:val="nil"/>
              <w:tr2bl w:val="nil"/>
            </w:tcBorders>
            <w:vAlign w:val="center"/>
          </w:tcPr>
          <w:p w14:paraId="53123421">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50</w:t>
            </w:r>
          </w:p>
        </w:tc>
        <w:tc>
          <w:tcPr>
            <w:tcW w:w="311" w:type="pct"/>
            <w:vMerge w:val="restart"/>
            <w:tcBorders>
              <w:tl2br w:val="nil"/>
              <w:tr2bl w:val="nil"/>
            </w:tcBorders>
            <w:vAlign w:val="center"/>
          </w:tcPr>
          <w:p w14:paraId="69E20DC6">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2880</w:t>
            </w:r>
          </w:p>
        </w:tc>
        <w:tc>
          <w:tcPr>
            <w:tcW w:w="397" w:type="pct"/>
            <w:vMerge w:val="restart"/>
            <w:tcBorders>
              <w:tl2br w:val="nil"/>
              <w:tr2bl w:val="nil"/>
            </w:tcBorders>
            <w:vAlign w:val="center"/>
          </w:tcPr>
          <w:p w14:paraId="11B3F5A3">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w:t>
            </w:r>
          </w:p>
        </w:tc>
        <w:tc>
          <w:tcPr>
            <w:tcW w:w="547" w:type="pct"/>
            <w:tcBorders>
              <w:tl2br w:val="nil"/>
              <w:tr2bl w:val="nil"/>
            </w:tcBorders>
            <w:vAlign w:val="center"/>
          </w:tcPr>
          <w:p w14:paraId="6F2B168B">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p>
        </w:tc>
        <w:tc>
          <w:tcPr>
            <w:tcW w:w="355" w:type="pct"/>
            <w:tcBorders>
              <w:tl2br w:val="nil"/>
              <w:tr2bl w:val="nil"/>
            </w:tcBorders>
            <w:vAlign w:val="center"/>
          </w:tcPr>
          <w:p w14:paraId="0B9A45C1">
            <w:pPr>
              <w:widowControl/>
              <w:spacing w:line="240" w:lineRule="auto"/>
              <w:ind w:firstLine="0" w:firstLineChars="0"/>
              <w:jc w:val="center"/>
              <w:textAlignment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sz w:val="21"/>
                <w:szCs w:val="21"/>
                <w:highlight w:val="none"/>
                <w:lang w:val="en-US" w:eastAsia="zh-CN"/>
              </w:rPr>
              <w:t>2.427</w:t>
            </w:r>
          </w:p>
        </w:tc>
      </w:tr>
      <w:tr w14:paraId="00362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212" w:type="pct"/>
            <w:vMerge w:val="continue"/>
            <w:tcBorders>
              <w:tl2br w:val="nil"/>
              <w:tr2bl w:val="nil"/>
            </w:tcBorders>
            <w:vAlign w:val="center"/>
          </w:tcPr>
          <w:p w14:paraId="7F20B769">
            <w:pPr>
              <w:spacing w:line="240" w:lineRule="auto"/>
              <w:ind w:firstLine="0" w:firstLineChars="0"/>
              <w:jc w:val="center"/>
              <w:rPr>
                <w:rFonts w:ascii="Times New Roman" w:hAnsi="Times New Roman" w:eastAsia="宋体" w:cs="Times New Roman"/>
                <w:color w:val="auto"/>
                <w:kern w:val="0"/>
                <w:sz w:val="21"/>
                <w:szCs w:val="21"/>
              </w:rPr>
            </w:pPr>
          </w:p>
        </w:tc>
        <w:tc>
          <w:tcPr>
            <w:tcW w:w="540" w:type="pct"/>
            <w:vMerge w:val="continue"/>
            <w:tcBorders>
              <w:tl2br w:val="nil"/>
              <w:tr2bl w:val="nil"/>
            </w:tcBorders>
            <w:vAlign w:val="center"/>
          </w:tcPr>
          <w:p w14:paraId="224A8980">
            <w:pPr>
              <w:spacing w:line="240" w:lineRule="auto"/>
              <w:ind w:firstLine="0" w:firstLineChars="0"/>
              <w:jc w:val="center"/>
              <w:rPr>
                <w:rFonts w:ascii="Times New Roman" w:hAnsi="Times New Roman" w:eastAsia="宋体" w:cs="Times New Roman"/>
                <w:color w:val="auto"/>
                <w:kern w:val="0"/>
                <w:sz w:val="21"/>
                <w:szCs w:val="21"/>
              </w:rPr>
            </w:pPr>
          </w:p>
        </w:tc>
        <w:tc>
          <w:tcPr>
            <w:tcW w:w="366" w:type="pct"/>
            <w:vMerge w:val="continue"/>
            <w:tcBorders>
              <w:tl2br w:val="nil"/>
              <w:tr2bl w:val="nil"/>
            </w:tcBorders>
            <w:vAlign w:val="center"/>
          </w:tcPr>
          <w:p w14:paraId="222AB4BB">
            <w:pPr>
              <w:spacing w:line="240" w:lineRule="auto"/>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1905CB98">
            <w:pPr>
              <w:spacing w:line="240" w:lineRule="auto"/>
              <w:ind w:firstLine="0" w:firstLineChars="0"/>
              <w:jc w:val="center"/>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32BCBF9F">
            <w:pPr>
              <w:spacing w:line="240" w:lineRule="auto"/>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5E244FC7">
            <w:pPr>
              <w:spacing w:line="240" w:lineRule="auto"/>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696931B9">
            <w:pPr>
              <w:spacing w:line="240" w:lineRule="auto"/>
              <w:ind w:firstLine="0" w:firstLineChars="0"/>
              <w:jc w:val="center"/>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49C07450">
            <w:pPr>
              <w:spacing w:line="240" w:lineRule="auto"/>
              <w:ind w:firstLine="0" w:firstLineChars="0"/>
              <w:jc w:val="center"/>
              <w:rPr>
                <w:rFonts w:ascii="Times New Roman" w:hAnsi="Times New Roman" w:eastAsia="宋体" w:cs="Times New Roman"/>
                <w:color w:val="auto"/>
                <w:kern w:val="0"/>
                <w:sz w:val="21"/>
                <w:szCs w:val="21"/>
              </w:rPr>
            </w:pPr>
          </w:p>
        </w:tc>
        <w:tc>
          <w:tcPr>
            <w:tcW w:w="391" w:type="pct"/>
            <w:vMerge w:val="continue"/>
            <w:tcBorders>
              <w:tl2br w:val="nil"/>
              <w:tr2bl w:val="nil"/>
            </w:tcBorders>
            <w:vAlign w:val="center"/>
          </w:tcPr>
          <w:p w14:paraId="7109C437">
            <w:pPr>
              <w:spacing w:line="240" w:lineRule="auto"/>
              <w:ind w:firstLine="0" w:firstLineChars="0"/>
              <w:jc w:val="center"/>
              <w:rPr>
                <w:rFonts w:ascii="Times New Roman" w:hAnsi="Times New Roman" w:eastAsia="宋体" w:cs="Times New Roman"/>
                <w:color w:val="auto"/>
                <w:kern w:val="0"/>
                <w:sz w:val="21"/>
                <w:szCs w:val="21"/>
              </w:rPr>
            </w:pPr>
          </w:p>
        </w:tc>
        <w:tc>
          <w:tcPr>
            <w:tcW w:w="343" w:type="pct"/>
            <w:vMerge w:val="continue"/>
            <w:tcBorders>
              <w:tl2br w:val="nil"/>
              <w:tr2bl w:val="nil"/>
            </w:tcBorders>
            <w:vAlign w:val="center"/>
          </w:tcPr>
          <w:p w14:paraId="15716E40">
            <w:pPr>
              <w:spacing w:line="240" w:lineRule="auto"/>
              <w:ind w:firstLine="0" w:firstLineChars="0"/>
              <w:jc w:val="center"/>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0AB257E3">
            <w:pPr>
              <w:spacing w:line="240" w:lineRule="auto"/>
              <w:ind w:firstLine="0" w:firstLineChars="0"/>
              <w:jc w:val="center"/>
              <w:rPr>
                <w:rFonts w:ascii="Times New Roman" w:hAnsi="Times New Roman" w:eastAsia="宋体" w:cs="Times New Roman"/>
                <w:color w:val="auto"/>
                <w:kern w:val="0"/>
                <w:sz w:val="21"/>
                <w:szCs w:val="21"/>
              </w:rPr>
            </w:pPr>
          </w:p>
        </w:tc>
        <w:tc>
          <w:tcPr>
            <w:tcW w:w="397" w:type="pct"/>
            <w:vMerge w:val="continue"/>
            <w:tcBorders>
              <w:tl2br w:val="nil"/>
              <w:tr2bl w:val="nil"/>
            </w:tcBorders>
            <w:vAlign w:val="center"/>
          </w:tcPr>
          <w:p w14:paraId="10723D07">
            <w:pPr>
              <w:spacing w:line="240" w:lineRule="auto"/>
              <w:ind w:firstLine="0" w:firstLineChars="0"/>
              <w:jc w:val="center"/>
              <w:rPr>
                <w:rFonts w:ascii="Times New Roman" w:hAnsi="Times New Roman" w:eastAsia="宋体" w:cs="Times New Roman"/>
                <w:color w:val="auto"/>
                <w:kern w:val="0"/>
                <w:sz w:val="21"/>
                <w:szCs w:val="21"/>
              </w:rPr>
            </w:pPr>
          </w:p>
        </w:tc>
        <w:tc>
          <w:tcPr>
            <w:tcW w:w="547" w:type="pct"/>
            <w:tcBorders>
              <w:tl2br w:val="nil"/>
              <w:tr2bl w:val="nil"/>
            </w:tcBorders>
            <w:vAlign w:val="center"/>
          </w:tcPr>
          <w:p w14:paraId="415A4020">
            <w:pPr>
              <w:spacing w:line="240" w:lineRule="auto"/>
              <w:ind w:firstLine="0" w:firstLineChars="0"/>
              <w:jc w:val="center"/>
              <w:rPr>
                <w:rFonts w:ascii="Times New Roman" w:hAnsi="Times New Roman" w:eastAsia="宋体" w:cs="Times New Roman"/>
                <w:iCs/>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2.5</w:t>
            </w:r>
          </w:p>
        </w:tc>
        <w:tc>
          <w:tcPr>
            <w:tcW w:w="355" w:type="pct"/>
            <w:tcBorders>
              <w:tl2br w:val="nil"/>
              <w:tr2bl w:val="nil"/>
            </w:tcBorders>
            <w:vAlign w:val="center"/>
          </w:tcPr>
          <w:p w14:paraId="2EF295A8">
            <w:pPr>
              <w:widowControl/>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1.578</w:t>
            </w:r>
          </w:p>
        </w:tc>
      </w:tr>
      <w:tr w14:paraId="70CF6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212" w:type="pct"/>
            <w:vMerge w:val="continue"/>
            <w:tcBorders>
              <w:tl2br w:val="nil"/>
              <w:tr2bl w:val="nil"/>
            </w:tcBorders>
            <w:vAlign w:val="center"/>
          </w:tcPr>
          <w:p w14:paraId="0E5BED9F">
            <w:pPr>
              <w:spacing w:line="240" w:lineRule="auto"/>
              <w:ind w:firstLine="0" w:firstLineChars="0"/>
              <w:jc w:val="center"/>
              <w:rPr>
                <w:rFonts w:ascii="Times New Roman" w:hAnsi="Times New Roman" w:eastAsia="宋体" w:cs="Times New Roman"/>
                <w:color w:val="auto"/>
                <w:kern w:val="0"/>
                <w:sz w:val="21"/>
                <w:szCs w:val="21"/>
              </w:rPr>
            </w:pPr>
          </w:p>
        </w:tc>
        <w:tc>
          <w:tcPr>
            <w:tcW w:w="540" w:type="pct"/>
            <w:vMerge w:val="continue"/>
            <w:tcBorders>
              <w:tl2br w:val="nil"/>
              <w:tr2bl w:val="nil"/>
            </w:tcBorders>
            <w:vAlign w:val="center"/>
          </w:tcPr>
          <w:p w14:paraId="1E39A2A0">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66" w:type="pct"/>
            <w:vMerge w:val="continue"/>
            <w:tcBorders>
              <w:tl2br w:val="nil"/>
              <w:tr2bl w:val="nil"/>
            </w:tcBorders>
            <w:vAlign w:val="center"/>
          </w:tcPr>
          <w:p w14:paraId="58F7E478">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35979BF1">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024C7B26">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651BD9D2">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31461D2D">
            <w:pPr>
              <w:widowControl/>
              <w:spacing w:line="240" w:lineRule="auto"/>
              <w:ind w:firstLine="0" w:firstLineChars="0"/>
              <w:jc w:val="center"/>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1A065EDB">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91" w:type="pct"/>
            <w:vMerge w:val="continue"/>
            <w:tcBorders>
              <w:tl2br w:val="nil"/>
              <w:tr2bl w:val="nil"/>
            </w:tcBorders>
            <w:vAlign w:val="center"/>
          </w:tcPr>
          <w:p w14:paraId="39E3E3F5">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3" w:type="pct"/>
            <w:vMerge w:val="continue"/>
            <w:tcBorders>
              <w:tl2br w:val="nil"/>
              <w:tr2bl w:val="nil"/>
            </w:tcBorders>
            <w:vAlign w:val="center"/>
          </w:tcPr>
          <w:p w14:paraId="380EDB88">
            <w:pPr>
              <w:spacing w:line="240" w:lineRule="auto"/>
              <w:ind w:firstLine="0" w:firstLineChars="0"/>
              <w:jc w:val="center"/>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21AAF80D">
            <w:pPr>
              <w:spacing w:line="240" w:lineRule="auto"/>
              <w:ind w:firstLine="0" w:firstLineChars="0"/>
              <w:jc w:val="center"/>
              <w:rPr>
                <w:rFonts w:ascii="Times New Roman" w:hAnsi="Times New Roman" w:eastAsia="宋体" w:cs="Times New Roman"/>
                <w:color w:val="auto"/>
                <w:kern w:val="0"/>
                <w:sz w:val="21"/>
                <w:szCs w:val="21"/>
              </w:rPr>
            </w:pPr>
          </w:p>
        </w:tc>
        <w:tc>
          <w:tcPr>
            <w:tcW w:w="397" w:type="pct"/>
            <w:vMerge w:val="continue"/>
            <w:tcBorders>
              <w:tl2br w:val="nil"/>
              <w:tr2bl w:val="nil"/>
            </w:tcBorders>
            <w:vAlign w:val="center"/>
          </w:tcPr>
          <w:p w14:paraId="5577E3F4">
            <w:pPr>
              <w:widowControl/>
              <w:spacing w:line="240" w:lineRule="auto"/>
              <w:ind w:firstLine="0" w:firstLineChars="0"/>
              <w:jc w:val="center"/>
              <w:rPr>
                <w:rFonts w:ascii="Times New Roman" w:hAnsi="Times New Roman" w:eastAsia="宋体" w:cs="Times New Roman"/>
                <w:color w:val="auto"/>
                <w:kern w:val="0"/>
                <w:sz w:val="21"/>
                <w:szCs w:val="21"/>
              </w:rPr>
            </w:pPr>
          </w:p>
        </w:tc>
        <w:tc>
          <w:tcPr>
            <w:tcW w:w="547" w:type="pct"/>
            <w:tcBorders>
              <w:tl2br w:val="nil"/>
              <w:tr2bl w:val="nil"/>
            </w:tcBorders>
            <w:vAlign w:val="center"/>
          </w:tcPr>
          <w:p w14:paraId="589FD88A">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SO</w:t>
            </w:r>
            <w:r>
              <w:rPr>
                <w:rFonts w:ascii="Times New Roman" w:hAnsi="Times New Roman" w:eastAsia="宋体" w:cs="Times New Roman"/>
                <w:color w:val="auto"/>
                <w:kern w:val="0"/>
                <w:sz w:val="21"/>
                <w:szCs w:val="21"/>
                <w:vertAlign w:val="subscript"/>
              </w:rPr>
              <w:t>2</w:t>
            </w:r>
          </w:p>
        </w:tc>
        <w:tc>
          <w:tcPr>
            <w:tcW w:w="355" w:type="pct"/>
            <w:tcBorders>
              <w:tl2br w:val="nil"/>
              <w:tr2bl w:val="nil"/>
            </w:tcBorders>
            <w:vAlign w:val="center"/>
          </w:tcPr>
          <w:p w14:paraId="14BDBFFF">
            <w:pPr>
              <w:widowControl/>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3.954</w:t>
            </w:r>
          </w:p>
        </w:tc>
      </w:tr>
      <w:tr w14:paraId="17D7E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212" w:type="pct"/>
            <w:vMerge w:val="continue"/>
            <w:tcBorders>
              <w:tl2br w:val="nil"/>
              <w:tr2bl w:val="nil"/>
            </w:tcBorders>
            <w:vAlign w:val="center"/>
          </w:tcPr>
          <w:p w14:paraId="364D6A42">
            <w:pPr>
              <w:spacing w:line="240" w:lineRule="auto"/>
              <w:ind w:firstLine="0" w:firstLineChars="0"/>
              <w:jc w:val="center"/>
              <w:rPr>
                <w:rFonts w:ascii="Times New Roman" w:hAnsi="Times New Roman" w:eastAsia="宋体" w:cs="Times New Roman"/>
                <w:color w:val="auto"/>
                <w:kern w:val="0"/>
                <w:sz w:val="21"/>
                <w:szCs w:val="21"/>
              </w:rPr>
            </w:pPr>
          </w:p>
        </w:tc>
        <w:tc>
          <w:tcPr>
            <w:tcW w:w="540" w:type="pct"/>
            <w:vMerge w:val="continue"/>
            <w:tcBorders>
              <w:tl2br w:val="nil"/>
              <w:tr2bl w:val="nil"/>
            </w:tcBorders>
            <w:vAlign w:val="center"/>
          </w:tcPr>
          <w:p w14:paraId="66564E8A">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66" w:type="pct"/>
            <w:vMerge w:val="continue"/>
            <w:tcBorders>
              <w:tl2br w:val="nil"/>
              <w:tr2bl w:val="nil"/>
            </w:tcBorders>
            <w:vAlign w:val="center"/>
          </w:tcPr>
          <w:p w14:paraId="4AD4383F">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4EF323CE">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2D52C567">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1AF9CE76">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182995E4">
            <w:pPr>
              <w:widowControl/>
              <w:spacing w:line="240" w:lineRule="auto"/>
              <w:ind w:firstLine="0" w:firstLineChars="0"/>
              <w:jc w:val="center"/>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291A711F">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91" w:type="pct"/>
            <w:vMerge w:val="continue"/>
            <w:tcBorders>
              <w:tl2br w:val="nil"/>
              <w:tr2bl w:val="nil"/>
            </w:tcBorders>
            <w:vAlign w:val="center"/>
          </w:tcPr>
          <w:p w14:paraId="4CFEC822">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3" w:type="pct"/>
            <w:vMerge w:val="continue"/>
            <w:tcBorders>
              <w:tl2br w:val="nil"/>
              <w:tr2bl w:val="nil"/>
            </w:tcBorders>
            <w:vAlign w:val="center"/>
          </w:tcPr>
          <w:p w14:paraId="70C968EF">
            <w:pPr>
              <w:spacing w:line="240" w:lineRule="auto"/>
              <w:ind w:firstLine="0" w:firstLineChars="0"/>
              <w:jc w:val="center"/>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4F9C0D1C">
            <w:pPr>
              <w:spacing w:line="240" w:lineRule="auto"/>
              <w:ind w:firstLine="0" w:firstLineChars="0"/>
              <w:jc w:val="center"/>
              <w:rPr>
                <w:rFonts w:ascii="Times New Roman" w:hAnsi="Times New Roman" w:eastAsia="宋体" w:cs="Times New Roman"/>
                <w:color w:val="auto"/>
                <w:kern w:val="0"/>
                <w:sz w:val="21"/>
                <w:szCs w:val="21"/>
              </w:rPr>
            </w:pPr>
          </w:p>
        </w:tc>
        <w:tc>
          <w:tcPr>
            <w:tcW w:w="397" w:type="pct"/>
            <w:vMerge w:val="continue"/>
            <w:tcBorders>
              <w:tl2br w:val="nil"/>
              <w:tr2bl w:val="nil"/>
            </w:tcBorders>
            <w:vAlign w:val="center"/>
          </w:tcPr>
          <w:p w14:paraId="5FDD7E8E">
            <w:pPr>
              <w:widowControl/>
              <w:spacing w:line="240" w:lineRule="auto"/>
              <w:ind w:firstLine="0" w:firstLineChars="0"/>
              <w:jc w:val="center"/>
              <w:rPr>
                <w:rFonts w:ascii="Times New Roman" w:hAnsi="Times New Roman" w:eastAsia="宋体" w:cs="Times New Roman"/>
                <w:color w:val="auto"/>
                <w:kern w:val="0"/>
                <w:sz w:val="21"/>
                <w:szCs w:val="21"/>
              </w:rPr>
            </w:pPr>
          </w:p>
        </w:tc>
        <w:tc>
          <w:tcPr>
            <w:tcW w:w="547" w:type="pct"/>
            <w:tcBorders>
              <w:tl2br w:val="nil"/>
              <w:tr2bl w:val="nil"/>
            </w:tcBorders>
            <w:vAlign w:val="center"/>
          </w:tcPr>
          <w:p w14:paraId="1FFBCB89">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NO</w:t>
            </w:r>
            <w:r>
              <w:rPr>
                <w:rFonts w:ascii="Times New Roman" w:hAnsi="Times New Roman" w:eastAsia="宋体" w:cs="Times New Roman"/>
                <w:color w:val="auto"/>
                <w:kern w:val="0"/>
                <w:sz w:val="21"/>
                <w:szCs w:val="21"/>
                <w:vertAlign w:val="subscript"/>
              </w:rPr>
              <w:t>x</w:t>
            </w:r>
          </w:p>
        </w:tc>
        <w:tc>
          <w:tcPr>
            <w:tcW w:w="355" w:type="pct"/>
            <w:tcBorders>
              <w:tl2br w:val="nil"/>
              <w:tr2bl w:val="nil"/>
            </w:tcBorders>
            <w:vAlign w:val="center"/>
          </w:tcPr>
          <w:p w14:paraId="10D3C74C">
            <w:pPr>
              <w:widowControl/>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18.897</w:t>
            </w:r>
          </w:p>
        </w:tc>
      </w:tr>
      <w:tr w14:paraId="31B13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212" w:type="pct"/>
            <w:vMerge w:val="continue"/>
            <w:tcBorders>
              <w:tl2br w:val="nil"/>
              <w:tr2bl w:val="nil"/>
            </w:tcBorders>
            <w:vAlign w:val="center"/>
          </w:tcPr>
          <w:p w14:paraId="67FB50C2">
            <w:pPr>
              <w:spacing w:line="240" w:lineRule="auto"/>
              <w:ind w:firstLine="0" w:firstLineChars="0"/>
              <w:jc w:val="center"/>
              <w:rPr>
                <w:rFonts w:ascii="Times New Roman" w:hAnsi="Times New Roman" w:eastAsia="宋体" w:cs="Times New Roman"/>
                <w:color w:val="auto"/>
                <w:kern w:val="0"/>
                <w:sz w:val="21"/>
                <w:szCs w:val="21"/>
              </w:rPr>
            </w:pPr>
          </w:p>
        </w:tc>
        <w:tc>
          <w:tcPr>
            <w:tcW w:w="540" w:type="pct"/>
            <w:vMerge w:val="continue"/>
            <w:tcBorders>
              <w:tl2br w:val="nil"/>
              <w:tr2bl w:val="nil"/>
            </w:tcBorders>
            <w:vAlign w:val="center"/>
          </w:tcPr>
          <w:p w14:paraId="1A3C9BA7">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66" w:type="pct"/>
            <w:vMerge w:val="continue"/>
            <w:tcBorders>
              <w:tl2br w:val="nil"/>
              <w:tr2bl w:val="nil"/>
            </w:tcBorders>
            <w:vAlign w:val="center"/>
          </w:tcPr>
          <w:p w14:paraId="34104B9E">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1FED4139">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21A6F13E">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707945CD">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5BFF22F4">
            <w:pPr>
              <w:widowControl/>
              <w:spacing w:line="240" w:lineRule="auto"/>
              <w:ind w:firstLine="0" w:firstLineChars="0"/>
              <w:jc w:val="center"/>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12F94064">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91" w:type="pct"/>
            <w:vMerge w:val="continue"/>
            <w:tcBorders>
              <w:tl2br w:val="nil"/>
              <w:tr2bl w:val="nil"/>
            </w:tcBorders>
            <w:vAlign w:val="center"/>
          </w:tcPr>
          <w:p w14:paraId="6BEF828B">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3" w:type="pct"/>
            <w:vMerge w:val="continue"/>
            <w:tcBorders>
              <w:tl2br w:val="nil"/>
              <w:tr2bl w:val="nil"/>
            </w:tcBorders>
            <w:vAlign w:val="center"/>
          </w:tcPr>
          <w:p w14:paraId="68ACCF7E">
            <w:pPr>
              <w:spacing w:line="240" w:lineRule="auto"/>
              <w:ind w:firstLine="0" w:firstLineChars="0"/>
              <w:jc w:val="center"/>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3FC46C7D">
            <w:pPr>
              <w:spacing w:line="240" w:lineRule="auto"/>
              <w:ind w:firstLine="0" w:firstLineChars="0"/>
              <w:jc w:val="center"/>
              <w:rPr>
                <w:rFonts w:ascii="Times New Roman" w:hAnsi="Times New Roman" w:eastAsia="宋体" w:cs="Times New Roman"/>
                <w:color w:val="auto"/>
                <w:kern w:val="0"/>
                <w:sz w:val="21"/>
                <w:szCs w:val="21"/>
              </w:rPr>
            </w:pPr>
          </w:p>
        </w:tc>
        <w:tc>
          <w:tcPr>
            <w:tcW w:w="397" w:type="pct"/>
            <w:vMerge w:val="continue"/>
            <w:tcBorders>
              <w:tl2br w:val="nil"/>
              <w:tr2bl w:val="nil"/>
            </w:tcBorders>
            <w:vAlign w:val="center"/>
          </w:tcPr>
          <w:p w14:paraId="00C68949">
            <w:pPr>
              <w:widowControl/>
              <w:spacing w:line="240" w:lineRule="auto"/>
              <w:ind w:firstLine="0" w:firstLineChars="0"/>
              <w:jc w:val="center"/>
              <w:rPr>
                <w:rFonts w:ascii="Times New Roman" w:hAnsi="Times New Roman" w:eastAsia="宋体" w:cs="Times New Roman"/>
                <w:color w:val="auto"/>
                <w:kern w:val="0"/>
                <w:sz w:val="21"/>
                <w:szCs w:val="21"/>
              </w:rPr>
            </w:pPr>
          </w:p>
        </w:tc>
        <w:tc>
          <w:tcPr>
            <w:tcW w:w="547" w:type="pct"/>
            <w:tcBorders>
              <w:tl2br w:val="nil"/>
              <w:tr2bl w:val="nil"/>
            </w:tcBorders>
            <w:vAlign w:val="center"/>
          </w:tcPr>
          <w:p w14:paraId="698D8B5D">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汞及其化合物</w:t>
            </w:r>
          </w:p>
        </w:tc>
        <w:tc>
          <w:tcPr>
            <w:tcW w:w="355" w:type="pct"/>
            <w:tcBorders>
              <w:tl2br w:val="nil"/>
              <w:tr2bl w:val="nil"/>
            </w:tcBorders>
            <w:vAlign w:val="center"/>
          </w:tcPr>
          <w:p w14:paraId="5BC1B5E1">
            <w:pPr>
              <w:widowControl/>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ascii="Times New Roman" w:hAnsi="Times New Roman" w:eastAsia="宋体" w:cs="Times New Roman"/>
                <w:bCs/>
                <w:color w:val="auto"/>
                <w:sz w:val="21"/>
                <w:szCs w:val="21"/>
              </w:rPr>
              <w:t>0.00</w:t>
            </w:r>
            <w:r>
              <w:rPr>
                <w:rFonts w:hint="eastAsia" w:ascii="Times New Roman" w:hAnsi="Times New Roman" w:eastAsia="宋体" w:cs="Times New Roman"/>
                <w:bCs/>
                <w:color w:val="auto"/>
                <w:sz w:val="21"/>
                <w:szCs w:val="21"/>
              </w:rPr>
              <w:t>0</w:t>
            </w:r>
            <w:r>
              <w:rPr>
                <w:rFonts w:hint="eastAsia" w:ascii="Times New Roman" w:hAnsi="Times New Roman" w:eastAsia="宋体" w:cs="Times New Roman"/>
                <w:bCs/>
                <w:color w:val="auto"/>
                <w:sz w:val="21"/>
                <w:szCs w:val="21"/>
                <w:lang w:val="en-US" w:eastAsia="zh-CN"/>
              </w:rPr>
              <w:t>48</w:t>
            </w:r>
          </w:p>
        </w:tc>
      </w:tr>
      <w:tr w14:paraId="6335E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212" w:type="pct"/>
            <w:vMerge w:val="continue"/>
            <w:tcBorders>
              <w:tl2br w:val="nil"/>
              <w:tr2bl w:val="nil"/>
            </w:tcBorders>
            <w:vAlign w:val="center"/>
          </w:tcPr>
          <w:p w14:paraId="18D451AE">
            <w:pPr>
              <w:spacing w:line="240" w:lineRule="auto"/>
              <w:ind w:firstLine="0" w:firstLineChars="0"/>
              <w:jc w:val="center"/>
              <w:rPr>
                <w:rFonts w:ascii="Times New Roman" w:hAnsi="Times New Roman" w:eastAsia="宋体" w:cs="Times New Roman"/>
                <w:color w:val="auto"/>
                <w:kern w:val="0"/>
                <w:sz w:val="21"/>
                <w:szCs w:val="21"/>
              </w:rPr>
            </w:pPr>
          </w:p>
        </w:tc>
        <w:tc>
          <w:tcPr>
            <w:tcW w:w="540" w:type="pct"/>
            <w:vMerge w:val="continue"/>
            <w:tcBorders>
              <w:tl2br w:val="nil"/>
              <w:tr2bl w:val="nil"/>
            </w:tcBorders>
            <w:vAlign w:val="center"/>
          </w:tcPr>
          <w:p w14:paraId="5D741C56">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66" w:type="pct"/>
            <w:vMerge w:val="continue"/>
            <w:tcBorders>
              <w:tl2br w:val="nil"/>
              <w:tr2bl w:val="nil"/>
            </w:tcBorders>
            <w:vAlign w:val="center"/>
          </w:tcPr>
          <w:p w14:paraId="0FABE502">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1C9D80E4">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77ACF0FC">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341654BE">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02CEC303">
            <w:pPr>
              <w:widowControl/>
              <w:spacing w:line="240" w:lineRule="auto"/>
              <w:ind w:firstLine="0" w:firstLineChars="0"/>
              <w:jc w:val="center"/>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5169B523">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91" w:type="pct"/>
            <w:vMerge w:val="continue"/>
            <w:tcBorders>
              <w:tl2br w:val="nil"/>
              <w:tr2bl w:val="nil"/>
            </w:tcBorders>
            <w:vAlign w:val="center"/>
          </w:tcPr>
          <w:p w14:paraId="3A41520D">
            <w:pPr>
              <w:widowControl/>
              <w:spacing w:line="240" w:lineRule="auto"/>
              <w:ind w:firstLine="0" w:firstLineChars="0"/>
              <w:jc w:val="center"/>
              <w:rPr>
                <w:rFonts w:ascii="Times New Roman" w:hAnsi="Times New Roman" w:eastAsia="宋体" w:cs="Times New Roman"/>
                <w:color w:val="auto"/>
                <w:kern w:val="0"/>
                <w:sz w:val="21"/>
                <w:szCs w:val="21"/>
              </w:rPr>
            </w:pPr>
          </w:p>
        </w:tc>
        <w:tc>
          <w:tcPr>
            <w:tcW w:w="343" w:type="pct"/>
            <w:vMerge w:val="continue"/>
            <w:tcBorders>
              <w:tl2br w:val="nil"/>
              <w:tr2bl w:val="nil"/>
            </w:tcBorders>
            <w:vAlign w:val="center"/>
          </w:tcPr>
          <w:p w14:paraId="0C18A055">
            <w:pPr>
              <w:spacing w:line="240" w:lineRule="auto"/>
              <w:ind w:firstLine="0" w:firstLineChars="0"/>
              <w:jc w:val="center"/>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222A2B28">
            <w:pPr>
              <w:spacing w:line="240" w:lineRule="auto"/>
              <w:ind w:firstLine="0" w:firstLineChars="0"/>
              <w:jc w:val="center"/>
              <w:rPr>
                <w:rFonts w:ascii="Times New Roman" w:hAnsi="Times New Roman" w:eastAsia="宋体" w:cs="Times New Roman"/>
                <w:color w:val="auto"/>
                <w:kern w:val="0"/>
                <w:sz w:val="21"/>
                <w:szCs w:val="21"/>
              </w:rPr>
            </w:pPr>
          </w:p>
        </w:tc>
        <w:tc>
          <w:tcPr>
            <w:tcW w:w="397" w:type="pct"/>
            <w:vMerge w:val="continue"/>
            <w:tcBorders>
              <w:tl2br w:val="nil"/>
              <w:tr2bl w:val="nil"/>
            </w:tcBorders>
            <w:vAlign w:val="center"/>
          </w:tcPr>
          <w:p w14:paraId="6A1C6699">
            <w:pPr>
              <w:widowControl/>
              <w:spacing w:line="240" w:lineRule="auto"/>
              <w:ind w:firstLine="0" w:firstLineChars="0"/>
              <w:jc w:val="center"/>
              <w:rPr>
                <w:rFonts w:ascii="Times New Roman" w:hAnsi="Times New Roman" w:eastAsia="宋体" w:cs="Times New Roman"/>
                <w:color w:val="auto"/>
                <w:kern w:val="0"/>
                <w:sz w:val="21"/>
                <w:szCs w:val="21"/>
              </w:rPr>
            </w:pPr>
          </w:p>
        </w:tc>
        <w:tc>
          <w:tcPr>
            <w:tcW w:w="547" w:type="pct"/>
            <w:tcBorders>
              <w:tl2br w:val="nil"/>
              <w:tr2bl w:val="nil"/>
            </w:tcBorders>
            <w:vAlign w:val="center"/>
          </w:tcPr>
          <w:p w14:paraId="5EDAC865">
            <w:pPr>
              <w:spacing w:line="240" w:lineRule="auto"/>
              <w:ind w:firstLine="0" w:firstLineChars="0"/>
              <w:jc w:val="center"/>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NH</w:t>
            </w:r>
            <w:r>
              <w:rPr>
                <w:rFonts w:hint="eastAsia" w:ascii="Times New Roman" w:hAnsi="Times New Roman" w:eastAsia="宋体" w:cs="Times New Roman"/>
                <w:color w:val="FF0000"/>
                <w:kern w:val="0"/>
                <w:sz w:val="21"/>
                <w:szCs w:val="21"/>
                <w:vertAlign w:val="subscript"/>
                <w:lang w:val="en-US" w:eastAsia="zh-CN"/>
              </w:rPr>
              <w:t>3</w:t>
            </w:r>
          </w:p>
        </w:tc>
        <w:tc>
          <w:tcPr>
            <w:tcW w:w="355" w:type="pct"/>
            <w:tcBorders>
              <w:tl2br w:val="nil"/>
              <w:tr2bl w:val="nil"/>
            </w:tcBorders>
            <w:vAlign w:val="center"/>
          </w:tcPr>
          <w:p w14:paraId="22931B29">
            <w:pPr>
              <w:widowControl/>
              <w:spacing w:line="240" w:lineRule="auto"/>
              <w:ind w:firstLine="0" w:firstLineChars="0"/>
              <w:jc w:val="center"/>
              <w:textAlignment w:val="center"/>
              <w:rPr>
                <w:rFonts w:hint="default" w:ascii="Times New Roman" w:hAnsi="Times New Roman" w:eastAsia="宋体" w:cs="Times New Roman"/>
                <w:bCs/>
                <w:color w:val="FF0000"/>
                <w:sz w:val="21"/>
                <w:szCs w:val="21"/>
                <w:lang w:val="en-US" w:eastAsia="zh-CN"/>
              </w:rPr>
            </w:pPr>
            <w:r>
              <w:rPr>
                <w:rFonts w:hint="eastAsia" w:ascii="Times New Roman" w:hAnsi="Times New Roman" w:eastAsia="宋体" w:cs="Times New Roman"/>
                <w:bCs/>
                <w:color w:val="FF0000"/>
                <w:sz w:val="21"/>
                <w:szCs w:val="21"/>
                <w:lang w:val="en-US" w:eastAsia="zh-CN"/>
              </w:rPr>
              <w:t>0.27</w:t>
            </w:r>
          </w:p>
        </w:tc>
      </w:tr>
    </w:tbl>
    <w:p w14:paraId="5AD693C8">
      <w:pPr>
        <w:pStyle w:val="53"/>
        <w:spacing w:line="240" w:lineRule="auto"/>
        <w:ind w:firstLine="360"/>
        <w:textAlignment w:val="auto"/>
        <w:rPr>
          <w:rFonts w:ascii="Times New Roman" w:hAnsi="Times New Roman"/>
          <w:color w:val="auto"/>
          <w:sz w:val="18"/>
          <w:szCs w:val="18"/>
        </w:rPr>
      </w:pPr>
      <w:r>
        <w:rPr>
          <w:rFonts w:ascii="Times New Roman" w:hAnsi="Times New Roman"/>
          <w:color w:val="auto"/>
          <w:sz w:val="18"/>
          <w:szCs w:val="18"/>
        </w:rPr>
        <w:t>注：本次评价以本项目各项污染物的</w:t>
      </w:r>
      <w:r>
        <w:rPr>
          <w:rFonts w:hint="eastAsia" w:ascii="Times New Roman" w:hAnsi="Times New Roman"/>
          <w:color w:val="auto"/>
          <w:sz w:val="18"/>
          <w:szCs w:val="18"/>
        </w:rPr>
        <w:t>预测</w:t>
      </w:r>
      <w:r>
        <w:rPr>
          <w:rFonts w:ascii="Times New Roman" w:hAnsi="Times New Roman"/>
          <w:color w:val="auto"/>
          <w:sz w:val="18"/>
          <w:szCs w:val="18"/>
        </w:rPr>
        <w:t>排放量进行环境空气评价等级的计算，NO</w:t>
      </w:r>
      <w:r>
        <w:rPr>
          <w:rFonts w:ascii="Times New Roman" w:hAnsi="Times New Roman"/>
          <w:color w:val="auto"/>
          <w:sz w:val="18"/>
          <w:szCs w:val="18"/>
          <w:vertAlign w:val="subscript"/>
        </w:rPr>
        <w:t>2</w:t>
      </w:r>
      <w:r>
        <w:rPr>
          <w:rFonts w:ascii="Times New Roman" w:hAnsi="Times New Roman"/>
          <w:color w:val="auto"/>
          <w:sz w:val="18"/>
          <w:szCs w:val="18"/>
        </w:rPr>
        <w:t>=NOx×0.9，细颗粒物PM</w:t>
      </w:r>
      <w:r>
        <w:rPr>
          <w:rFonts w:ascii="Times New Roman" w:hAnsi="Times New Roman"/>
          <w:color w:val="auto"/>
          <w:sz w:val="18"/>
          <w:szCs w:val="18"/>
          <w:vertAlign w:val="subscript"/>
        </w:rPr>
        <w:t>2.5</w:t>
      </w:r>
      <w:r>
        <w:rPr>
          <w:rFonts w:ascii="Times New Roman" w:hAnsi="Times New Roman"/>
          <w:color w:val="auto"/>
          <w:sz w:val="18"/>
          <w:szCs w:val="18"/>
        </w:rPr>
        <w:t>的排放量以烟尘的65%计算。</w:t>
      </w:r>
    </w:p>
    <w:p w14:paraId="1663BDE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FF0000"/>
          <w:sz w:val="24"/>
          <w:szCs w:val="24"/>
          <w:lang w:eastAsia="zh-CN"/>
        </w:rPr>
      </w:pPr>
      <w:r>
        <w:rPr>
          <w:rFonts w:hint="default" w:ascii="Times New Roman" w:hAnsi="Times New Roman" w:eastAsia="宋体" w:cs="Times New Roman"/>
          <w:b/>
          <w:bCs/>
          <w:color w:val="FF0000"/>
          <w:sz w:val="24"/>
          <w:szCs w:val="24"/>
          <w:lang w:eastAsia="zh-CN"/>
        </w:rPr>
        <w:t>表2.4-4</w:t>
      </w:r>
      <w:r>
        <w:rPr>
          <w:rFonts w:hint="eastAsia" w:eastAsia="宋体" w:cs="Times New Roman"/>
          <w:b/>
          <w:bCs/>
          <w:color w:val="FF0000"/>
          <w:sz w:val="24"/>
          <w:szCs w:val="24"/>
          <w:lang w:val="en-US" w:eastAsia="zh-CN"/>
        </w:rPr>
        <w:t xml:space="preserve">  </w:t>
      </w:r>
      <w:r>
        <w:rPr>
          <w:rFonts w:hint="default" w:ascii="Times New Roman" w:hAnsi="Times New Roman" w:eastAsia="宋体" w:cs="Times New Roman"/>
          <w:b/>
          <w:bCs/>
          <w:color w:val="FF0000"/>
          <w:sz w:val="24"/>
          <w:szCs w:val="24"/>
          <w:lang w:eastAsia="zh-CN"/>
        </w:rPr>
        <w:t>本项目污染源排放参数一览表（面源）</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4"/>
        <w:gridCol w:w="1599"/>
        <w:gridCol w:w="1236"/>
        <w:gridCol w:w="1137"/>
        <w:gridCol w:w="956"/>
        <w:gridCol w:w="1080"/>
        <w:gridCol w:w="1069"/>
        <w:gridCol w:w="947"/>
        <w:gridCol w:w="791"/>
        <w:gridCol w:w="1971"/>
        <w:gridCol w:w="1262"/>
        <w:gridCol w:w="1646"/>
      </w:tblGrid>
      <w:tr w14:paraId="3FC01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167" w:type="pct"/>
            <w:vMerge w:val="restart"/>
            <w:tcBorders>
              <w:tl2br w:val="nil"/>
              <w:tr2bl w:val="nil"/>
            </w:tcBorders>
            <w:vAlign w:val="center"/>
          </w:tcPr>
          <w:p w14:paraId="0B275070">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编号</w:t>
            </w:r>
          </w:p>
        </w:tc>
        <w:tc>
          <w:tcPr>
            <w:tcW w:w="564" w:type="pct"/>
            <w:vMerge w:val="restart"/>
            <w:tcBorders>
              <w:tl2br w:val="nil"/>
              <w:tr2bl w:val="nil"/>
            </w:tcBorders>
            <w:vAlign w:val="center"/>
          </w:tcPr>
          <w:p w14:paraId="670276FA">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名称</w:t>
            </w:r>
          </w:p>
        </w:tc>
        <w:tc>
          <w:tcPr>
            <w:tcW w:w="837" w:type="pct"/>
            <w:gridSpan w:val="2"/>
            <w:tcBorders>
              <w:tl2br w:val="nil"/>
              <w:tr2bl w:val="nil"/>
            </w:tcBorders>
            <w:vAlign w:val="center"/>
          </w:tcPr>
          <w:p w14:paraId="37C0EBFE">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起点坐标/m</w:t>
            </w:r>
          </w:p>
        </w:tc>
        <w:tc>
          <w:tcPr>
            <w:tcW w:w="337" w:type="pct"/>
            <w:vMerge w:val="restart"/>
            <w:tcBorders>
              <w:tl2br w:val="nil"/>
              <w:tr2bl w:val="nil"/>
            </w:tcBorders>
            <w:vAlign w:val="center"/>
          </w:tcPr>
          <w:p w14:paraId="7B69C879">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海拔高度/m</w:t>
            </w:r>
          </w:p>
        </w:tc>
        <w:tc>
          <w:tcPr>
            <w:tcW w:w="381" w:type="pct"/>
            <w:vMerge w:val="restart"/>
            <w:tcBorders>
              <w:tl2br w:val="nil"/>
              <w:tr2bl w:val="nil"/>
            </w:tcBorders>
            <w:vAlign w:val="center"/>
          </w:tcPr>
          <w:p w14:paraId="598A575B">
            <w:pPr>
              <w:spacing w:line="240" w:lineRule="auto"/>
              <w:ind w:firstLine="0" w:firstLineChars="0"/>
              <w:jc w:val="center"/>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面源</w:t>
            </w:r>
          </w:p>
          <w:p w14:paraId="5992D83D">
            <w:pPr>
              <w:spacing w:line="240" w:lineRule="auto"/>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rPr>
              <w:t>长度/m</w:t>
            </w:r>
          </w:p>
        </w:tc>
        <w:tc>
          <w:tcPr>
            <w:tcW w:w="377" w:type="pct"/>
            <w:vMerge w:val="restart"/>
            <w:tcBorders>
              <w:tl2br w:val="nil"/>
              <w:tr2bl w:val="nil"/>
            </w:tcBorders>
            <w:vAlign w:val="center"/>
          </w:tcPr>
          <w:p w14:paraId="38957A77">
            <w:pPr>
              <w:spacing w:line="240" w:lineRule="auto"/>
              <w:ind w:firstLine="0" w:firstLineChars="0"/>
              <w:jc w:val="center"/>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面源</w:t>
            </w:r>
          </w:p>
          <w:p w14:paraId="17803487">
            <w:pPr>
              <w:spacing w:line="240" w:lineRule="auto"/>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rPr>
              <w:t>宽度/m</w:t>
            </w:r>
          </w:p>
        </w:tc>
        <w:tc>
          <w:tcPr>
            <w:tcW w:w="334" w:type="pct"/>
            <w:vMerge w:val="restart"/>
            <w:tcBorders>
              <w:tl2br w:val="nil"/>
              <w:tr2bl w:val="nil"/>
            </w:tcBorders>
            <w:vAlign w:val="center"/>
          </w:tcPr>
          <w:p w14:paraId="7E0CD3D2">
            <w:pPr>
              <w:spacing w:line="240" w:lineRule="auto"/>
              <w:ind w:firstLine="0" w:firstLineChars="0"/>
              <w:jc w:val="center"/>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面源</w:t>
            </w:r>
          </w:p>
          <w:p w14:paraId="2275782C">
            <w:pPr>
              <w:spacing w:line="240" w:lineRule="auto"/>
              <w:ind w:firstLine="0" w:firstLineChars="0"/>
              <w:jc w:val="center"/>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高度/m</w:t>
            </w:r>
          </w:p>
        </w:tc>
        <w:tc>
          <w:tcPr>
            <w:tcW w:w="279" w:type="pct"/>
            <w:vMerge w:val="restart"/>
            <w:tcBorders>
              <w:tl2br w:val="nil"/>
              <w:tr2bl w:val="nil"/>
            </w:tcBorders>
            <w:vAlign w:val="center"/>
          </w:tcPr>
          <w:p w14:paraId="681E3090">
            <w:pPr>
              <w:spacing w:line="240" w:lineRule="auto"/>
              <w:ind w:firstLine="0" w:firstLineChars="0"/>
              <w:jc w:val="center"/>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角度</w:t>
            </w:r>
          </w:p>
        </w:tc>
        <w:tc>
          <w:tcPr>
            <w:tcW w:w="695" w:type="pct"/>
            <w:vMerge w:val="restart"/>
            <w:tcBorders>
              <w:tl2br w:val="nil"/>
              <w:tr2bl w:val="nil"/>
            </w:tcBorders>
            <w:vAlign w:val="center"/>
          </w:tcPr>
          <w:p w14:paraId="3E495A12">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年排放小时数/h</w:t>
            </w:r>
          </w:p>
        </w:tc>
        <w:tc>
          <w:tcPr>
            <w:tcW w:w="445" w:type="pct"/>
            <w:vMerge w:val="restart"/>
            <w:tcBorders>
              <w:tl2br w:val="nil"/>
              <w:tr2bl w:val="nil"/>
            </w:tcBorders>
            <w:vAlign w:val="center"/>
          </w:tcPr>
          <w:p w14:paraId="5D19BB01">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排放工况</w:t>
            </w:r>
          </w:p>
        </w:tc>
        <w:tc>
          <w:tcPr>
            <w:tcW w:w="580" w:type="pct"/>
            <w:vMerge w:val="restart"/>
            <w:tcBorders>
              <w:tl2br w:val="nil"/>
              <w:tr2bl w:val="nil"/>
            </w:tcBorders>
            <w:vAlign w:val="center"/>
          </w:tcPr>
          <w:p w14:paraId="758C0D53">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TSP排放速率（</w:t>
            </w:r>
            <w:r>
              <w:rPr>
                <w:rFonts w:hint="eastAsia" w:ascii="Times New Roman" w:hAnsi="Times New Roman"/>
                <w:color w:val="FF0000"/>
                <w:sz w:val="21"/>
                <w:szCs w:val="21"/>
              </w:rPr>
              <w:t>kg/h</w:t>
            </w:r>
            <w:r>
              <w:rPr>
                <w:rFonts w:ascii="Times New Roman" w:hAnsi="Times New Roman"/>
                <w:color w:val="FF0000"/>
                <w:sz w:val="21"/>
                <w:szCs w:val="21"/>
              </w:rPr>
              <w:t>）</w:t>
            </w:r>
          </w:p>
        </w:tc>
      </w:tr>
      <w:tr w14:paraId="7E53C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67" w:type="pct"/>
            <w:vMerge w:val="continue"/>
            <w:tcBorders>
              <w:tl2br w:val="nil"/>
              <w:tr2bl w:val="nil"/>
            </w:tcBorders>
            <w:vAlign w:val="center"/>
          </w:tcPr>
          <w:p w14:paraId="29F1371E">
            <w:pPr>
              <w:pStyle w:val="53"/>
              <w:spacing w:line="240" w:lineRule="auto"/>
              <w:ind w:firstLine="0" w:firstLineChars="0"/>
              <w:jc w:val="center"/>
              <w:textAlignment w:val="auto"/>
              <w:rPr>
                <w:rFonts w:ascii="Times New Roman" w:hAnsi="Times New Roman"/>
                <w:color w:val="FF0000"/>
                <w:sz w:val="21"/>
                <w:szCs w:val="21"/>
              </w:rPr>
            </w:pPr>
          </w:p>
        </w:tc>
        <w:tc>
          <w:tcPr>
            <w:tcW w:w="564" w:type="pct"/>
            <w:vMerge w:val="continue"/>
            <w:tcBorders>
              <w:tl2br w:val="nil"/>
              <w:tr2bl w:val="nil"/>
            </w:tcBorders>
            <w:vAlign w:val="center"/>
          </w:tcPr>
          <w:p w14:paraId="51842465">
            <w:pPr>
              <w:pStyle w:val="53"/>
              <w:spacing w:line="240" w:lineRule="auto"/>
              <w:ind w:firstLine="0" w:firstLineChars="0"/>
              <w:jc w:val="center"/>
              <w:textAlignment w:val="auto"/>
              <w:rPr>
                <w:rFonts w:ascii="Times New Roman" w:hAnsi="Times New Roman"/>
                <w:color w:val="FF0000"/>
                <w:sz w:val="21"/>
                <w:szCs w:val="21"/>
              </w:rPr>
            </w:pPr>
          </w:p>
        </w:tc>
        <w:tc>
          <w:tcPr>
            <w:tcW w:w="436" w:type="pct"/>
            <w:tcBorders>
              <w:tl2br w:val="nil"/>
              <w:tr2bl w:val="nil"/>
            </w:tcBorders>
            <w:vAlign w:val="center"/>
          </w:tcPr>
          <w:p w14:paraId="7BBC298B">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X</w:t>
            </w:r>
          </w:p>
        </w:tc>
        <w:tc>
          <w:tcPr>
            <w:tcW w:w="401" w:type="pct"/>
            <w:tcBorders>
              <w:tl2br w:val="nil"/>
              <w:tr2bl w:val="nil"/>
            </w:tcBorders>
            <w:vAlign w:val="center"/>
          </w:tcPr>
          <w:p w14:paraId="34A4EDA5">
            <w:pPr>
              <w:pStyle w:val="53"/>
              <w:spacing w:line="240" w:lineRule="auto"/>
              <w:ind w:firstLine="0" w:firstLineChars="0"/>
              <w:jc w:val="center"/>
              <w:textAlignment w:val="auto"/>
              <w:rPr>
                <w:rFonts w:ascii="Times New Roman" w:hAnsi="Times New Roman"/>
                <w:color w:val="FF0000"/>
                <w:sz w:val="21"/>
                <w:szCs w:val="21"/>
              </w:rPr>
            </w:pPr>
            <w:r>
              <w:rPr>
                <w:rFonts w:ascii="Times New Roman" w:hAnsi="Times New Roman"/>
                <w:color w:val="FF0000"/>
                <w:sz w:val="21"/>
                <w:szCs w:val="21"/>
              </w:rPr>
              <w:t>Y</w:t>
            </w:r>
          </w:p>
        </w:tc>
        <w:tc>
          <w:tcPr>
            <w:tcW w:w="337" w:type="pct"/>
            <w:vMerge w:val="continue"/>
            <w:tcBorders>
              <w:tl2br w:val="nil"/>
              <w:tr2bl w:val="nil"/>
            </w:tcBorders>
            <w:vAlign w:val="center"/>
          </w:tcPr>
          <w:p w14:paraId="4B7B6783">
            <w:pPr>
              <w:pStyle w:val="53"/>
              <w:spacing w:line="240" w:lineRule="auto"/>
              <w:ind w:firstLine="0" w:firstLineChars="0"/>
              <w:jc w:val="center"/>
              <w:textAlignment w:val="auto"/>
              <w:rPr>
                <w:rFonts w:ascii="Times New Roman" w:hAnsi="Times New Roman"/>
                <w:color w:val="FF0000"/>
                <w:sz w:val="21"/>
                <w:szCs w:val="21"/>
              </w:rPr>
            </w:pPr>
          </w:p>
        </w:tc>
        <w:tc>
          <w:tcPr>
            <w:tcW w:w="381" w:type="pct"/>
            <w:vMerge w:val="continue"/>
            <w:tcBorders>
              <w:tl2br w:val="nil"/>
              <w:tr2bl w:val="nil"/>
            </w:tcBorders>
            <w:vAlign w:val="center"/>
          </w:tcPr>
          <w:p w14:paraId="1A6B7D18">
            <w:pPr>
              <w:pStyle w:val="53"/>
              <w:spacing w:line="240" w:lineRule="auto"/>
              <w:ind w:firstLine="0" w:firstLineChars="0"/>
              <w:jc w:val="center"/>
              <w:textAlignment w:val="auto"/>
              <w:rPr>
                <w:rFonts w:ascii="Times New Roman" w:hAnsi="Times New Roman"/>
                <w:color w:val="FF0000"/>
                <w:sz w:val="21"/>
                <w:szCs w:val="21"/>
              </w:rPr>
            </w:pPr>
          </w:p>
        </w:tc>
        <w:tc>
          <w:tcPr>
            <w:tcW w:w="377" w:type="pct"/>
            <w:vMerge w:val="continue"/>
            <w:tcBorders>
              <w:tl2br w:val="nil"/>
              <w:tr2bl w:val="nil"/>
            </w:tcBorders>
            <w:vAlign w:val="center"/>
          </w:tcPr>
          <w:p w14:paraId="486AC57E">
            <w:pPr>
              <w:pStyle w:val="53"/>
              <w:spacing w:line="240" w:lineRule="auto"/>
              <w:ind w:firstLine="0" w:firstLineChars="0"/>
              <w:jc w:val="center"/>
              <w:textAlignment w:val="auto"/>
              <w:rPr>
                <w:rFonts w:ascii="Times New Roman" w:hAnsi="Times New Roman"/>
                <w:color w:val="FF0000"/>
                <w:sz w:val="21"/>
                <w:szCs w:val="21"/>
              </w:rPr>
            </w:pPr>
          </w:p>
        </w:tc>
        <w:tc>
          <w:tcPr>
            <w:tcW w:w="334" w:type="pct"/>
            <w:vMerge w:val="continue"/>
            <w:tcBorders>
              <w:tl2br w:val="nil"/>
              <w:tr2bl w:val="nil"/>
            </w:tcBorders>
            <w:vAlign w:val="center"/>
          </w:tcPr>
          <w:p w14:paraId="02DCF649">
            <w:pPr>
              <w:pStyle w:val="53"/>
              <w:spacing w:line="240" w:lineRule="auto"/>
              <w:ind w:firstLine="0" w:firstLineChars="0"/>
              <w:jc w:val="center"/>
              <w:textAlignment w:val="auto"/>
              <w:rPr>
                <w:rFonts w:ascii="Times New Roman" w:hAnsi="Times New Roman"/>
                <w:color w:val="FF0000"/>
                <w:sz w:val="21"/>
                <w:szCs w:val="21"/>
              </w:rPr>
            </w:pPr>
          </w:p>
        </w:tc>
        <w:tc>
          <w:tcPr>
            <w:tcW w:w="279" w:type="pct"/>
            <w:vMerge w:val="continue"/>
            <w:tcBorders>
              <w:tl2br w:val="nil"/>
              <w:tr2bl w:val="nil"/>
            </w:tcBorders>
            <w:vAlign w:val="center"/>
          </w:tcPr>
          <w:p w14:paraId="50A0D8A5">
            <w:pPr>
              <w:pStyle w:val="53"/>
              <w:spacing w:line="240" w:lineRule="auto"/>
              <w:ind w:firstLine="0" w:firstLineChars="0"/>
              <w:jc w:val="center"/>
              <w:textAlignment w:val="auto"/>
              <w:rPr>
                <w:rFonts w:ascii="Times New Roman" w:hAnsi="Times New Roman"/>
                <w:color w:val="FF0000"/>
                <w:sz w:val="21"/>
                <w:szCs w:val="21"/>
              </w:rPr>
            </w:pPr>
          </w:p>
        </w:tc>
        <w:tc>
          <w:tcPr>
            <w:tcW w:w="695" w:type="pct"/>
            <w:vMerge w:val="continue"/>
            <w:tcBorders>
              <w:tl2br w:val="nil"/>
              <w:tr2bl w:val="nil"/>
            </w:tcBorders>
            <w:vAlign w:val="center"/>
          </w:tcPr>
          <w:p w14:paraId="41F4BD5B">
            <w:pPr>
              <w:pStyle w:val="53"/>
              <w:spacing w:line="240" w:lineRule="auto"/>
              <w:ind w:firstLine="0" w:firstLineChars="0"/>
              <w:jc w:val="center"/>
              <w:textAlignment w:val="auto"/>
              <w:rPr>
                <w:rFonts w:ascii="Times New Roman" w:hAnsi="Times New Roman"/>
                <w:color w:val="FF0000"/>
                <w:sz w:val="21"/>
                <w:szCs w:val="21"/>
              </w:rPr>
            </w:pPr>
          </w:p>
        </w:tc>
        <w:tc>
          <w:tcPr>
            <w:tcW w:w="445" w:type="pct"/>
            <w:vMerge w:val="continue"/>
            <w:tcBorders>
              <w:tl2br w:val="nil"/>
              <w:tr2bl w:val="nil"/>
            </w:tcBorders>
            <w:vAlign w:val="center"/>
          </w:tcPr>
          <w:p w14:paraId="503C2358">
            <w:pPr>
              <w:pStyle w:val="53"/>
              <w:spacing w:line="240" w:lineRule="auto"/>
              <w:ind w:firstLine="0" w:firstLineChars="0"/>
              <w:jc w:val="center"/>
              <w:textAlignment w:val="auto"/>
              <w:rPr>
                <w:rFonts w:ascii="Times New Roman" w:hAnsi="Times New Roman"/>
                <w:color w:val="FF0000"/>
                <w:sz w:val="21"/>
                <w:szCs w:val="21"/>
              </w:rPr>
            </w:pPr>
          </w:p>
        </w:tc>
        <w:tc>
          <w:tcPr>
            <w:tcW w:w="580" w:type="pct"/>
            <w:vMerge w:val="continue"/>
            <w:tcBorders>
              <w:tl2br w:val="nil"/>
              <w:tr2bl w:val="nil"/>
            </w:tcBorders>
            <w:vAlign w:val="center"/>
          </w:tcPr>
          <w:p w14:paraId="0712CC61">
            <w:pPr>
              <w:pStyle w:val="53"/>
              <w:spacing w:line="240" w:lineRule="auto"/>
              <w:ind w:firstLine="0" w:firstLineChars="0"/>
              <w:jc w:val="center"/>
              <w:textAlignment w:val="auto"/>
              <w:rPr>
                <w:rFonts w:ascii="Times New Roman" w:hAnsi="Times New Roman"/>
                <w:color w:val="FF0000"/>
                <w:sz w:val="21"/>
                <w:szCs w:val="21"/>
              </w:rPr>
            </w:pPr>
          </w:p>
        </w:tc>
      </w:tr>
      <w:tr w14:paraId="6B7E4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67" w:type="pct"/>
            <w:tcBorders>
              <w:tl2br w:val="nil"/>
              <w:tr2bl w:val="nil"/>
            </w:tcBorders>
            <w:vAlign w:val="center"/>
          </w:tcPr>
          <w:p w14:paraId="0DF71080">
            <w:pPr>
              <w:pStyle w:val="53"/>
              <w:spacing w:line="240" w:lineRule="auto"/>
              <w:ind w:firstLine="0" w:firstLineChars="0"/>
              <w:jc w:val="center"/>
              <w:textAlignment w:val="auto"/>
              <w:rPr>
                <w:rFonts w:ascii="Times New Roman" w:hAnsi="Times New Roman"/>
                <w:color w:val="FF0000"/>
                <w:sz w:val="21"/>
                <w:szCs w:val="21"/>
              </w:rPr>
            </w:pPr>
            <w:r>
              <w:rPr>
                <w:rFonts w:hint="eastAsia" w:ascii="Times New Roman" w:hAnsi="Times New Roman"/>
                <w:color w:val="FF0000"/>
                <w:sz w:val="21"/>
                <w:szCs w:val="21"/>
              </w:rPr>
              <w:t>1</w:t>
            </w:r>
          </w:p>
        </w:tc>
        <w:tc>
          <w:tcPr>
            <w:tcW w:w="564" w:type="pct"/>
            <w:tcBorders>
              <w:tl2br w:val="nil"/>
              <w:tr2bl w:val="nil"/>
            </w:tcBorders>
            <w:shd w:val="clear" w:color="auto" w:fill="auto"/>
            <w:vAlign w:val="center"/>
          </w:tcPr>
          <w:p w14:paraId="6A162793">
            <w:pPr>
              <w:widowControl/>
              <w:spacing w:line="240" w:lineRule="auto"/>
              <w:ind w:firstLine="0" w:firstLineChars="0"/>
              <w:jc w:val="center"/>
              <w:rPr>
                <w:rFonts w:hint="eastAsia" w:ascii="Times New Roman" w:hAnsi="Times New Roman" w:eastAsia="宋体" w:cs="Times New Roman"/>
                <w:color w:val="FF0000"/>
                <w:kern w:val="0"/>
                <w:sz w:val="21"/>
                <w:szCs w:val="21"/>
                <w:lang w:val="en-US" w:eastAsia="zh-CN" w:bidi="ar-SA"/>
              </w:rPr>
            </w:pPr>
            <w:r>
              <w:rPr>
                <w:rFonts w:hint="eastAsia" w:ascii="Times New Roman" w:hAnsi="Times New Roman" w:eastAsia="宋体" w:cs="Times New Roman"/>
                <w:color w:val="FF0000"/>
                <w:kern w:val="0"/>
                <w:sz w:val="21"/>
                <w:szCs w:val="21"/>
                <w:lang w:val="en-US" w:eastAsia="zh-CN"/>
              </w:rPr>
              <w:t>封闭煤库</w:t>
            </w:r>
          </w:p>
        </w:tc>
        <w:tc>
          <w:tcPr>
            <w:tcW w:w="436" w:type="pct"/>
            <w:tcBorders>
              <w:tl2br w:val="nil"/>
              <w:tr2bl w:val="nil"/>
            </w:tcBorders>
            <w:shd w:val="clear" w:color="auto" w:fill="auto"/>
            <w:vAlign w:val="center"/>
          </w:tcPr>
          <w:p w14:paraId="7CE3070E">
            <w:pPr>
              <w:pStyle w:val="53"/>
              <w:spacing w:line="240" w:lineRule="auto"/>
              <w:ind w:firstLine="0" w:firstLineChars="0"/>
              <w:jc w:val="center"/>
              <w:textAlignment w:val="auto"/>
              <w:rPr>
                <w:rFonts w:hint="default" w:ascii="Times New Roman" w:hAnsi="Times New Roman" w:eastAsia="宋体" w:cs="Times New Roman"/>
                <w:color w:val="FF0000"/>
                <w:kern w:val="0"/>
                <w:sz w:val="21"/>
                <w:szCs w:val="21"/>
                <w:lang w:val="en-US" w:eastAsia="zh-CN" w:bidi="ar-SA"/>
              </w:rPr>
            </w:pPr>
            <w:r>
              <w:rPr>
                <w:rFonts w:hint="eastAsia" w:ascii="Times New Roman" w:hAnsi="Times New Roman" w:cs="Times New Roman"/>
                <w:color w:val="FF0000"/>
                <w:kern w:val="0"/>
                <w:sz w:val="21"/>
                <w:szCs w:val="21"/>
                <w:lang w:val="en-US" w:eastAsia="zh-CN" w:bidi="ar-SA"/>
              </w:rPr>
              <w:t>230</w:t>
            </w:r>
          </w:p>
        </w:tc>
        <w:tc>
          <w:tcPr>
            <w:tcW w:w="401" w:type="pct"/>
            <w:tcBorders>
              <w:tl2br w:val="nil"/>
              <w:tr2bl w:val="nil"/>
            </w:tcBorders>
            <w:shd w:val="clear" w:color="auto" w:fill="auto"/>
            <w:vAlign w:val="center"/>
          </w:tcPr>
          <w:p w14:paraId="491EC899">
            <w:pPr>
              <w:pStyle w:val="53"/>
              <w:spacing w:line="240" w:lineRule="auto"/>
              <w:ind w:firstLine="0" w:firstLineChars="0"/>
              <w:jc w:val="center"/>
              <w:textAlignment w:val="auto"/>
              <w:rPr>
                <w:rFonts w:hint="default" w:ascii="Times New Roman" w:hAnsi="Times New Roman" w:eastAsia="宋体" w:cs="Times New Roman"/>
                <w:color w:val="FF0000"/>
                <w:kern w:val="0"/>
                <w:sz w:val="21"/>
                <w:szCs w:val="21"/>
                <w:lang w:val="en-US" w:eastAsia="zh-CN" w:bidi="ar-SA"/>
              </w:rPr>
            </w:pPr>
            <w:r>
              <w:rPr>
                <w:rFonts w:hint="eastAsia" w:ascii="Times New Roman" w:hAnsi="Times New Roman" w:cs="Times New Roman"/>
                <w:color w:val="FF0000"/>
                <w:kern w:val="0"/>
                <w:sz w:val="21"/>
                <w:szCs w:val="21"/>
                <w:lang w:val="en-US" w:eastAsia="zh-CN" w:bidi="ar-SA"/>
              </w:rPr>
              <w:t>171</w:t>
            </w:r>
          </w:p>
        </w:tc>
        <w:tc>
          <w:tcPr>
            <w:tcW w:w="337" w:type="pct"/>
            <w:tcBorders>
              <w:tl2br w:val="nil"/>
              <w:tr2bl w:val="nil"/>
            </w:tcBorders>
            <w:shd w:val="clear" w:color="auto" w:fill="auto"/>
            <w:vAlign w:val="center"/>
          </w:tcPr>
          <w:p w14:paraId="4BE28509">
            <w:pPr>
              <w:pStyle w:val="53"/>
              <w:spacing w:line="240" w:lineRule="auto"/>
              <w:ind w:firstLine="0" w:firstLineChars="0"/>
              <w:jc w:val="center"/>
              <w:textAlignment w:val="auto"/>
              <w:rPr>
                <w:rFonts w:hint="default" w:ascii="Times New Roman" w:hAnsi="Times New Roman" w:eastAsia="宋体" w:cs="Times New Roman"/>
                <w:color w:val="FF0000"/>
                <w:kern w:val="0"/>
                <w:sz w:val="21"/>
                <w:szCs w:val="21"/>
                <w:lang w:val="en-US" w:eastAsia="zh-CN" w:bidi="ar-SA"/>
              </w:rPr>
            </w:pPr>
            <w:r>
              <w:rPr>
                <w:rFonts w:hint="eastAsia" w:ascii="Times New Roman" w:hAnsi="Times New Roman"/>
                <w:color w:val="FF0000"/>
                <w:kern w:val="0"/>
                <w:sz w:val="21"/>
                <w:szCs w:val="21"/>
                <w:lang w:val="en-US" w:eastAsia="zh-CN"/>
              </w:rPr>
              <w:t>123</w:t>
            </w:r>
          </w:p>
        </w:tc>
        <w:tc>
          <w:tcPr>
            <w:tcW w:w="381" w:type="pct"/>
            <w:tcBorders>
              <w:tl2br w:val="nil"/>
              <w:tr2bl w:val="nil"/>
            </w:tcBorders>
            <w:shd w:val="clear" w:color="auto" w:fill="auto"/>
            <w:vAlign w:val="center"/>
          </w:tcPr>
          <w:p w14:paraId="0DBC5A9E">
            <w:pPr>
              <w:pStyle w:val="53"/>
              <w:spacing w:line="240" w:lineRule="auto"/>
              <w:ind w:firstLine="0" w:firstLineChars="0"/>
              <w:jc w:val="center"/>
              <w:textAlignment w:val="auto"/>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cs="Times New Roman"/>
                <w:color w:val="FF0000"/>
                <w:kern w:val="2"/>
                <w:sz w:val="21"/>
                <w:szCs w:val="21"/>
                <w:lang w:val="en-US" w:eastAsia="zh-CN" w:bidi="ar-SA"/>
              </w:rPr>
              <w:t>72</w:t>
            </w:r>
          </w:p>
        </w:tc>
        <w:tc>
          <w:tcPr>
            <w:tcW w:w="377" w:type="pct"/>
            <w:tcBorders>
              <w:tl2br w:val="nil"/>
              <w:tr2bl w:val="nil"/>
            </w:tcBorders>
            <w:shd w:val="clear" w:color="auto" w:fill="auto"/>
            <w:vAlign w:val="center"/>
          </w:tcPr>
          <w:p w14:paraId="4BA52AC1">
            <w:pPr>
              <w:pStyle w:val="53"/>
              <w:spacing w:line="240" w:lineRule="auto"/>
              <w:ind w:firstLine="0" w:firstLineChars="0"/>
              <w:jc w:val="center"/>
              <w:textAlignment w:val="auto"/>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cs="Times New Roman"/>
                <w:color w:val="FF0000"/>
                <w:kern w:val="2"/>
                <w:sz w:val="21"/>
                <w:szCs w:val="21"/>
                <w:lang w:val="en-US" w:eastAsia="zh-CN" w:bidi="ar-SA"/>
              </w:rPr>
              <w:t>32</w:t>
            </w:r>
          </w:p>
        </w:tc>
        <w:tc>
          <w:tcPr>
            <w:tcW w:w="334" w:type="pct"/>
            <w:tcBorders>
              <w:tl2br w:val="nil"/>
              <w:tr2bl w:val="nil"/>
            </w:tcBorders>
            <w:shd w:val="clear" w:color="auto" w:fill="auto"/>
            <w:vAlign w:val="center"/>
          </w:tcPr>
          <w:p w14:paraId="2AC43D6A">
            <w:pPr>
              <w:pStyle w:val="53"/>
              <w:spacing w:line="240" w:lineRule="auto"/>
              <w:ind w:firstLine="0" w:firstLineChars="0"/>
              <w:jc w:val="center"/>
              <w:textAlignment w:val="auto"/>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color w:val="FF0000"/>
                <w:sz w:val="21"/>
                <w:szCs w:val="21"/>
                <w:lang w:val="en-US" w:eastAsia="zh-CN"/>
              </w:rPr>
              <w:t>5</w:t>
            </w:r>
          </w:p>
        </w:tc>
        <w:tc>
          <w:tcPr>
            <w:tcW w:w="279" w:type="pct"/>
            <w:tcBorders>
              <w:tl2br w:val="nil"/>
              <w:tr2bl w:val="nil"/>
            </w:tcBorders>
            <w:shd w:val="clear" w:color="auto" w:fill="auto"/>
            <w:vAlign w:val="center"/>
          </w:tcPr>
          <w:p w14:paraId="7AAA4748">
            <w:pPr>
              <w:pStyle w:val="53"/>
              <w:spacing w:line="240" w:lineRule="auto"/>
              <w:ind w:firstLine="0" w:firstLineChars="0"/>
              <w:jc w:val="center"/>
              <w:textAlignment w:val="auto"/>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color w:val="FF0000"/>
                <w:sz w:val="21"/>
                <w:szCs w:val="21"/>
                <w:lang w:val="en-US" w:eastAsia="zh-CN"/>
              </w:rPr>
              <w:t>0</w:t>
            </w:r>
          </w:p>
        </w:tc>
        <w:tc>
          <w:tcPr>
            <w:tcW w:w="695" w:type="pct"/>
            <w:tcBorders>
              <w:tl2br w:val="nil"/>
              <w:tr2bl w:val="nil"/>
            </w:tcBorders>
            <w:shd w:val="clear" w:color="auto" w:fill="auto"/>
            <w:vAlign w:val="center"/>
          </w:tcPr>
          <w:p w14:paraId="19880923">
            <w:pPr>
              <w:autoSpaceDE w:val="0"/>
              <w:autoSpaceDN w:val="0"/>
              <w:adjustRightInd w:val="0"/>
              <w:spacing w:line="240" w:lineRule="auto"/>
              <w:ind w:firstLine="0" w:firstLineChars="0"/>
              <w:jc w:val="center"/>
              <w:rPr>
                <w:rFonts w:hint="default" w:ascii="Times New Roman" w:hAnsi="Times New Roman" w:cs="Times New Roman" w:eastAsiaTheme="minorEastAsia"/>
                <w:color w:val="FF0000"/>
                <w:kern w:val="2"/>
                <w:sz w:val="21"/>
                <w:szCs w:val="21"/>
                <w:lang w:val="en-US" w:eastAsia="zh-CN" w:bidi="ar-SA"/>
              </w:rPr>
            </w:pPr>
            <w:r>
              <w:rPr>
                <w:rFonts w:hint="eastAsia" w:ascii="Times New Roman" w:hAnsi="Times New Roman" w:cs="Times New Roman"/>
                <w:color w:val="FF0000"/>
                <w:sz w:val="21"/>
                <w:szCs w:val="21"/>
                <w:lang w:val="en-US" w:eastAsia="zh-CN"/>
              </w:rPr>
              <w:t>180</w:t>
            </w:r>
          </w:p>
        </w:tc>
        <w:tc>
          <w:tcPr>
            <w:tcW w:w="445" w:type="pct"/>
            <w:tcBorders>
              <w:tl2br w:val="nil"/>
              <w:tr2bl w:val="nil"/>
            </w:tcBorders>
            <w:shd w:val="clear" w:color="auto" w:fill="auto"/>
            <w:vAlign w:val="center"/>
          </w:tcPr>
          <w:p w14:paraId="314F0ADD">
            <w:pPr>
              <w:autoSpaceDE w:val="0"/>
              <w:autoSpaceDN w:val="0"/>
              <w:adjustRightInd w:val="0"/>
              <w:spacing w:line="240" w:lineRule="auto"/>
              <w:ind w:firstLine="0" w:firstLineChars="0"/>
              <w:jc w:val="center"/>
              <w:rPr>
                <w:rFonts w:ascii="Times New Roman" w:hAnsi="Times New Roman" w:eastAsia="宋体" w:cs="Times New Roman"/>
                <w:color w:val="FF0000"/>
                <w:kern w:val="2"/>
                <w:sz w:val="21"/>
                <w:szCs w:val="21"/>
                <w:lang w:val="en-US" w:eastAsia="zh-CN" w:bidi="ar-SA"/>
              </w:rPr>
            </w:pPr>
            <w:r>
              <w:rPr>
                <w:rFonts w:ascii="Times New Roman" w:hAnsi="Times New Roman" w:eastAsia="宋体" w:cs="Times New Roman"/>
                <w:color w:val="FF0000"/>
                <w:sz w:val="21"/>
                <w:szCs w:val="21"/>
              </w:rPr>
              <w:t>正常工况</w:t>
            </w:r>
          </w:p>
        </w:tc>
        <w:tc>
          <w:tcPr>
            <w:tcW w:w="580" w:type="pct"/>
            <w:tcBorders>
              <w:tl2br w:val="nil"/>
              <w:tr2bl w:val="nil"/>
            </w:tcBorders>
            <w:shd w:val="clear" w:color="auto" w:fill="auto"/>
            <w:vAlign w:val="center"/>
          </w:tcPr>
          <w:p w14:paraId="145ADDCD">
            <w:pPr>
              <w:pStyle w:val="53"/>
              <w:spacing w:line="240" w:lineRule="auto"/>
              <w:ind w:firstLine="0" w:firstLineChars="0"/>
              <w:jc w:val="center"/>
              <w:textAlignment w:val="auto"/>
              <w:rPr>
                <w:rFonts w:hint="default" w:ascii="Times New Roman" w:hAnsi="Times New Roman" w:eastAsia="宋体" w:cs="Times New Roman"/>
                <w:color w:val="FF0000"/>
                <w:kern w:val="2"/>
                <w:sz w:val="21"/>
                <w:szCs w:val="21"/>
                <w:lang w:val="en-US" w:eastAsia="zh-CN" w:bidi="ar-SA"/>
              </w:rPr>
            </w:pPr>
            <w:r>
              <w:rPr>
                <w:rFonts w:hint="eastAsia" w:ascii="Times New Roman" w:hAnsi="Times New Roman"/>
                <w:color w:val="FF0000"/>
                <w:sz w:val="21"/>
                <w:szCs w:val="21"/>
                <w:lang w:val="en-US" w:eastAsia="zh-CN"/>
              </w:rPr>
              <w:t>0.003</w:t>
            </w:r>
          </w:p>
        </w:tc>
      </w:tr>
    </w:tbl>
    <w:p w14:paraId="2C4D91B8">
      <w:pPr>
        <w:pStyle w:val="53"/>
        <w:spacing w:line="240" w:lineRule="auto"/>
        <w:ind w:firstLine="360"/>
        <w:textAlignment w:val="auto"/>
        <w:rPr>
          <w:rFonts w:hint="default" w:ascii="Times New Roman" w:eastAsia="宋体"/>
          <w:color w:val="FF0000"/>
          <w:szCs w:val="24"/>
          <w:lang w:val="en-US" w:eastAsia="zh-CN"/>
        </w:rPr>
      </w:pPr>
      <w:r>
        <w:rPr>
          <w:rFonts w:hint="eastAsia" w:ascii="Times New Roman" w:hAnsi="Times New Roman"/>
          <w:color w:val="FF0000"/>
          <w:sz w:val="18"/>
          <w:szCs w:val="18"/>
          <w:lang w:val="en-US" w:eastAsia="zh-CN"/>
        </w:rPr>
        <w:t>注：①本项目封闭煤库正常堆存期间，且煤库设置喷淋抑尘，因此，本次评价主要考虑原煤装卸产生的扬尘影响，以每天装卸作业1h计，则年作业时间180h。封闭煤库高15m，本次评价面源高度以保守值考虑，即原煤堆放高度5m计。②本项目现有工程燃煤量为55209.6t/a，本次改建后，年燃煤量为49622.4t/a。项目碎煤机室利旧，项目燃煤量减少的情况下，本次评价认为碎煤工序污染影响应当有所减轻，因此不再进行赘述。</w:t>
      </w:r>
    </w:p>
    <w:p w14:paraId="13D314F8">
      <w:pPr>
        <w:rPr>
          <w:rFonts w:ascii="Times New Roman"/>
          <w:color w:val="auto"/>
          <w:szCs w:val="24"/>
        </w:rPr>
      </w:pPr>
    </w:p>
    <w:p w14:paraId="3E249A1E">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 xml:space="preserve">表2.4-5 </w:t>
      </w:r>
      <w:r>
        <w:rPr>
          <w:rFonts w:hint="eastAsia"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本项目主要污染源估算模型计算结果表（锅炉点源）</w:t>
      </w:r>
    </w:p>
    <w:tbl>
      <w:tblPr>
        <w:tblStyle w:val="40"/>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3191"/>
        <w:gridCol w:w="909"/>
        <w:gridCol w:w="915"/>
        <w:gridCol w:w="892"/>
        <w:gridCol w:w="889"/>
        <w:gridCol w:w="957"/>
        <w:gridCol w:w="962"/>
        <w:gridCol w:w="873"/>
        <w:gridCol w:w="881"/>
        <w:gridCol w:w="873"/>
        <w:gridCol w:w="881"/>
        <w:gridCol w:w="876"/>
        <w:gridCol w:w="886"/>
      </w:tblGrid>
      <w:tr w14:paraId="310BF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jc w:val="center"/>
        </w:trPr>
        <w:tc>
          <w:tcPr>
            <w:tcW w:w="1141" w:type="pct"/>
            <w:vMerge w:val="restart"/>
            <w:tcBorders>
              <w:tl2br w:val="nil"/>
              <w:tr2bl w:val="nil"/>
            </w:tcBorders>
            <w:tcMar>
              <w:top w:w="15" w:type="dxa"/>
              <w:left w:w="15" w:type="dxa"/>
              <w:right w:w="15" w:type="dxa"/>
            </w:tcMar>
            <w:vAlign w:val="center"/>
          </w:tcPr>
          <w:p w14:paraId="6532CEAB">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下风向距离/m</w:t>
            </w:r>
          </w:p>
        </w:tc>
        <w:tc>
          <w:tcPr>
            <w:tcW w:w="652" w:type="pct"/>
            <w:gridSpan w:val="2"/>
            <w:tcBorders>
              <w:tl2br w:val="nil"/>
              <w:tr2bl w:val="nil"/>
            </w:tcBorders>
            <w:noWrap/>
            <w:tcMar>
              <w:top w:w="15" w:type="dxa"/>
              <w:left w:w="15" w:type="dxa"/>
              <w:right w:w="15" w:type="dxa"/>
            </w:tcMar>
            <w:vAlign w:val="center"/>
          </w:tcPr>
          <w:p w14:paraId="7453F778">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SO</w:t>
            </w:r>
            <w:r>
              <w:rPr>
                <w:rFonts w:ascii="Times New Roman" w:hAnsi="Times New Roman" w:eastAsia="宋体" w:cs="Times New Roman"/>
                <w:color w:val="auto"/>
                <w:kern w:val="0"/>
                <w:sz w:val="21"/>
                <w:szCs w:val="21"/>
                <w:vertAlign w:val="subscript"/>
                <w:lang w:bidi="ar"/>
              </w:rPr>
              <w:t>2</w:t>
            </w:r>
          </w:p>
        </w:tc>
        <w:tc>
          <w:tcPr>
            <w:tcW w:w="637" w:type="pct"/>
            <w:gridSpan w:val="2"/>
            <w:tcBorders>
              <w:tl2br w:val="nil"/>
              <w:tr2bl w:val="nil"/>
            </w:tcBorders>
            <w:noWrap/>
            <w:tcMar>
              <w:top w:w="15" w:type="dxa"/>
              <w:left w:w="15" w:type="dxa"/>
              <w:right w:w="15" w:type="dxa"/>
            </w:tcMar>
            <w:vAlign w:val="center"/>
          </w:tcPr>
          <w:p w14:paraId="26E9819D">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NO</w:t>
            </w:r>
            <w:r>
              <w:rPr>
                <w:rFonts w:ascii="Times New Roman" w:hAnsi="Times New Roman" w:eastAsia="宋体" w:cs="Times New Roman"/>
                <w:color w:val="auto"/>
                <w:kern w:val="0"/>
                <w:sz w:val="21"/>
                <w:szCs w:val="21"/>
                <w:vertAlign w:val="subscript"/>
                <w:lang w:bidi="ar"/>
              </w:rPr>
              <w:t>2</w:t>
            </w:r>
          </w:p>
        </w:tc>
        <w:tc>
          <w:tcPr>
            <w:tcW w:w="686" w:type="pct"/>
            <w:gridSpan w:val="2"/>
            <w:tcBorders>
              <w:tl2br w:val="nil"/>
              <w:tr2bl w:val="nil"/>
            </w:tcBorders>
            <w:noWrap/>
            <w:tcMar>
              <w:top w:w="15" w:type="dxa"/>
              <w:left w:w="15" w:type="dxa"/>
              <w:right w:w="15" w:type="dxa"/>
            </w:tcMar>
            <w:vAlign w:val="center"/>
          </w:tcPr>
          <w:p w14:paraId="2FA6D4A3">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PM</w:t>
            </w:r>
            <w:r>
              <w:rPr>
                <w:rFonts w:ascii="Times New Roman" w:hAnsi="Times New Roman" w:eastAsia="宋体" w:cs="Times New Roman"/>
                <w:color w:val="auto"/>
                <w:sz w:val="21"/>
                <w:szCs w:val="21"/>
                <w:vertAlign w:val="subscript"/>
              </w:rPr>
              <w:t>10</w:t>
            </w:r>
          </w:p>
        </w:tc>
        <w:tc>
          <w:tcPr>
            <w:tcW w:w="627" w:type="pct"/>
            <w:gridSpan w:val="2"/>
            <w:tcBorders>
              <w:tl2br w:val="nil"/>
              <w:tr2bl w:val="nil"/>
            </w:tcBorders>
            <w:noWrap/>
            <w:tcMar>
              <w:top w:w="15" w:type="dxa"/>
              <w:left w:w="15" w:type="dxa"/>
              <w:right w:w="15" w:type="dxa"/>
            </w:tcMar>
            <w:vAlign w:val="center"/>
          </w:tcPr>
          <w:p w14:paraId="0E90AE02">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PM</w:t>
            </w:r>
            <w:r>
              <w:rPr>
                <w:rFonts w:ascii="Times New Roman" w:hAnsi="Times New Roman" w:eastAsia="宋体" w:cs="Times New Roman"/>
                <w:color w:val="auto"/>
                <w:sz w:val="21"/>
                <w:szCs w:val="21"/>
                <w:vertAlign w:val="subscript"/>
              </w:rPr>
              <w:t>2.5</w:t>
            </w:r>
          </w:p>
        </w:tc>
        <w:tc>
          <w:tcPr>
            <w:tcW w:w="627" w:type="pct"/>
            <w:gridSpan w:val="2"/>
            <w:tcBorders>
              <w:tl2br w:val="nil"/>
              <w:tr2bl w:val="nil"/>
            </w:tcBorders>
            <w:noWrap/>
            <w:tcMar>
              <w:top w:w="15" w:type="dxa"/>
              <w:left w:w="15" w:type="dxa"/>
              <w:right w:w="15" w:type="dxa"/>
            </w:tcMar>
            <w:vAlign w:val="center"/>
          </w:tcPr>
          <w:p w14:paraId="145CF398">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Hg</w:t>
            </w:r>
          </w:p>
        </w:tc>
        <w:tc>
          <w:tcPr>
            <w:tcW w:w="1755" w:type="dxa"/>
            <w:gridSpan w:val="2"/>
            <w:tcBorders>
              <w:tl2br w:val="nil"/>
              <w:tr2bl w:val="nil"/>
            </w:tcBorders>
            <w:noWrap/>
            <w:tcMar>
              <w:top w:w="15" w:type="dxa"/>
              <w:left w:w="15" w:type="dxa"/>
              <w:right w:w="15" w:type="dxa"/>
            </w:tcMar>
            <w:vAlign w:val="center"/>
          </w:tcPr>
          <w:p w14:paraId="3121491D">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eastAsia="zh-CN" w:bidi="ar"/>
              </w:rPr>
            </w:pPr>
            <w:r>
              <w:rPr>
                <w:rFonts w:hint="eastAsia" w:ascii="Times New Roman" w:hAnsi="Times New Roman" w:eastAsia="宋体" w:cs="Times New Roman"/>
                <w:color w:val="FF0000"/>
                <w:kern w:val="0"/>
                <w:sz w:val="21"/>
                <w:szCs w:val="21"/>
                <w:lang w:val="en-US" w:eastAsia="zh-CN" w:bidi="ar"/>
              </w:rPr>
              <w:t>氨</w:t>
            </w:r>
          </w:p>
        </w:tc>
      </w:tr>
      <w:tr w14:paraId="0B5BD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6" w:hRule="atLeast"/>
          <w:jc w:val="center"/>
        </w:trPr>
        <w:tc>
          <w:tcPr>
            <w:tcW w:w="1141" w:type="pct"/>
            <w:vMerge w:val="continue"/>
            <w:tcBorders>
              <w:tl2br w:val="nil"/>
              <w:tr2bl w:val="nil"/>
            </w:tcBorders>
            <w:tcMar>
              <w:top w:w="15" w:type="dxa"/>
              <w:left w:w="15" w:type="dxa"/>
              <w:right w:w="15" w:type="dxa"/>
            </w:tcMar>
            <w:vAlign w:val="center"/>
          </w:tcPr>
          <w:p w14:paraId="3A2A7A13">
            <w:pPr>
              <w:widowControl/>
              <w:spacing w:line="240" w:lineRule="auto"/>
              <w:ind w:firstLine="0" w:firstLineChars="0"/>
              <w:jc w:val="center"/>
              <w:rPr>
                <w:rFonts w:ascii="Times New Roman" w:hAnsi="Times New Roman" w:eastAsia="宋体" w:cs="Times New Roman"/>
                <w:color w:val="auto"/>
                <w:sz w:val="21"/>
                <w:szCs w:val="21"/>
              </w:rPr>
            </w:pPr>
          </w:p>
        </w:tc>
        <w:tc>
          <w:tcPr>
            <w:tcW w:w="325" w:type="pct"/>
            <w:tcBorders>
              <w:tl2br w:val="nil"/>
              <w:tr2bl w:val="nil"/>
            </w:tcBorders>
            <w:tcMar>
              <w:top w:w="15" w:type="dxa"/>
              <w:left w:w="15" w:type="dxa"/>
              <w:right w:w="15" w:type="dxa"/>
            </w:tcMar>
            <w:vAlign w:val="center"/>
          </w:tcPr>
          <w:p w14:paraId="0FDCD4AD">
            <w:pPr>
              <w:widowControl/>
              <w:spacing w:line="240" w:lineRule="auto"/>
              <w:ind w:firstLine="0" w:firstLineChars="0"/>
              <w:jc w:val="center"/>
              <w:textAlignment w:val="bottom"/>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预测质量</w:t>
            </w:r>
          </w:p>
          <w:p w14:paraId="114DD923">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浓度/ug/m</w:t>
            </w:r>
            <w:r>
              <w:rPr>
                <w:rFonts w:ascii="Times New Roman" w:hAnsi="Times New Roman" w:eastAsia="宋体" w:cs="Times New Roman"/>
                <w:color w:val="auto"/>
                <w:kern w:val="0"/>
                <w:sz w:val="21"/>
                <w:szCs w:val="21"/>
                <w:vertAlign w:val="superscript"/>
                <w:lang w:bidi="ar"/>
              </w:rPr>
              <w:t>3</w:t>
            </w:r>
          </w:p>
        </w:tc>
        <w:tc>
          <w:tcPr>
            <w:tcW w:w="327" w:type="pct"/>
            <w:tcBorders>
              <w:tl2br w:val="nil"/>
              <w:tr2bl w:val="nil"/>
            </w:tcBorders>
            <w:tcMar>
              <w:top w:w="15" w:type="dxa"/>
              <w:left w:w="15" w:type="dxa"/>
              <w:right w:w="15" w:type="dxa"/>
            </w:tcMar>
            <w:vAlign w:val="center"/>
          </w:tcPr>
          <w:p w14:paraId="4F52C011">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p>
        </w:tc>
        <w:tc>
          <w:tcPr>
            <w:tcW w:w="319" w:type="pct"/>
            <w:tcBorders>
              <w:tl2br w:val="nil"/>
              <w:tr2bl w:val="nil"/>
            </w:tcBorders>
            <w:tcMar>
              <w:top w:w="15" w:type="dxa"/>
              <w:left w:w="15" w:type="dxa"/>
              <w:right w:w="15" w:type="dxa"/>
            </w:tcMar>
            <w:vAlign w:val="center"/>
          </w:tcPr>
          <w:p w14:paraId="6001546B">
            <w:pPr>
              <w:widowControl/>
              <w:spacing w:line="240" w:lineRule="auto"/>
              <w:ind w:firstLine="0" w:firstLineChars="0"/>
              <w:jc w:val="center"/>
              <w:textAlignment w:val="bottom"/>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预测质量</w:t>
            </w:r>
          </w:p>
          <w:p w14:paraId="3B20176D">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浓度/ug/m</w:t>
            </w:r>
            <w:r>
              <w:rPr>
                <w:rFonts w:ascii="Times New Roman" w:hAnsi="Times New Roman" w:eastAsia="宋体" w:cs="Times New Roman"/>
                <w:color w:val="auto"/>
                <w:kern w:val="0"/>
                <w:sz w:val="21"/>
                <w:szCs w:val="21"/>
                <w:vertAlign w:val="superscript"/>
                <w:lang w:bidi="ar"/>
              </w:rPr>
              <w:t>3</w:t>
            </w:r>
          </w:p>
        </w:tc>
        <w:tc>
          <w:tcPr>
            <w:tcW w:w="317" w:type="pct"/>
            <w:tcBorders>
              <w:tl2br w:val="nil"/>
              <w:tr2bl w:val="nil"/>
            </w:tcBorders>
            <w:tcMar>
              <w:top w:w="15" w:type="dxa"/>
              <w:left w:w="15" w:type="dxa"/>
              <w:right w:w="15" w:type="dxa"/>
            </w:tcMar>
            <w:vAlign w:val="center"/>
          </w:tcPr>
          <w:p w14:paraId="04A9706E">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p>
        </w:tc>
        <w:tc>
          <w:tcPr>
            <w:tcW w:w="342" w:type="pct"/>
            <w:tcBorders>
              <w:tl2br w:val="nil"/>
              <w:tr2bl w:val="nil"/>
            </w:tcBorders>
            <w:tcMar>
              <w:top w:w="15" w:type="dxa"/>
              <w:left w:w="15" w:type="dxa"/>
              <w:right w:w="15" w:type="dxa"/>
            </w:tcMar>
            <w:vAlign w:val="center"/>
          </w:tcPr>
          <w:p w14:paraId="718216FF">
            <w:pPr>
              <w:widowControl/>
              <w:spacing w:line="240" w:lineRule="auto"/>
              <w:ind w:firstLine="0" w:firstLineChars="0"/>
              <w:jc w:val="center"/>
              <w:textAlignment w:val="bottom"/>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预测质量</w:t>
            </w:r>
          </w:p>
          <w:p w14:paraId="671A53B7">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浓度/ug/m</w:t>
            </w:r>
            <w:r>
              <w:rPr>
                <w:rFonts w:ascii="Times New Roman" w:hAnsi="Times New Roman" w:eastAsia="宋体" w:cs="Times New Roman"/>
                <w:color w:val="auto"/>
                <w:kern w:val="0"/>
                <w:sz w:val="21"/>
                <w:szCs w:val="21"/>
                <w:vertAlign w:val="superscript"/>
                <w:lang w:bidi="ar"/>
              </w:rPr>
              <w:t>3</w:t>
            </w:r>
          </w:p>
        </w:tc>
        <w:tc>
          <w:tcPr>
            <w:tcW w:w="343" w:type="pct"/>
            <w:tcBorders>
              <w:tl2br w:val="nil"/>
              <w:tr2bl w:val="nil"/>
            </w:tcBorders>
            <w:tcMar>
              <w:top w:w="15" w:type="dxa"/>
              <w:left w:w="15" w:type="dxa"/>
              <w:right w:w="15" w:type="dxa"/>
            </w:tcMar>
            <w:vAlign w:val="center"/>
          </w:tcPr>
          <w:p w14:paraId="51F4C7E7">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p>
        </w:tc>
        <w:tc>
          <w:tcPr>
            <w:tcW w:w="312" w:type="pct"/>
            <w:tcBorders>
              <w:tl2br w:val="nil"/>
              <w:tr2bl w:val="nil"/>
            </w:tcBorders>
            <w:tcMar>
              <w:top w:w="15" w:type="dxa"/>
              <w:left w:w="15" w:type="dxa"/>
              <w:right w:w="15" w:type="dxa"/>
            </w:tcMar>
            <w:vAlign w:val="center"/>
          </w:tcPr>
          <w:p w14:paraId="3087EBF8">
            <w:pPr>
              <w:widowControl/>
              <w:spacing w:line="240" w:lineRule="auto"/>
              <w:ind w:firstLine="0" w:firstLineChars="0"/>
              <w:jc w:val="center"/>
              <w:textAlignment w:val="bottom"/>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预测质量</w:t>
            </w:r>
          </w:p>
          <w:p w14:paraId="6F2B96EA">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浓度/ug/m</w:t>
            </w:r>
            <w:r>
              <w:rPr>
                <w:rFonts w:ascii="Times New Roman" w:hAnsi="Times New Roman" w:eastAsia="宋体" w:cs="Times New Roman"/>
                <w:color w:val="auto"/>
                <w:kern w:val="0"/>
                <w:sz w:val="21"/>
                <w:szCs w:val="21"/>
                <w:vertAlign w:val="superscript"/>
                <w:lang w:bidi="ar"/>
              </w:rPr>
              <w:t>3</w:t>
            </w:r>
          </w:p>
        </w:tc>
        <w:tc>
          <w:tcPr>
            <w:tcW w:w="314" w:type="pct"/>
            <w:tcBorders>
              <w:tl2br w:val="nil"/>
              <w:tr2bl w:val="nil"/>
            </w:tcBorders>
            <w:tcMar>
              <w:top w:w="15" w:type="dxa"/>
              <w:left w:w="15" w:type="dxa"/>
              <w:right w:w="15" w:type="dxa"/>
            </w:tcMar>
            <w:vAlign w:val="center"/>
          </w:tcPr>
          <w:p w14:paraId="5C37241A">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p>
        </w:tc>
        <w:tc>
          <w:tcPr>
            <w:tcW w:w="312" w:type="pct"/>
            <w:tcBorders>
              <w:tl2br w:val="nil"/>
              <w:tr2bl w:val="nil"/>
            </w:tcBorders>
            <w:tcMar>
              <w:top w:w="15" w:type="dxa"/>
              <w:left w:w="15" w:type="dxa"/>
              <w:right w:w="15" w:type="dxa"/>
            </w:tcMar>
            <w:vAlign w:val="center"/>
          </w:tcPr>
          <w:p w14:paraId="25F90E6F">
            <w:pPr>
              <w:widowControl/>
              <w:spacing w:line="240" w:lineRule="auto"/>
              <w:ind w:firstLine="0" w:firstLineChars="0"/>
              <w:jc w:val="center"/>
              <w:textAlignment w:val="bottom"/>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预测质量</w:t>
            </w:r>
          </w:p>
          <w:p w14:paraId="1FA62BB1">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浓度/ug/m</w:t>
            </w:r>
            <w:r>
              <w:rPr>
                <w:rFonts w:ascii="Times New Roman" w:hAnsi="Times New Roman" w:eastAsia="宋体" w:cs="Times New Roman"/>
                <w:color w:val="auto"/>
                <w:kern w:val="0"/>
                <w:sz w:val="21"/>
                <w:szCs w:val="21"/>
                <w:vertAlign w:val="superscript"/>
                <w:lang w:bidi="ar"/>
              </w:rPr>
              <w:t>3</w:t>
            </w:r>
          </w:p>
        </w:tc>
        <w:tc>
          <w:tcPr>
            <w:tcW w:w="314" w:type="pct"/>
            <w:tcBorders>
              <w:tl2br w:val="nil"/>
              <w:tr2bl w:val="nil"/>
            </w:tcBorders>
            <w:tcMar>
              <w:top w:w="15" w:type="dxa"/>
              <w:left w:w="15" w:type="dxa"/>
              <w:right w:w="15" w:type="dxa"/>
            </w:tcMar>
            <w:vAlign w:val="center"/>
          </w:tcPr>
          <w:p w14:paraId="44BA2475">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p>
        </w:tc>
        <w:tc>
          <w:tcPr>
            <w:tcW w:w="873" w:type="dxa"/>
            <w:tcBorders>
              <w:tl2br w:val="nil"/>
              <w:tr2bl w:val="nil"/>
            </w:tcBorders>
            <w:tcMar>
              <w:top w:w="15" w:type="dxa"/>
              <w:left w:w="15" w:type="dxa"/>
              <w:right w:w="15" w:type="dxa"/>
            </w:tcMar>
            <w:vAlign w:val="center"/>
          </w:tcPr>
          <w:p w14:paraId="62F1C7DD">
            <w:pPr>
              <w:widowControl/>
              <w:spacing w:line="240" w:lineRule="auto"/>
              <w:ind w:firstLine="0" w:firstLineChars="0"/>
              <w:jc w:val="center"/>
              <w:textAlignment w:val="bottom"/>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预测质量</w:t>
            </w:r>
          </w:p>
          <w:p w14:paraId="30616E9A">
            <w:pPr>
              <w:widowControl/>
              <w:spacing w:line="240" w:lineRule="auto"/>
              <w:ind w:firstLine="0" w:firstLineChars="0"/>
              <w:jc w:val="center"/>
              <w:textAlignment w:val="bottom"/>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浓度/ug/m</w:t>
            </w:r>
            <w:r>
              <w:rPr>
                <w:rFonts w:ascii="Times New Roman" w:hAnsi="Times New Roman" w:eastAsia="宋体" w:cs="Times New Roman"/>
                <w:color w:val="FF0000"/>
                <w:kern w:val="0"/>
                <w:sz w:val="21"/>
                <w:szCs w:val="21"/>
                <w:vertAlign w:val="superscript"/>
                <w:lang w:bidi="ar"/>
              </w:rPr>
              <w:t>3</w:t>
            </w:r>
          </w:p>
        </w:tc>
        <w:tc>
          <w:tcPr>
            <w:tcW w:w="882" w:type="dxa"/>
            <w:tcBorders>
              <w:tl2br w:val="nil"/>
              <w:tr2bl w:val="nil"/>
            </w:tcBorders>
            <w:tcMar>
              <w:top w:w="15" w:type="dxa"/>
              <w:left w:w="15" w:type="dxa"/>
              <w:right w:w="15" w:type="dxa"/>
            </w:tcMar>
            <w:vAlign w:val="center"/>
          </w:tcPr>
          <w:p w14:paraId="27AD41EE">
            <w:pPr>
              <w:widowControl/>
              <w:spacing w:line="240" w:lineRule="auto"/>
              <w:ind w:firstLine="0" w:firstLineChars="0"/>
              <w:jc w:val="center"/>
              <w:textAlignment w:val="bottom"/>
              <w:rPr>
                <w:color w:val="FF0000"/>
              </w:rPr>
            </w:pPr>
            <w:r>
              <w:rPr>
                <w:rFonts w:ascii="Times New Roman" w:hAnsi="Times New Roman" w:eastAsia="宋体" w:cs="Times New Roman"/>
                <w:color w:val="FF0000"/>
                <w:kern w:val="0"/>
                <w:sz w:val="21"/>
                <w:szCs w:val="21"/>
                <w:lang w:bidi="ar"/>
              </w:rPr>
              <w:t>占标率%</w:t>
            </w:r>
          </w:p>
        </w:tc>
      </w:tr>
      <w:tr w14:paraId="4F8EE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49F4DBE6">
            <w:pPr>
              <w:widowControl/>
              <w:spacing w:line="240" w:lineRule="auto"/>
              <w:ind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50</w:t>
            </w:r>
          </w:p>
        </w:tc>
        <w:tc>
          <w:tcPr>
            <w:tcW w:w="325" w:type="pct"/>
            <w:tcBorders>
              <w:tl2br w:val="nil"/>
              <w:tr2bl w:val="nil"/>
            </w:tcBorders>
            <w:tcMar>
              <w:top w:w="15" w:type="dxa"/>
              <w:left w:w="15" w:type="dxa"/>
              <w:right w:w="15" w:type="dxa"/>
            </w:tcMar>
            <w:vAlign w:val="center"/>
          </w:tcPr>
          <w:p w14:paraId="5047BE3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0.001 </w:t>
            </w:r>
          </w:p>
        </w:tc>
        <w:tc>
          <w:tcPr>
            <w:tcW w:w="327" w:type="pct"/>
            <w:tcBorders>
              <w:tl2br w:val="nil"/>
              <w:tr2bl w:val="nil"/>
            </w:tcBorders>
            <w:tcMar>
              <w:top w:w="15" w:type="dxa"/>
              <w:left w:w="15" w:type="dxa"/>
              <w:right w:w="15" w:type="dxa"/>
            </w:tcMar>
            <w:vAlign w:val="center"/>
          </w:tcPr>
          <w:p w14:paraId="3C8E0C8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 </w:t>
            </w:r>
          </w:p>
        </w:tc>
        <w:tc>
          <w:tcPr>
            <w:tcW w:w="319" w:type="pct"/>
            <w:tcBorders>
              <w:tl2br w:val="nil"/>
              <w:tr2bl w:val="nil"/>
            </w:tcBorders>
            <w:tcMar>
              <w:top w:w="15" w:type="dxa"/>
              <w:left w:w="15" w:type="dxa"/>
              <w:right w:w="15" w:type="dxa"/>
            </w:tcMar>
            <w:vAlign w:val="center"/>
          </w:tcPr>
          <w:p w14:paraId="30B1E81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0.005 </w:t>
            </w:r>
          </w:p>
        </w:tc>
        <w:tc>
          <w:tcPr>
            <w:tcW w:w="317" w:type="pct"/>
            <w:tcBorders>
              <w:tl2br w:val="nil"/>
              <w:tr2bl w:val="nil"/>
            </w:tcBorders>
            <w:tcMar>
              <w:top w:w="15" w:type="dxa"/>
              <w:left w:w="15" w:type="dxa"/>
              <w:right w:w="15" w:type="dxa"/>
            </w:tcMar>
            <w:vAlign w:val="center"/>
          </w:tcPr>
          <w:p w14:paraId="3908BE5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 </w:t>
            </w:r>
          </w:p>
        </w:tc>
        <w:tc>
          <w:tcPr>
            <w:tcW w:w="342" w:type="pct"/>
            <w:tcBorders>
              <w:tl2br w:val="nil"/>
              <w:tr2bl w:val="nil"/>
            </w:tcBorders>
            <w:tcMar>
              <w:top w:w="15" w:type="dxa"/>
              <w:left w:w="15" w:type="dxa"/>
              <w:right w:w="15" w:type="dxa"/>
            </w:tcMar>
            <w:vAlign w:val="center"/>
          </w:tcPr>
          <w:p w14:paraId="4A9A817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0.001 </w:t>
            </w:r>
          </w:p>
        </w:tc>
        <w:tc>
          <w:tcPr>
            <w:tcW w:w="343" w:type="pct"/>
            <w:tcBorders>
              <w:tl2br w:val="nil"/>
              <w:tr2bl w:val="nil"/>
            </w:tcBorders>
            <w:tcMar>
              <w:top w:w="15" w:type="dxa"/>
              <w:left w:w="15" w:type="dxa"/>
              <w:right w:w="15" w:type="dxa"/>
            </w:tcMar>
            <w:vAlign w:val="center"/>
          </w:tcPr>
          <w:p w14:paraId="3BE3C3A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 </w:t>
            </w:r>
          </w:p>
        </w:tc>
        <w:tc>
          <w:tcPr>
            <w:tcW w:w="312" w:type="pct"/>
            <w:tcBorders>
              <w:tl2br w:val="nil"/>
              <w:tr2bl w:val="nil"/>
            </w:tcBorders>
            <w:tcMar>
              <w:top w:w="15" w:type="dxa"/>
              <w:left w:w="15" w:type="dxa"/>
              <w:right w:w="15" w:type="dxa"/>
            </w:tcMar>
            <w:vAlign w:val="center"/>
          </w:tcPr>
          <w:p w14:paraId="138026B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0.001 </w:t>
            </w:r>
          </w:p>
        </w:tc>
        <w:tc>
          <w:tcPr>
            <w:tcW w:w="314" w:type="pct"/>
            <w:tcBorders>
              <w:tl2br w:val="nil"/>
              <w:tr2bl w:val="nil"/>
            </w:tcBorders>
            <w:tcMar>
              <w:top w:w="15" w:type="dxa"/>
              <w:left w:w="15" w:type="dxa"/>
              <w:right w:w="15" w:type="dxa"/>
            </w:tcMar>
            <w:vAlign w:val="center"/>
          </w:tcPr>
          <w:p w14:paraId="4E9E855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 </w:t>
            </w:r>
          </w:p>
        </w:tc>
        <w:tc>
          <w:tcPr>
            <w:tcW w:w="312" w:type="pct"/>
            <w:tcBorders>
              <w:tl2br w:val="nil"/>
              <w:tr2bl w:val="nil"/>
            </w:tcBorders>
            <w:tcMar>
              <w:top w:w="15" w:type="dxa"/>
              <w:left w:w="15" w:type="dxa"/>
              <w:right w:w="15" w:type="dxa"/>
            </w:tcMar>
            <w:vAlign w:val="center"/>
          </w:tcPr>
          <w:p w14:paraId="05F58BC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0.000000 </w:t>
            </w:r>
          </w:p>
        </w:tc>
        <w:tc>
          <w:tcPr>
            <w:tcW w:w="314" w:type="pct"/>
            <w:tcBorders>
              <w:tl2br w:val="nil"/>
              <w:tr2bl w:val="nil"/>
            </w:tcBorders>
            <w:tcMar>
              <w:top w:w="15" w:type="dxa"/>
              <w:left w:w="15" w:type="dxa"/>
              <w:right w:w="15" w:type="dxa"/>
            </w:tcMar>
            <w:vAlign w:val="center"/>
          </w:tcPr>
          <w:p w14:paraId="17E176A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 </w:t>
            </w:r>
          </w:p>
        </w:tc>
        <w:tc>
          <w:tcPr>
            <w:tcW w:w="873" w:type="dxa"/>
            <w:tcBorders>
              <w:tl2br w:val="nil"/>
              <w:tr2bl w:val="nil"/>
            </w:tcBorders>
            <w:tcMar>
              <w:top w:w="15" w:type="dxa"/>
              <w:left w:w="15" w:type="dxa"/>
              <w:right w:w="15" w:type="dxa"/>
            </w:tcMar>
            <w:vAlign w:val="center"/>
          </w:tcPr>
          <w:p w14:paraId="19CCB85E">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0.00003 </w:t>
            </w:r>
          </w:p>
        </w:tc>
        <w:tc>
          <w:tcPr>
            <w:tcW w:w="882" w:type="dxa"/>
            <w:tcBorders>
              <w:tl2br w:val="nil"/>
              <w:tr2bl w:val="nil"/>
            </w:tcBorders>
            <w:tcMar>
              <w:top w:w="15" w:type="dxa"/>
              <w:left w:w="15" w:type="dxa"/>
              <w:right w:w="15" w:type="dxa"/>
            </w:tcMar>
            <w:vAlign w:val="center"/>
          </w:tcPr>
          <w:p w14:paraId="22F35B1E">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w:t>
            </w:r>
          </w:p>
        </w:tc>
      </w:tr>
      <w:tr w14:paraId="2360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3AD80809">
            <w:pPr>
              <w:widowControl/>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100</w:t>
            </w:r>
          </w:p>
        </w:tc>
        <w:tc>
          <w:tcPr>
            <w:tcW w:w="325" w:type="pct"/>
            <w:tcBorders>
              <w:tl2br w:val="nil"/>
              <w:tr2bl w:val="nil"/>
            </w:tcBorders>
            <w:tcMar>
              <w:top w:w="15" w:type="dxa"/>
              <w:left w:w="15" w:type="dxa"/>
              <w:right w:w="15" w:type="dxa"/>
            </w:tcMar>
            <w:vAlign w:val="center"/>
          </w:tcPr>
          <w:p w14:paraId="4740605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0.455 </w:t>
            </w:r>
          </w:p>
        </w:tc>
        <w:tc>
          <w:tcPr>
            <w:tcW w:w="327" w:type="pct"/>
            <w:tcBorders>
              <w:tl2br w:val="nil"/>
              <w:tr2bl w:val="nil"/>
            </w:tcBorders>
            <w:tcMar>
              <w:top w:w="15" w:type="dxa"/>
              <w:left w:w="15" w:type="dxa"/>
              <w:right w:w="15" w:type="dxa"/>
            </w:tcMar>
            <w:vAlign w:val="center"/>
          </w:tcPr>
          <w:p w14:paraId="00C301F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0.09 </w:t>
            </w:r>
          </w:p>
        </w:tc>
        <w:tc>
          <w:tcPr>
            <w:tcW w:w="319" w:type="pct"/>
            <w:tcBorders>
              <w:tl2br w:val="nil"/>
              <w:tr2bl w:val="nil"/>
            </w:tcBorders>
            <w:tcMar>
              <w:top w:w="15" w:type="dxa"/>
              <w:left w:w="15" w:type="dxa"/>
              <w:right w:w="15" w:type="dxa"/>
            </w:tcMar>
            <w:vAlign w:val="center"/>
          </w:tcPr>
          <w:p w14:paraId="1545EAD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1.561 </w:t>
            </w:r>
          </w:p>
        </w:tc>
        <w:tc>
          <w:tcPr>
            <w:tcW w:w="317" w:type="pct"/>
            <w:tcBorders>
              <w:tl2br w:val="nil"/>
              <w:tr2bl w:val="nil"/>
            </w:tcBorders>
            <w:tcMar>
              <w:top w:w="15" w:type="dxa"/>
              <w:left w:w="15" w:type="dxa"/>
              <w:right w:w="15" w:type="dxa"/>
            </w:tcMar>
            <w:vAlign w:val="center"/>
          </w:tcPr>
          <w:p w14:paraId="2E60C77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0.78 </w:t>
            </w:r>
          </w:p>
        </w:tc>
        <w:tc>
          <w:tcPr>
            <w:tcW w:w="342" w:type="pct"/>
            <w:tcBorders>
              <w:tl2br w:val="nil"/>
              <w:tr2bl w:val="nil"/>
            </w:tcBorders>
            <w:tcMar>
              <w:top w:w="15" w:type="dxa"/>
              <w:left w:w="15" w:type="dxa"/>
              <w:right w:w="15" w:type="dxa"/>
            </w:tcMar>
            <w:vAlign w:val="center"/>
          </w:tcPr>
          <w:p w14:paraId="3BB5B90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0.279 </w:t>
            </w:r>
          </w:p>
        </w:tc>
        <w:tc>
          <w:tcPr>
            <w:tcW w:w="343" w:type="pct"/>
            <w:tcBorders>
              <w:tl2br w:val="nil"/>
              <w:tr2bl w:val="nil"/>
            </w:tcBorders>
            <w:tcMar>
              <w:top w:w="15" w:type="dxa"/>
              <w:left w:w="15" w:type="dxa"/>
              <w:right w:w="15" w:type="dxa"/>
            </w:tcMar>
            <w:vAlign w:val="center"/>
          </w:tcPr>
          <w:p w14:paraId="4D83CD2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0.08 </w:t>
            </w:r>
          </w:p>
        </w:tc>
        <w:tc>
          <w:tcPr>
            <w:tcW w:w="312" w:type="pct"/>
            <w:tcBorders>
              <w:tl2br w:val="nil"/>
              <w:tr2bl w:val="nil"/>
            </w:tcBorders>
            <w:tcMar>
              <w:top w:w="15" w:type="dxa"/>
              <w:left w:w="15" w:type="dxa"/>
              <w:right w:w="15" w:type="dxa"/>
            </w:tcMar>
            <w:vAlign w:val="center"/>
          </w:tcPr>
          <w:p w14:paraId="7DFDE70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0.182 </w:t>
            </w:r>
          </w:p>
        </w:tc>
        <w:tc>
          <w:tcPr>
            <w:tcW w:w="314" w:type="pct"/>
            <w:tcBorders>
              <w:tl2br w:val="nil"/>
              <w:tr2bl w:val="nil"/>
            </w:tcBorders>
            <w:tcMar>
              <w:top w:w="15" w:type="dxa"/>
              <w:left w:w="15" w:type="dxa"/>
              <w:right w:w="15" w:type="dxa"/>
            </w:tcMar>
            <w:vAlign w:val="center"/>
          </w:tcPr>
          <w:p w14:paraId="625B098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0.10 </w:t>
            </w:r>
          </w:p>
        </w:tc>
        <w:tc>
          <w:tcPr>
            <w:tcW w:w="312" w:type="pct"/>
            <w:tcBorders>
              <w:tl2br w:val="nil"/>
              <w:tr2bl w:val="nil"/>
            </w:tcBorders>
            <w:tcMar>
              <w:top w:w="15" w:type="dxa"/>
              <w:left w:w="15" w:type="dxa"/>
              <w:right w:w="15" w:type="dxa"/>
            </w:tcMar>
            <w:vAlign w:val="center"/>
          </w:tcPr>
          <w:p w14:paraId="41977F2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0.000055 </w:t>
            </w:r>
          </w:p>
        </w:tc>
        <w:tc>
          <w:tcPr>
            <w:tcW w:w="314" w:type="pct"/>
            <w:tcBorders>
              <w:tl2br w:val="nil"/>
              <w:tr2bl w:val="nil"/>
            </w:tcBorders>
            <w:tcMar>
              <w:top w:w="15" w:type="dxa"/>
              <w:left w:w="15" w:type="dxa"/>
              <w:right w:w="15" w:type="dxa"/>
            </w:tcMar>
            <w:vAlign w:val="center"/>
          </w:tcPr>
          <w:p w14:paraId="48D8EDE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0.02 </w:t>
            </w:r>
          </w:p>
        </w:tc>
        <w:tc>
          <w:tcPr>
            <w:tcW w:w="873" w:type="dxa"/>
            <w:tcBorders>
              <w:tl2br w:val="nil"/>
              <w:tr2bl w:val="nil"/>
            </w:tcBorders>
            <w:tcMar>
              <w:top w:w="15" w:type="dxa"/>
              <w:left w:w="15" w:type="dxa"/>
              <w:right w:w="15" w:type="dxa"/>
            </w:tcMar>
            <w:vAlign w:val="center"/>
          </w:tcPr>
          <w:p w14:paraId="6FF26F4B">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0.03480 </w:t>
            </w:r>
          </w:p>
        </w:tc>
        <w:tc>
          <w:tcPr>
            <w:tcW w:w="882" w:type="dxa"/>
            <w:tcBorders>
              <w:tl2br w:val="nil"/>
              <w:tr2bl w:val="nil"/>
            </w:tcBorders>
            <w:tcMar>
              <w:top w:w="15" w:type="dxa"/>
              <w:left w:w="15" w:type="dxa"/>
              <w:right w:w="15" w:type="dxa"/>
            </w:tcMar>
            <w:vAlign w:val="center"/>
          </w:tcPr>
          <w:p w14:paraId="16B49234">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0.02</w:t>
            </w:r>
          </w:p>
        </w:tc>
      </w:tr>
      <w:tr w14:paraId="3B2C65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180A9123">
            <w:pPr>
              <w:widowControl/>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200</w:t>
            </w:r>
          </w:p>
        </w:tc>
        <w:tc>
          <w:tcPr>
            <w:tcW w:w="325" w:type="pct"/>
            <w:tcBorders>
              <w:tl2br w:val="nil"/>
              <w:tr2bl w:val="nil"/>
            </w:tcBorders>
            <w:tcMar>
              <w:top w:w="15" w:type="dxa"/>
              <w:left w:w="15" w:type="dxa"/>
              <w:right w:w="15" w:type="dxa"/>
            </w:tcMar>
            <w:vAlign w:val="center"/>
          </w:tcPr>
          <w:p w14:paraId="6AFDDDE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1.953 </w:t>
            </w:r>
          </w:p>
        </w:tc>
        <w:tc>
          <w:tcPr>
            <w:tcW w:w="327" w:type="pct"/>
            <w:tcBorders>
              <w:tl2br w:val="nil"/>
              <w:tr2bl w:val="nil"/>
            </w:tcBorders>
            <w:tcMar>
              <w:top w:w="15" w:type="dxa"/>
              <w:left w:w="15" w:type="dxa"/>
              <w:right w:w="15" w:type="dxa"/>
            </w:tcMar>
            <w:vAlign w:val="center"/>
          </w:tcPr>
          <w:p w14:paraId="75D9EEF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0.39 </w:t>
            </w:r>
          </w:p>
        </w:tc>
        <w:tc>
          <w:tcPr>
            <w:tcW w:w="319" w:type="pct"/>
            <w:tcBorders>
              <w:tl2br w:val="nil"/>
              <w:tr2bl w:val="nil"/>
            </w:tcBorders>
            <w:tcMar>
              <w:top w:w="15" w:type="dxa"/>
              <w:left w:w="15" w:type="dxa"/>
              <w:right w:w="15" w:type="dxa"/>
            </w:tcMar>
            <w:vAlign w:val="center"/>
          </w:tcPr>
          <w:p w14:paraId="124FE68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6.697 </w:t>
            </w:r>
          </w:p>
        </w:tc>
        <w:tc>
          <w:tcPr>
            <w:tcW w:w="317" w:type="pct"/>
            <w:tcBorders>
              <w:tl2br w:val="nil"/>
              <w:tr2bl w:val="nil"/>
            </w:tcBorders>
            <w:tcMar>
              <w:top w:w="15" w:type="dxa"/>
              <w:left w:w="15" w:type="dxa"/>
              <w:right w:w="15" w:type="dxa"/>
            </w:tcMar>
            <w:vAlign w:val="center"/>
          </w:tcPr>
          <w:p w14:paraId="4D0ADFC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3.35 </w:t>
            </w:r>
          </w:p>
        </w:tc>
        <w:tc>
          <w:tcPr>
            <w:tcW w:w="342" w:type="pct"/>
            <w:tcBorders>
              <w:tl2br w:val="nil"/>
              <w:tr2bl w:val="nil"/>
            </w:tcBorders>
            <w:tcMar>
              <w:top w:w="15" w:type="dxa"/>
              <w:left w:w="15" w:type="dxa"/>
              <w:right w:w="15" w:type="dxa"/>
            </w:tcMar>
            <w:vAlign w:val="center"/>
          </w:tcPr>
          <w:p w14:paraId="7710706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1.199 </w:t>
            </w:r>
          </w:p>
        </w:tc>
        <w:tc>
          <w:tcPr>
            <w:tcW w:w="343" w:type="pct"/>
            <w:tcBorders>
              <w:tl2br w:val="nil"/>
              <w:tr2bl w:val="nil"/>
            </w:tcBorders>
            <w:tcMar>
              <w:top w:w="15" w:type="dxa"/>
              <w:left w:w="15" w:type="dxa"/>
              <w:right w:w="15" w:type="dxa"/>
            </w:tcMar>
            <w:vAlign w:val="center"/>
          </w:tcPr>
          <w:p w14:paraId="08F0F90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0.33 </w:t>
            </w:r>
          </w:p>
        </w:tc>
        <w:tc>
          <w:tcPr>
            <w:tcW w:w="312" w:type="pct"/>
            <w:tcBorders>
              <w:tl2br w:val="nil"/>
              <w:tr2bl w:val="nil"/>
            </w:tcBorders>
            <w:tcMar>
              <w:top w:w="15" w:type="dxa"/>
              <w:left w:w="15" w:type="dxa"/>
              <w:right w:w="15" w:type="dxa"/>
            </w:tcMar>
            <w:vAlign w:val="center"/>
          </w:tcPr>
          <w:p w14:paraId="651FE8D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0.779 </w:t>
            </w:r>
          </w:p>
        </w:tc>
        <w:tc>
          <w:tcPr>
            <w:tcW w:w="314" w:type="pct"/>
            <w:tcBorders>
              <w:tl2br w:val="nil"/>
              <w:tr2bl w:val="nil"/>
            </w:tcBorders>
            <w:tcMar>
              <w:top w:w="15" w:type="dxa"/>
              <w:left w:w="15" w:type="dxa"/>
              <w:right w:w="15" w:type="dxa"/>
            </w:tcMar>
            <w:vAlign w:val="center"/>
          </w:tcPr>
          <w:p w14:paraId="4072895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0.43 </w:t>
            </w:r>
          </w:p>
        </w:tc>
        <w:tc>
          <w:tcPr>
            <w:tcW w:w="312" w:type="pct"/>
            <w:tcBorders>
              <w:tl2br w:val="nil"/>
              <w:tr2bl w:val="nil"/>
            </w:tcBorders>
            <w:tcMar>
              <w:top w:w="15" w:type="dxa"/>
              <w:left w:w="15" w:type="dxa"/>
              <w:right w:w="15" w:type="dxa"/>
            </w:tcMar>
            <w:vAlign w:val="center"/>
          </w:tcPr>
          <w:p w14:paraId="5BBB745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0.000237 </w:t>
            </w:r>
          </w:p>
        </w:tc>
        <w:tc>
          <w:tcPr>
            <w:tcW w:w="314" w:type="pct"/>
            <w:tcBorders>
              <w:tl2br w:val="nil"/>
              <w:tr2bl w:val="nil"/>
            </w:tcBorders>
            <w:tcMar>
              <w:top w:w="15" w:type="dxa"/>
              <w:left w:w="15" w:type="dxa"/>
              <w:right w:w="15" w:type="dxa"/>
            </w:tcMar>
            <w:vAlign w:val="center"/>
          </w:tcPr>
          <w:p w14:paraId="09891C6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0.08 </w:t>
            </w:r>
          </w:p>
        </w:tc>
        <w:tc>
          <w:tcPr>
            <w:tcW w:w="873" w:type="dxa"/>
            <w:tcBorders>
              <w:tl2br w:val="nil"/>
              <w:tr2bl w:val="nil"/>
            </w:tcBorders>
            <w:tcMar>
              <w:top w:w="15" w:type="dxa"/>
              <w:left w:w="15" w:type="dxa"/>
              <w:right w:w="15" w:type="dxa"/>
            </w:tcMar>
            <w:vAlign w:val="center"/>
          </w:tcPr>
          <w:p w14:paraId="6BF5074E">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0.18596 </w:t>
            </w:r>
          </w:p>
        </w:tc>
        <w:tc>
          <w:tcPr>
            <w:tcW w:w="882" w:type="dxa"/>
            <w:tcBorders>
              <w:tl2br w:val="nil"/>
              <w:tr2bl w:val="nil"/>
            </w:tcBorders>
            <w:tcMar>
              <w:top w:w="15" w:type="dxa"/>
              <w:left w:w="15" w:type="dxa"/>
              <w:right w:w="15" w:type="dxa"/>
            </w:tcMar>
            <w:vAlign w:val="center"/>
          </w:tcPr>
          <w:p w14:paraId="6DA3C6F2">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0.09</w:t>
            </w:r>
          </w:p>
        </w:tc>
      </w:tr>
      <w:tr w14:paraId="4CAA21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1D6FA6C8">
            <w:pPr>
              <w:widowControl/>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500</w:t>
            </w:r>
          </w:p>
        </w:tc>
        <w:tc>
          <w:tcPr>
            <w:tcW w:w="325" w:type="pct"/>
            <w:tcBorders>
              <w:tl2br w:val="nil"/>
              <w:tr2bl w:val="nil"/>
            </w:tcBorders>
            <w:noWrap/>
            <w:tcMar>
              <w:top w:w="15" w:type="dxa"/>
              <w:left w:w="15" w:type="dxa"/>
              <w:right w:w="15" w:type="dxa"/>
            </w:tcMar>
            <w:vAlign w:val="center"/>
          </w:tcPr>
          <w:p w14:paraId="768896D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2.626 </w:t>
            </w:r>
          </w:p>
        </w:tc>
        <w:tc>
          <w:tcPr>
            <w:tcW w:w="327" w:type="pct"/>
            <w:tcBorders>
              <w:tl2br w:val="nil"/>
              <w:tr2bl w:val="nil"/>
            </w:tcBorders>
            <w:noWrap/>
            <w:tcMar>
              <w:top w:w="15" w:type="dxa"/>
              <w:left w:w="15" w:type="dxa"/>
              <w:right w:w="15" w:type="dxa"/>
            </w:tcMar>
            <w:vAlign w:val="center"/>
          </w:tcPr>
          <w:p w14:paraId="7979C2E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0.53 </w:t>
            </w:r>
          </w:p>
        </w:tc>
        <w:tc>
          <w:tcPr>
            <w:tcW w:w="319" w:type="pct"/>
            <w:tcBorders>
              <w:tl2br w:val="nil"/>
              <w:tr2bl w:val="nil"/>
            </w:tcBorders>
            <w:noWrap/>
            <w:tcMar>
              <w:top w:w="15" w:type="dxa"/>
              <w:left w:w="15" w:type="dxa"/>
              <w:right w:w="15" w:type="dxa"/>
            </w:tcMar>
            <w:vAlign w:val="center"/>
          </w:tcPr>
          <w:p w14:paraId="509E75A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9.005 </w:t>
            </w:r>
          </w:p>
        </w:tc>
        <w:tc>
          <w:tcPr>
            <w:tcW w:w="317" w:type="pct"/>
            <w:tcBorders>
              <w:tl2br w:val="nil"/>
              <w:tr2bl w:val="nil"/>
            </w:tcBorders>
            <w:noWrap/>
            <w:tcMar>
              <w:top w:w="15" w:type="dxa"/>
              <w:left w:w="15" w:type="dxa"/>
              <w:right w:w="15" w:type="dxa"/>
            </w:tcMar>
            <w:vAlign w:val="center"/>
          </w:tcPr>
          <w:p w14:paraId="5640C25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4.50 </w:t>
            </w:r>
          </w:p>
        </w:tc>
        <w:tc>
          <w:tcPr>
            <w:tcW w:w="342" w:type="pct"/>
            <w:tcBorders>
              <w:tl2br w:val="nil"/>
              <w:tr2bl w:val="nil"/>
            </w:tcBorders>
            <w:noWrap/>
            <w:tcMar>
              <w:top w:w="15" w:type="dxa"/>
              <w:left w:w="15" w:type="dxa"/>
              <w:right w:w="15" w:type="dxa"/>
            </w:tcMar>
            <w:vAlign w:val="center"/>
          </w:tcPr>
          <w:p w14:paraId="22378ED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1.612 </w:t>
            </w:r>
          </w:p>
        </w:tc>
        <w:tc>
          <w:tcPr>
            <w:tcW w:w="343" w:type="pct"/>
            <w:tcBorders>
              <w:tl2br w:val="nil"/>
              <w:tr2bl w:val="nil"/>
            </w:tcBorders>
            <w:noWrap/>
            <w:tcMar>
              <w:top w:w="15" w:type="dxa"/>
              <w:left w:w="15" w:type="dxa"/>
              <w:right w:w="15" w:type="dxa"/>
            </w:tcMar>
            <w:vAlign w:val="center"/>
          </w:tcPr>
          <w:p w14:paraId="5F971F5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0.45 </w:t>
            </w:r>
          </w:p>
        </w:tc>
        <w:tc>
          <w:tcPr>
            <w:tcW w:w="312" w:type="pct"/>
            <w:tcBorders>
              <w:tl2br w:val="nil"/>
              <w:tr2bl w:val="nil"/>
            </w:tcBorders>
            <w:noWrap/>
            <w:tcMar>
              <w:top w:w="15" w:type="dxa"/>
              <w:left w:w="15" w:type="dxa"/>
              <w:right w:w="15" w:type="dxa"/>
            </w:tcMar>
            <w:vAlign w:val="center"/>
          </w:tcPr>
          <w:p w14:paraId="065D7F9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1.048 </w:t>
            </w:r>
          </w:p>
        </w:tc>
        <w:tc>
          <w:tcPr>
            <w:tcW w:w="314" w:type="pct"/>
            <w:tcBorders>
              <w:tl2br w:val="nil"/>
              <w:tr2bl w:val="nil"/>
            </w:tcBorders>
            <w:noWrap/>
            <w:tcMar>
              <w:top w:w="15" w:type="dxa"/>
              <w:left w:w="15" w:type="dxa"/>
              <w:right w:w="15" w:type="dxa"/>
            </w:tcMar>
            <w:vAlign w:val="center"/>
          </w:tcPr>
          <w:p w14:paraId="74BDF43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0.58 </w:t>
            </w:r>
          </w:p>
        </w:tc>
        <w:tc>
          <w:tcPr>
            <w:tcW w:w="312" w:type="pct"/>
            <w:tcBorders>
              <w:tl2br w:val="nil"/>
              <w:tr2bl w:val="nil"/>
            </w:tcBorders>
            <w:noWrap/>
            <w:tcMar>
              <w:top w:w="15" w:type="dxa"/>
              <w:left w:w="15" w:type="dxa"/>
              <w:right w:w="15" w:type="dxa"/>
            </w:tcMar>
            <w:vAlign w:val="center"/>
          </w:tcPr>
          <w:p w14:paraId="27C886F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0.000319 </w:t>
            </w:r>
          </w:p>
        </w:tc>
        <w:tc>
          <w:tcPr>
            <w:tcW w:w="314" w:type="pct"/>
            <w:tcBorders>
              <w:tl2br w:val="nil"/>
              <w:tr2bl w:val="nil"/>
            </w:tcBorders>
            <w:noWrap/>
            <w:tcMar>
              <w:top w:w="15" w:type="dxa"/>
              <w:left w:w="15" w:type="dxa"/>
              <w:right w:w="15" w:type="dxa"/>
            </w:tcMar>
            <w:vAlign w:val="center"/>
          </w:tcPr>
          <w:p w14:paraId="4F3CCB9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0.11 </w:t>
            </w:r>
          </w:p>
        </w:tc>
        <w:tc>
          <w:tcPr>
            <w:tcW w:w="873" w:type="dxa"/>
            <w:tcBorders>
              <w:tl2br w:val="nil"/>
              <w:tr2bl w:val="nil"/>
            </w:tcBorders>
            <w:noWrap/>
            <w:tcMar>
              <w:top w:w="15" w:type="dxa"/>
              <w:left w:w="15" w:type="dxa"/>
              <w:right w:w="15" w:type="dxa"/>
            </w:tcMar>
            <w:vAlign w:val="center"/>
          </w:tcPr>
          <w:p w14:paraId="3EBED53E">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0.23240 </w:t>
            </w:r>
          </w:p>
        </w:tc>
        <w:tc>
          <w:tcPr>
            <w:tcW w:w="882" w:type="dxa"/>
            <w:tcBorders>
              <w:tl2br w:val="nil"/>
              <w:tr2bl w:val="nil"/>
            </w:tcBorders>
            <w:noWrap/>
            <w:tcMar>
              <w:top w:w="15" w:type="dxa"/>
              <w:left w:w="15" w:type="dxa"/>
              <w:right w:w="15" w:type="dxa"/>
            </w:tcMar>
            <w:vAlign w:val="center"/>
          </w:tcPr>
          <w:p w14:paraId="5027E91E">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0.12</w:t>
            </w:r>
          </w:p>
        </w:tc>
      </w:tr>
      <w:tr w14:paraId="455D1D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74936622">
            <w:pPr>
              <w:widowControl/>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1000</w:t>
            </w:r>
          </w:p>
        </w:tc>
        <w:tc>
          <w:tcPr>
            <w:tcW w:w="325" w:type="pct"/>
            <w:tcBorders>
              <w:tl2br w:val="nil"/>
              <w:tr2bl w:val="nil"/>
            </w:tcBorders>
            <w:noWrap/>
            <w:tcMar>
              <w:top w:w="15" w:type="dxa"/>
              <w:left w:w="15" w:type="dxa"/>
              <w:right w:w="15" w:type="dxa"/>
            </w:tcMar>
            <w:vAlign w:val="center"/>
          </w:tcPr>
          <w:p w14:paraId="731C372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2.105 </w:t>
            </w:r>
          </w:p>
        </w:tc>
        <w:tc>
          <w:tcPr>
            <w:tcW w:w="327" w:type="pct"/>
            <w:tcBorders>
              <w:tl2br w:val="nil"/>
              <w:tr2bl w:val="nil"/>
            </w:tcBorders>
            <w:noWrap/>
            <w:tcMar>
              <w:top w:w="15" w:type="dxa"/>
              <w:left w:w="15" w:type="dxa"/>
              <w:right w:w="15" w:type="dxa"/>
            </w:tcMar>
            <w:vAlign w:val="center"/>
          </w:tcPr>
          <w:p w14:paraId="62FB659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0.42 </w:t>
            </w:r>
          </w:p>
        </w:tc>
        <w:tc>
          <w:tcPr>
            <w:tcW w:w="319" w:type="pct"/>
            <w:tcBorders>
              <w:tl2br w:val="nil"/>
              <w:tr2bl w:val="nil"/>
            </w:tcBorders>
            <w:noWrap/>
            <w:tcMar>
              <w:top w:w="15" w:type="dxa"/>
              <w:left w:w="15" w:type="dxa"/>
              <w:right w:w="15" w:type="dxa"/>
            </w:tcMar>
            <w:vAlign w:val="center"/>
          </w:tcPr>
          <w:p w14:paraId="2B0B8F6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7.218 </w:t>
            </w:r>
          </w:p>
        </w:tc>
        <w:tc>
          <w:tcPr>
            <w:tcW w:w="317" w:type="pct"/>
            <w:tcBorders>
              <w:tl2br w:val="nil"/>
              <w:tr2bl w:val="nil"/>
            </w:tcBorders>
            <w:noWrap/>
            <w:tcMar>
              <w:top w:w="15" w:type="dxa"/>
              <w:left w:w="15" w:type="dxa"/>
              <w:right w:w="15" w:type="dxa"/>
            </w:tcMar>
            <w:vAlign w:val="center"/>
          </w:tcPr>
          <w:p w14:paraId="3D2800C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3.61 </w:t>
            </w:r>
          </w:p>
        </w:tc>
        <w:tc>
          <w:tcPr>
            <w:tcW w:w="342" w:type="pct"/>
            <w:tcBorders>
              <w:tl2br w:val="nil"/>
              <w:tr2bl w:val="nil"/>
            </w:tcBorders>
            <w:noWrap/>
            <w:tcMar>
              <w:top w:w="15" w:type="dxa"/>
              <w:left w:w="15" w:type="dxa"/>
              <w:right w:w="15" w:type="dxa"/>
            </w:tcMar>
            <w:vAlign w:val="center"/>
          </w:tcPr>
          <w:p w14:paraId="7962D64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1.292 </w:t>
            </w:r>
          </w:p>
        </w:tc>
        <w:tc>
          <w:tcPr>
            <w:tcW w:w="343" w:type="pct"/>
            <w:tcBorders>
              <w:tl2br w:val="nil"/>
              <w:tr2bl w:val="nil"/>
            </w:tcBorders>
            <w:noWrap/>
            <w:tcMar>
              <w:top w:w="15" w:type="dxa"/>
              <w:left w:w="15" w:type="dxa"/>
              <w:right w:w="15" w:type="dxa"/>
            </w:tcMar>
            <w:vAlign w:val="center"/>
          </w:tcPr>
          <w:p w14:paraId="6D9AE1B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0.36 </w:t>
            </w:r>
          </w:p>
        </w:tc>
        <w:tc>
          <w:tcPr>
            <w:tcW w:w="312" w:type="pct"/>
            <w:tcBorders>
              <w:tl2br w:val="nil"/>
              <w:tr2bl w:val="nil"/>
            </w:tcBorders>
            <w:noWrap/>
            <w:tcMar>
              <w:top w:w="15" w:type="dxa"/>
              <w:left w:w="15" w:type="dxa"/>
              <w:right w:w="15" w:type="dxa"/>
            </w:tcMar>
            <w:vAlign w:val="center"/>
          </w:tcPr>
          <w:p w14:paraId="4113B8C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0.840 </w:t>
            </w:r>
          </w:p>
        </w:tc>
        <w:tc>
          <w:tcPr>
            <w:tcW w:w="314" w:type="pct"/>
            <w:tcBorders>
              <w:tl2br w:val="nil"/>
              <w:tr2bl w:val="nil"/>
            </w:tcBorders>
            <w:noWrap/>
            <w:tcMar>
              <w:top w:w="15" w:type="dxa"/>
              <w:left w:w="15" w:type="dxa"/>
              <w:right w:w="15" w:type="dxa"/>
            </w:tcMar>
            <w:vAlign w:val="center"/>
          </w:tcPr>
          <w:p w14:paraId="17AD635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0.47 </w:t>
            </w:r>
          </w:p>
        </w:tc>
        <w:tc>
          <w:tcPr>
            <w:tcW w:w="312" w:type="pct"/>
            <w:tcBorders>
              <w:tl2br w:val="nil"/>
              <w:tr2bl w:val="nil"/>
            </w:tcBorders>
            <w:noWrap/>
            <w:tcMar>
              <w:top w:w="15" w:type="dxa"/>
              <w:left w:w="15" w:type="dxa"/>
              <w:right w:w="15" w:type="dxa"/>
            </w:tcMar>
            <w:vAlign w:val="center"/>
          </w:tcPr>
          <w:p w14:paraId="3AD6152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0.000255 </w:t>
            </w:r>
          </w:p>
        </w:tc>
        <w:tc>
          <w:tcPr>
            <w:tcW w:w="314" w:type="pct"/>
            <w:tcBorders>
              <w:tl2br w:val="nil"/>
              <w:tr2bl w:val="nil"/>
            </w:tcBorders>
            <w:noWrap/>
            <w:tcMar>
              <w:top w:w="15" w:type="dxa"/>
              <w:left w:w="15" w:type="dxa"/>
              <w:right w:w="15" w:type="dxa"/>
            </w:tcMar>
            <w:vAlign w:val="center"/>
          </w:tcPr>
          <w:p w14:paraId="762C34A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0.09 </w:t>
            </w:r>
          </w:p>
        </w:tc>
        <w:tc>
          <w:tcPr>
            <w:tcW w:w="873" w:type="dxa"/>
            <w:tcBorders>
              <w:tl2br w:val="nil"/>
              <w:tr2bl w:val="nil"/>
            </w:tcBorders>
            <w:noWrap/>
            <w:tcMar>
              <w:top w:w="15" w:type="dxa"/>
              <w:left w:w="15" w:type="dxa"/>
              <w:right w:w="15" w:type="dxa"/>
            </w:tcMar>
            <w:vAlign w:val="center"/>
          </w:tcPr>
          <w:p w14:paraId="0861C2CA">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0.13938 </w:t>
            </w:r>
          </w:p>
        </w:tc>
        <w:tc>
          <w:tcPr>
            <w:tcW w:w="882" w:type="dxa"/>
            <w:tcBorders>
              <w:tl2br w:val="nil"/>
              <w:tr2bl w:val="nil"/>
            </w:tcBorders>
            <w:noWrap/>
            <w:tcMar>
              <w:top w:w="15" w:type="dxa"/>
              <w:left w:w="15" w:type="dxa"/>
              <w:right w:w="15" w:type="dxa"/>
            </w:tcMar>
            <w:vAlign w:val="center"/>
          </w:tcPr>
          <w:p w14:paraId="0B6E2FC0">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0.07</w:t>
            </w:r>
          </w:p>
        </w:tc>
      </w:tr>
      <w:tr w14:paraId="638FDA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3E4D7423">
            <w:pPr>
              <w:widowControl/>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2000</w:t>
            </w:r>
          </w:p>
        </w:tc>
        <w:tc>
          <w:tcPr>
            <w:tcW w:w="325" w:type="pct"/>
            <w:tcBorders>
              <w:tl2br w:val="nil"/>
              <w:tr2bl w:val="nil"/>
            </w:tcBorders>
            <w:noWrap/>
            <w:tcMar>
              <w:top w:w="15" w:type="dxa"/>
              <w:left w:w="15" w:type="dxa"/>
              <w:right w:w="15" w:type="dxa"/>
            </w:tcMar>
            <w:vAlign w:val="center"/>
          </w:tcPr>
          <w:p w14:paraId="7D0AA48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1.551 </w:t>
            </w:r>
          </w:p>
        </w:tc>
        <w:tc>
          <w:tcPr>
            <w:tcW w:w="327" w:type="pct"/>
            <w:tcBorders>
              <w:tl2br w:val="nil"/>
              <w:tr2bl w:val="nil"/>
            </w:tcBorders>
            <w:noWrap/>
            <w:tcMar>
              <w:top w:w="15" w:type="dxa"/>
              <w:left w:w="15" w:type="dxa"/>
              <w:right w:w="15" w:type="dxa"/>
            </w:tcMar>
            <w:vAlign w:val="center"/>
          </w:tcPr>
          <w:p w14:paraId="20099A4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0.31 </w:t>
            </w:r>
          </w:p>
        </w:tc>
        <w:tc>
          <w:tcPr>
            <w:tcW w:w="319" w:type="pct"/>
            <w:tcBorders>
              <w:tl2br w:val="nil"/>
              <w:tr2bl w:val="nil"/>
            </w:tcBorders>
            <w:noWrap/>
            <w:tcMar>
              <w:top w:w="15" w:type="dxa"/>
              <w:left w:w="15" w:type="dxa"/>
              <w:right w:w="15" w:type="dxa"/>
            </w:tcMar>
            <w:vAlign w:val="center"/>
          </w:tcPr>
          <w:p w14:paraId="098D345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5.319 </w:t>
            </w:r>
          </w:p>
        </w:tc>
        <w:tc>
          <w:tcPr>
            <w:tcW w:w="317" w:type="pct"/>
            <w:tcBorders>
              <w:tl2br w:val="nil"/>
              <w:tr2bl w:val="nil"/>
            </w:tcBorders>
            <w:noWrap/>
            <w:tcMar>
              <w:top w:w="15" w:type="dxa"/>
              <w:left w:w="15" w:type="dxa"/>
              <w:right w:w="15" w:type="dxa"/>
            </w:tcMar>
            <w:vAlign w:val="center"/>
          </w:tcPr>
          <w:p w14:paraId="67B6B96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2.66 </w:t>
            </w:r>
          </w:p>
        </w:tc>
        <w:tc>
          <w:tcPr>
            <w:tcW w:w="342" w:type="pct"/>
            <w:tcBorders>
              <w:tl2br w:val="nil"/>
              <w:tr2bl w:val="nil"/>
            </w:tcBorders>
            <w:noWrap/>
            <w:tcMar>
              <w:top w:w="15" w:type="dxa"/>
              <w:left w:w="15" w:type="dxa"/>
              <w:right w:w="15" w:type="dxa"/>
            </w:tcMar>
            <w:vAlign w:val="center"/>
          </w:tcPr>
          <w:p w14:paraId="13B2C98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0.952 </w:t>
            </w:r>
          </w:p>
        </w:tc>
        <w:tc>
          <w:tcPr>
            <w:tcW w:w="343" w:type="pct"/>
            <w:tcBorders>
              <w:tl2br w:val="nil"/>
              <w:tr2bl w:val="nil"/>
            </w:tcBorders>
            <w:noWrap/>
            <w:tcMar>
              <w:top w:w="15" w:type="dxa"/>
              <w:left w:w="15" w:type="dxa"/>
              <w:right w:w="15" w:type="dxa"/>
            </w:tcMar>
            <w:vAlign w:val="center"/>
          </w:tcPr>
          <w:p w14:paraId="2C5E383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0.26 </w:t>
            </w:r>
          </w:p>
        </w:tc>
        <w:tc>
          <w:tcPr>
            <w:tcW w:w="312" w:type="pct"/>
            <w:tcBorders>
              <w:tl2br w:val="nil"/>
              <w:tr2bl w:val="nil"/>
            </w:tcBorders>
            <w:noWrap/>
            <w:tcMar>
              <w:top w:w="15" w:type="dxa"/>
              <w:left w:w="15" w:type="dxa"/>
              <w:right w:w="15" w:type="dxa"/>
            </w:tcMar>
            <w:vAlign w:val="center"/>
          </w:tcPr>
          <w:p w14:paraId="705F2DF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0.619 </w:t>
            </w:r>
          </w:p>
        </w:tc>
        <w:tc>
          <w:tcPr>
            <w:tcW w:w="314" w:type="pct"/>
            <w:tcBorders>
              <w:tl2br w:val="nil"/>
              <w:tr2bl w:val="nil"/>
            </w:tcBorders>
            <w:noWrap/>
            <w:tcMar>
              <w:top w:w="15" w:type="dxa"/>
              <w:left w:w="15" w:type="dxa"/>
              <w:right w:w="15" w:type="dxa"/>
            </w:tcMar>
            <w:vAlign w:val="center"/>
          </w:tcPr>
          <w:p w14:paraId="01BCFDBD">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0.34 </w:t>
            </w:r>
          </w:p>
        </w:tc>
        <w:tc>
          <w:tcPr>
            <w:tcW w:w="312" w:type="pct"/>
            <w:tcBorders>
              <w:tl2br w:val="nil"/>
              <w:tr2bl w:val="nil"/>
            </w:tcBorders>
            <w:noWrap/>
            <w:tcMar>
              <w:top w:w="15" w:type="dxa"/>
              <w:left w:w="15" w:type="dxa"/>
              <w:right w:w="15" w:type="dxa"/>
            </w:tcMar>
            <w:vAlign w:val="center"/>
          </w:tcPr>
          <w:p w14:paraId="569D232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0.000188 </w:t>
            </w:r>
          </w:p>
        </w:tc>
        <w:tc>
          <w:tcPr>
            <w:tcW w:w="314" w:type="pct"/>
            <w:tcBorders>
              <w:tl2br w:val="nil"/>
              <w:tr2bl w:val="nil"/>
            </w:tcBorders>
            <w:noWrap/>
            <w:tcMar>
              <w:top w:w="15" w:type="dxa"/>
              <w:left w:w="15" w:type="dxa"/>
              <w:right w:w="15" w:type="dxa"/>
            </w:tcMar>
            <w:vAlign w:val="center"/>
          </w:tcPr>
          <w:p w14:paraId="7799D5B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0.06 </w:t>
            </w:r>
          </w:p>
        </w:tc>
        <w:tc>
          <w:tcPr>
            <w:tcW w:w="873" w:type="dxa"/>
            <w:tcBorders>
              <w:tl2br w:val="nil"/>
              <w:tr2bl w:val="nil"/>
            </w:tcBorders>
            <w:noWrap/>
            <w:tcMar>
              <w:top w:w="15" w:type="dxa"/>
              <w:left w:w="15" w:type="dxa"/>
              <w:right w:w="15" w:type="dxa"/>
            </w:tcMar>
            <w:vAlign w:val="center"/>
          </w:tcPr>
          <w:p w14:paraId="0DC1DEA0">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0.12067 </w:t>
            </w:r>
          </w:p>
        </w:tc>
        <w:tc>
          <w:tcPr>
            <w:tcW w:w="882" w:type="dxa"/>
            <w:tcBorders>
              <w:tl2br w:val="nil"/>
              <w:tr2bl w:val="nil"/>
            </w:tcBorders>
            <w:noWrap/>
            <w:tcMar>
              <w:top w:w="15" w:type="dxa"/>
              <w:left w:w="15" w:type="dxa"/>
              <w:right w:w="15" w:type="dxa"/>
            </w:tcMar>
            <w:vAlign w:val="center"/>
          </w:tcPr>
          <w:p w14:paraId="46E7660E">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0.06</w:t>
            </w:r>
          </w:p>
        </w:tc>
      </w:tr>
      <w:tr w14:paraId="680EC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shd w:val="clear" w:color="auto" w:fill="auto"/>
            <w:tcMar>
              <w:top w:w="15" w:type="dxa"/>
              <w:left w:w="15" w:type="dxa"/>
              <w:right w:w="15" w:type="dxa"/>
            </w:tcMar>
            <w:vAlign w:val="center"/>
          </w:tcPr>
          <w:p w14:paraId="01B09385">
            <w:pPr>
              <w:widowControl/>
              <w:spacing w:line="240" w:lineRule="auto"/>
              <w:ind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4811</w:t>
            </w:r>
          </w:p>
        </w:tc>
        <w:tc>
          <w:tcPr>
            <w:tcW w:w="325" w:type="pct"/>
            <w:tcBorders>
              <w:tl2br w:val="nil"/>
              <w:tr2bl w:val="nil"/>
            </w:tcBorders>
            <w:shd w:val="clear" w:color="auto" w:fill="auto"/>
            <w:noWrap/>
            <w:tcMar>
              <w:top w:w="15" w:type="dxa"/>
              <w:left w:w="15" w:type="dxa"/>
              <w:right w:w="15" w:type="dxa"/>
            </w:tcMar>
            <w:vAlign w:val="center"/>
          </w:tcPr>
          <w:p w14:paraId="44BF6F29">
            <w:pPr>
              <w:widowControl/>
              <w:spacing w:line="240" w:lineRule="auto"/>
              <w:ind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5.59</w:t>
            </w:r>
          </w:p>
        </w:tc>
        <w:tc>
          <w:tcPr>
            <w:tcW w:w="327" w:type="pct"/>
            <w:tcBorders>
              <w:tl2br w:val="nil"/>
              <w:tr2bl w:val="nil"/>
            </w:tcBorders>
            <w:shd w:val="clear" w:color="auto" w:fill="auto"/>
            <w:noWrap/>
            <w:tcMar>
              <w:top w:w="15" w:type="dxa"/>
              <w:left w:w="15" w:type="dxa"/>
              <w:right w:w="15" w:type="dxa"/>
            </w:tcMar>
            <w:vAlign w:val="center"/>
          </w:tcPr>
          <w:p w14:paraId="5CE0A069">
            <w:pPr>
              <w:widowControl/>
              <w:spacing w:line="240" w:lineRule="auto"/>
              <w:ind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 xml:space="preserve">1.12 </w:t>
            </w:r>
          </w:p>
        </w:tc>
        <w:tc>
          <w:tcPr>
            <w:tcW w:w="319" w:type="pct"/>
            <w:tcBorders>
              <w:tl2br w:val="nil"/>
              <w:tr2bl w:val="nil"/>
            </w:tcBorders>
            <w:shd w:val="clear" w:color="auto" w:fill="auto"/>
            <w:noWrap/>
            <w:tcMar>
              <w:top w:w="15" w:type="dxa"/>
              <w:left w:w="15" w:type="dxa"/>
              <w:right w:w="15" w:type="dxa"/>
            </w:tcMar>
            <w:vAlign w:val="center"/>
          </w:tcPr>
          <w:p w14:paraId="0DF7E8A9">
            <w:pPr>
              <w:widowControl/>
              <w:spacing w:line="240" w:lineRule="auto"/>
              <w:ind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 xml:space="preserve">24.03 </w:t>
            </w:r>
          </w:p>
        </w:tc>
        <w:tc>
          <w:tcPr>
            <w:tcW w:w="317" w:type="pct"/>
            <w:tcBorders>
              <w:tl2br w:val="nil"/>
              <w:tr2bl w:val="nil"/>
            </w:tcBorders>
            <w:shd w:val="clear" w:color="auto" w:fill="auto"/>
            <w:noWrap/>
            <w:tcMar>
              <w:top w:w="15" w:type="dxa"/>
              <w:left w:w="15" w:type="dxa"/>
              <w:right w:w="15" w:type="dxa"/>
            </w:tcMar>
            <w:vAlign w:val="center"/>
          </w:tcPr>
          <w:p w14:paraId="263E659A">
            <w:pPr>
              <w:widowControl/>
              <w:spacing w:line="240" w:lineRule="auto"/>
              <w:ind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 xml:space="preserve">12.02 </w:t>
            </w:r>
          </w:p>
        </w:tc>
        <w:tc>
          <w:tcPr>
            <w:tcW w:w="342" w:type="pct"/>
            <w:tcBorders>
              <w:tl2br w:val="nil"/>
              <w:tr2bl w:val="nil"/>
            </w:tcBorders>
            <w:shd w:val="clear" w:color="auto" w:fill="auto"/>
            <w:noWrap/>
            <w:tcMar>
              <w:top w:w="15" w:type="dxa"/>
              <w:left w:w="15" w:type="dxa"/>
              <w:right w:w="15" w:type="dxa"/>
            </w:tcMar>
            <w:vAlign w:val="center"/>
          </w:tcPr>
          <w:p w14:paraId="70D18852">
            <w:pPr>
              <w:widowControl/>
              <w:spacing w:line="240" w:lineRule="auto"/>
              <w:ind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 xml:space="preserve">3.43 </w:t>
            </w:r>
          </w:p>
        </w:tc>
        <w:tc>
          <w:tcPr>
            <w:tcW w:w="343" w:type="pct"/>
            <w:tcBorders>
              <w:tl2br w:val="nil"/>
              <w:tr2bl w:val="nil"/>
            </w:tcBorders>
            <w:shd w:val="clear" w:color="auto" w:fill="auto"/>
            <w:noWrap/>
            <w:tcMar>
              <w:top w:w="15" w:type="dxa"/>
              <w:left w:w="15" w:type="dxa"/>
              <w:right w:w="15" w:type="dxa"/>
            </w:tcMar>
            <w:vAlign w:val="center"/>
          </w:tcPr>
          <w:p w14:paraId="14245B85">
            <w:pPr>
              <w:widowControl/>
              <w:spacing w:line="240" w:lineRule="auto"/>
              <w:ind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 xml:space="preserve">0.95 </w:t>
            </w:r>
          </w:p>
        </w:tc>
        <w:tc>
          <w:tcPr>
            <w:tcW w:w="312" w:type="pct"/>
            <w:tcBorders>
              <w:tl2br w:val="nil"/>
              <w:tr2bl w:val="nil"/>
            </w:tcBorders>
            <w:shd w:val="clear" w:color="auto" w:fill="auto"/>
            <w:noWrap/>
            <w:tcMar>
              <w:top w:w="15" w:type="dxa"/>
              <w:left w:w="15" w:type="dxa"/>
              <w:right w:w="15" w:type="dxa"/>
            </w:tcMar>
            <w:vAlign w:val="center"/>
          </w:tcPr>
          <w:p w14:paraId="534B3C5D">
            <w:pPr>
              <w:widowControl/>
              <w:spacing w:line="240" w:lineRule="auto"/>
              <w:ind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2.23</w:t>
            </w:r>
          </w:p>
        </w:tc>
        <w:tc>
          <w:tcPr>
            <w:tcW w:w="314" w:type="pct"/>
            <w:tcBorders>
              <w:tl2br w:val="nil"/>
              <w:tr2bl w:val="nil"/>
            </w:tcBorders>
            <w:shd w:val="clear" w:color="auto" w:fill="auto"/>
            <w:noWrap/>
            <w:tcMar>
              <w:top w:w="15" w:type="dxa"/>
              <w:left w:w="15" w:type="dxa"/>
              <w:right w:w="15" w:type="dxa"/>
            </w:tcMar>
            <w:vAlign w:val="center"/>
          </w:tcPr>
          <w:p w14:paraId="07ACE3E8">
            <w:pPr>
              <w:widowControl/>
              <w:spacing w:line="240" w:lineRule="auto"/>
              <w:ind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1.24</w:t>
            </w:r>
          </w:p>
        </w:tc>
        <w:tc>
          <w:tcPr>
            <w:tcW w:w="312" w:type="pct"/>
            <w:tcBorders>
              <w:tl2br w:val="nil"/>
              <w:tr2bl w:val="nil"/>
            </w:tcBorders>
            <w:shd w:val="clear" w:color="auto" w:fill="auto"/>
            <w:noWrap/>
            <w:tcMar>
              <w:top w:w="15" w:type="dxa"/>
              <w:left w:w="15" w:type="dxa"/>
              <w:right w:w="15" w:type="dxa"/>
            </w:tcMar>
            <w:vAlign w:val="center"/>
          </w:tcPr>
          <w:p w14:paraId="4763D110">
            <w:pPr>
              <w:widowControl/>
              <w:spacing w:line="240" w:lineRule="auto"/>
              <w:ind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 xml:space="preserve">0.000679 </w:t>
            </w:r>
          </w:p>
        </w:tc>
        <w:tc>
          <w:tcPr>
            <w:tcW w:w="314" w:type="pct"/>
            <w:tcBorders>
              <w:tl2br w:val="nil"/>
              <w:tr2bl w:val="nil"/>
            </w:tcBorders>
            <w:shd w:val="clear" w:color="auto" w:fill="auto"/>
            <w:noWrap/>
            <w:tcMar>
              <w:top w:w="15" w:type="dxa"/>
              <w:left w:w="15" w:type="dxa"/>
              <w:right w:w="15" w:type="dxa"/>
            </w:tcMar>
            <w:vAlign w:val="center"/>
          </w:tcPr>
          <w:p w14:paraId="0759972E">
            <w:pPr>
              <w:widowControl/>
              <w:spacing w:line="240" w:lineRule="auto"/>
              <w:ind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sz w:val="21"/>
                <w:szCs w:val="21"/>
                <w:lang w:val="en-US" w:eastAsia="zh-CN"/>
              </w:rPr>
              <w:t>0.23</w:t>
            </w:r>
          </w:p>
        </w:tc>
        <w:tc>
          <w:tcPr>
            <w:tcW w:w="873" w:type="dxa"/>
            <w:tcBorders>
              <w:tl2br w:val="nil"/>
              <w:tr2bl w:val="nil"/>
            </w:tcBorders>
            <w:shd w:val="clear" w:color="auto" w:fill="auto"/>
            <w:noWrap/>
            <w:tcMar>
              <w:top w:w="15" w:type="dxa"/>
              <w:left w:w="15" w:type="dxa"/>
              <w:right w:w="15" w:type="dxa"/>
            </w:tcMar>
            <w:vAlign w:val="center"/>
          </w:tcPr>
          <w:p w14:paraId="7072F005">
            <w:pPr>
              <w:widowControl/>
              <w:spacing w:line="240" w:lineRule="auto"/>
              <w:ind w:firstLine="0" w:firstLineChars="0"/>
              <w:jc w:val="center"/>
              <w:rPr>
                <w:rFonts w:hint="eastAsia" w:ascii="Times New Roman" w:hAnsi="Times New Roman" w:eastAsia="宋体" w:cs="Times New Roman"/>
                <w:b/>
                <w:bCs/>
                <w:color w:val="FF0000"/>
                <w:sz w:val="21"/>
                <w:szCs w:val="21"/>
                <w:highlight w:val="none"/>
                <w:lang w:val="en-US" w:eastAsia="zh-CN"/>
              </w:rPr>
            </w:pPr>
            <w:r>
              <w:rPr>
                <w:rFonts w:hint="eastAsia" w:ascii="Times New Roman" w:hAnsi="Times New Roman" w:eastAsia="宋体" w:cs="Times New Roman"/>
                <w:b/>
                <w:bCs/>
                <w:color w:val="FF0000"/>
                <w:sz w:val="21"/>
                <w:szCs w:val="21"/>
                <w:highlight w:val="none"/>
                <w:lang w:val="en-US" w:eastAsia="zh-CN"/>
              </w:rPr>
              <w:t xml:space="preserve">0.38170 </w:t>
            </w:r>
          </w:p>
        </w:tc>
        <w:tc>
          <w:tcPr>
            <w:tcW w:w="882" w:type="dxa"/>
            <w:tcBorders>
              <w:tl2br w:val="nil"/>
              <w:tr2bl w:val="nil"/>
            </w:tcBorders>
            <w:shd w:val="clear" w:color="auto" w:fill="auto"/>
            <w:noWrap/>
            <w:tcMar>
              <w:top w:w="15" w:type="dxa"/>
              <w:left w:w="15" w:type="dxa"/>
              <w:right w:w="15" w:type="dxa"/>
            </w:tcMar>
            <w:vAlign w:val="center"/>
          </w:tcPr>
          <w:p w14:paraId="395E17AC">
            <w:pPr>
              <w:widowControl/>
              <w:spacing w:line="240" w:lineRule="auto"/>
              <w:ind w:firstLine="0" w:firstLineChars="0"/>
              <w:jc w:val="center"/>
              <w:rPr>
                <w:rFonts w:hint="eastAsia" w:ascii="Times New Roman" w:hAnsi="Times New Roman" w:eastAsia="宋体" w:cs="Times New Roman"/>
                <w:b/>
                <w:bCs/>
                <w:color w:val="FF0000"/>
                <w:sz w:val="21"/>
                <w:szCs w:val="21"/>
                <w:highlight w:val="none"/>
                <w:lang w:val="en-US" w:eastAsia="zh-CN"/>
              </w:rPr>
            </w:pPr>
            <w:r>
              <w:rPr>
                <w:rFonts w:hint="eastAsia" w:ascii="Times New Roman" w:hAnsi="Times New Roman" w:eastAsia="宋体" w:cs="Times New Roman"/>
                <w:b/>
                <w:bCs/>
                <w:color w:val="FF0000"/>
                <w:sz w:val="21"/>
                <w:szCs w:val="21"/>
                <w:highlight w:val="none"/>
                <w:lang w:val="en-US" w:eastAsia="zh-CN"/>
              </w:rPr>
              <w:t>0.19</w:t>
            </w:r>
          </w:p>
        </w:tc>
      </w:tr>
      <w:tr w14:paraId="36F2CD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5729353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5000</w:t>
            </w:r>
          </w:p>
        </w:tc>
        <w:tc>
          <w:tcPr>
            <w:tcW w:w="325" w:type="pct"/>
            <w:tcBorders>
              <w:tl2br w:val="nil"/>
              <w:tr2bl w:val="nil"/>
            </w:tcBorders>
            <w:noWrap/>
            <w:tcMar>
              <w:top w:w="15" w:type="dxa"/>
              <w:left w:w="15" w:type="dxa"/>
              <w:right w:w="15" w:type="dxa"/>
            </w:tcMar>
            <w:vAlign w:val="center"/>
          </w:tcPr>
          <w:p w14:paraId="4B1A807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0.988 </w:t>
            </w:r>
          </w:p>
        </w:tc>
        <w:tc>
          <w:tcPr>
            <w:tcW w:w="327" w:type="pct"/>
            <w:tcBorders>
              <w:tl2br w:val="nil"/>
              <w:tr2bl w:val="nil"/>
            </w:tcBorders>
            <w:noWrap/>
            <w:tcMar>
              <w:top w:w="15" w:type="dxa"/>
              <w:left w:w="15" w:type="dxa"/>
              <w:right w:w="15" w:type="dxa"/>
            </w:tcMar>
            <w:vAlign w:val="center"/>
          </w:tcPr>
          <w:p w14:paraId="605B9DC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0.20 </w:t>
            </w:r>
          </w:p>
        </w:tc>
        <w:tc>
          <w:tcPr>
            <w:tcW w:w="319" w:type="pct"/>
            <w:tcBorders>
              <w:tl2br w:val="nil"/>
              <w:tr2bl w:val="nil"/>
            </w:tcBorders>
            <w:noWrap/>
            <w:tcMar>
              <w:top w:w="15" w:type="dxa"/>
              <w:left w:w="15" w:type="dxa"/>
              <w:right w:w="15" w:type="dxa"/>
            </w:tcMar>
            <w:vAlign w:val="center"/>
          </w:tcPr>
          <w:p w14:paraId="69FC782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3.388 </w:t>
            </w:r>
          </w:p>
        </w:tc>
        <w:tc>
          <w:tcPr>
            <w:tcW w:w="317" w:type="pct"/>
            <w:tcBorders>
              <w:tl2br w:val="nil"/>
              <w:tr2bl w:val="nil"/>
            </w:tcBorders>
            <w:noWrap/>
            <w:tcMar>
              <w:top w:w="15" w:type="dxa"/>
              <w:left w:w="15" w:type="dxa"/>
              <w:right w:w="15" w:type="dxa"/>
            </w:tcMar>
            <w:vAlign w:val="center"/>
          </w:tcPr>
          <w:p w14:paraId="16E1B441">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1.69 </w:t>
            </w:r>
          </w:p>
        </w:tc>
        <w:tc>
          <w:tcPr>
            <w:tcW w:w="342" w:type="pct"/>
            <w:tcBorders>
              <w:tl2br w:val="nil"/>
              <w:tr2bl w:val="nil"/>
            </w:tcBorders>
            <w:noWrap/>
            <w:tcMar>
              <w:top w:w="15" w:type="dxa"/>
              <w:left w:w="15" w:type="dxa"/>
              <w:right w:w="15" w:type="dxa"/>
            </w:tcMar>
            <w:vAlign w:val="center"/>
          </w:tcPr>
          <w:p w14:paraId="54D750B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0.606 </w:t>
            </w:r>
          </w:p>
        </w:tc>
        <w:tc>
          <w:tcPr>
            <w:tcW w:w="343" w:type="pct"/>
            <w:tcBorders>
              <w:tl2br w:val="nil"/>
              <w:tr2bl w:val="nil"/>
            </w:tcBorders>
            <w:noWrap/>
            <w:tcMar>
              <w:top w:w="15" w:type="dxa"/>
              <w:left w:w="15" w:type="dxa"/>
              <w:right w:w="15" w:type="dxa"/>
            </w:tcMar>
            <w:vAlign w:val="center"/>
          </w:tcPr>
          <w:p w14:paraId="0A93D60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0.17 </w:t>
            </w:r>
          </w:p>
        </w:tc>
        <w:tc>
          <w:tcPr>
            <w:tcW w:w="312" w:type="pct"/>
            <w:tcBorders>
              <w:tl2br w:val="nil"/>
              <w:tr2bl w:val="nil"/>
            </w:tcBorders>
            <w:noWrap/>
            <w:tcMar>
              <w:top w:w="15" w:type="dxa"/>
              <w:left w:w="15" w:type="dxa"/>
              <w:right w:w="15" w:type="dxa"/>
            </w:tcMar>
            <w:vAlign w:val="center"/>
          </w:tcPr>
          <w:p w14:paraId="193D5EB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0.394 </w:t>
            </w:r>
          </w:p>
        </w:tc>
        <w:tc>
          <w:tcPr>
            <w:tcW w:w="314" w:type="pct"/>
            <w:tcBorders>
              <w:tl2br w:val="nil"/>
              <w:tr2bl w:val="nil"/>
            </w:tcBorders>
            <w:noWrap/>
            <w:tcMar>
              <w:top w:w="15" w:type="dxa"/>
              <w:left w:w="15" w:type="dxa"/>
              <w:right w:w="15" w:type="dxa"/>
            </w:tcMar>
            <w:vAlign w:val="center"/>
          </w:tcPr>
          <w:p w14:paraId="3E7A604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0.22 </w:t>
            </w:r>
          </w:p>
        </w:tc>
        <w:tc>
          <w:tcPr>
            <w:tcW w:w="312" w:type="pct"/>
            <w:tcBorders>
              <w:tl2br w:val="nil"/>
              <w:tr2bl w:val="nil"/>
            </w:tcBorders>
            <w:noWrap/>
            <w:tcMar>
              <w:top w:w="15" w:type="dxa"/>
              <w:left w:w="15" w:type="dxa"/>
              <w:right w:w="15" w:type="dxa"/>
            </w:tcMar>
            <w:vAlign w:val="center"/>
          </w:tcPr>
          <w:p w14:paraId="1C93E7C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0.000120 </w:t>
            </w:r>
          </w:p>
        </w:tc>
        <w:tc>
          <w:tcPr>
            <w:tcW w:w="314" w:type="pct"/>
            <w:tcBorders>
              <w:tl2br w:val="nil"/>
              <w:tr2bl w:val="nil"/>
            </w:tcBorders>
            <w:noWrap/>
            <w:tcMar>
              <w:top w:w="15" w:type="dxa"/>
              <w:left w:w="15" w:type="dxa"/>
              <w:right w:w="15" w:type="dxa"/>
            </w:tcMar>
            <w:vAlign w:val="center"/>
          </w:tcPr>
          <w:p w14:paraId="0247CA7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0.04 </w:t>
            </w:r>
          </w:p>
        </w:tc>
        <w:tc>
          <w:tcPr>
            <w:tcW w:w="873" w:type="dxa"/>
            <w:tcBorders>
              <w:tl2br w:val="nil"/>
              <w:tr2bl w:val="nil"/>
            </w:tcBorders>
            <w:noWrap/>
            <w:tcMar>
              <w:top w:w="15" w:type="dxa"/>
              <w:left w:w="15" w:type="dxa"/>
              <w:right w:w="15" w:type="dxa"/>
            </w:tcMar>
            <w:vAlign w:val="center"/>
          </w:tcPr>
          <w:p w14:paraId="5AF79AE1">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0.07337 </w:t>
            </w:r>
          </w:p>
        </w:tc>
        <w:tc>
          <w:tcPr>
            <w:tcW w:w="882" w:type="dxa"/>
            <w:tcBorders>
              <w:tl2br w:val="nil"/>
              <w:tr2bl w:val="nil"/>
            </w:tcBorders>
            <w:noWrap/>
            <w:tcMar>
              <w:top w:w="15" w:type="dxa"/>
              <w:left w:w="15" w:type="dxa"/>
              <w:right w:w="15" w:type="dxa"/>
            </w:tcMar>
            <w:vAlign w:val="center"/>
          </w:tcPr>
          <w:p w14:paraId="56F4F29F">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0.04</w:t>
            </w:r>
          </w:p>
        </w:tc>
      </w:tr>
      <w:tr w14:paraId="6ED0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017AFE8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10000</w:t>
            </w:r>
          </w:p>
        </w:tc>
        <w:tc>
          <w:tcPr>
            <w:tcW w:w="325" w:type="pct"/>
            <w:tcBorders>
              <w:tl2br w:val="nil"/>
              <w:tr2bl w:val="nil"/>
            </w:tcBorders>
            <w:noWrap/>
            <w:tcMar>
              <w:top w:w="15" w:type="dxa"/>
              <w:left w:w="15" w:type="dxa"/>
              <w:right w:w="15" w:type="dxa"/>
            </w:tcMar>
            <w:vAlign w:val="center"/>
          </w:tcPr>
          <w:p w14:paraId="3EC25D9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2.827 </w:t>
            </w:r>
          </w:p>
        </w:tc>
        <w:tc>
          <w:tcPr>
            <w:tcW w:w="327" w:type="pct"/>
            <w:tcBorders>
              <w:tl2br w:val="nil"/>
              <w:tr2bl w:val="nil"/>
            </w:tcBorders>
            <w:noWrap/>
            <w:tcMar>
              <w:top w:w="15" w:type="dxa"/>
              <w:left w:w="15" w:type="dxa"/>
              <w:right w:w="15" w:type="dxa"/>
            </w:tcMar>
            <w:vAlign w:val="center"/>
          </w:tcPr>
          <w:p w14:paraId="3C56E1B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0.57 </w:t>
            </w:r>
          </w:p>
        </w:tc>
        <w:tc>
          <w:tcPr>
            <w:tcW w:w="319" w:type="pct"/>
            <w:tcBorders>
              <w:tl2br w:val="nil"/>
              <w:tr2bl w:val="nil"/>
            </w:tcBorders>
            <w:noWrap/>
            <w:tcMar>
              <w:top w:w="15" w:type="dxa"/>
              <w:left w:w="15" w:type="dxa"/>
              <w:right w:w="15" w:type="dxa"/>
            </w:tcMar>
            <w:vAlign w:val="center"/>
          </w:tcPr>
          <w:p w14:paraId="03AC399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9.694 </w:t>
            </w:r>
          </w:p>
        </w:tc>
        <w:tc>
          <w:tcPr>
            <w:tcW w:w="317" w:type="pct"/>
            <w:tcBorders>
              <w:tl2br w:val="nil"/>
              <w:tr2bl w:val="nil"/>
            </w:tcBorders>
            <w:noWrap/>
            <w:tcMar>
              <w:top w:w="15" w:type="dxa"/>
              <w:left w:w="15" w:type="dxa"/>
              <w:right w:w="15" w:type="dxa"/>
            </w:tcMar>
            <w:vAlign w:val="center"/>
          </w:tcPr>
          <w:p w14:paraId="23E2231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4.85 </w:t>
            </w:r>
          </w:p>
        </w:tc>
        <w:tc>
          <w:tcPr>
            <w:tcW w:w="342" w:type="pct"/>
            <w:tcBorders>
              <w:tl2br w:val="nil"/>
              <w:tr2bl w:val="nil"/>
            </w:tcBorders>
            <w:noWrap/>
            <w:tcMar>
              <w:top w:w="15" w:type="dxa"/>
              <w:left w:w="15" w:type="dxa"/>
              <w:right w:w="15" w:type="dxa"/>
            </w:tcMar>
            <w:vAlign w:val="center"/>
          </w:tcPr>
          <w:p w14:paraId="13D82AE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1.735 </w:t>
            </w:r>
          </w:p>
        </w:tc>
        <w:tc>
          <w:tcPr>
            <w:tcW w:w="343" w:type="pct"/>
            <w:tcBorders>
              <w:tl2br w:val="nil"/>
              <w:tr2bl w:val="nil"/>
            </w:tcBorders>
            <w:noWrap/>
            <w:tcMar>
              <w:top w:w="15" w:type="dxa"/>
              <w:left w:w="15" w:type="dxa"/>
              <w:right w:w="15" w:type="dxa"/>
            </w:tcMar>
            <w:vAlign w:val="center"/>
          </w:tcPr>
          <w:p w14:paraId="4C509E3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0.48 </w:t>
            </w:r>
          </w:p>
        </w:tc>
        <w:tc>
          <w:tcPr>
            <w:tcW w:w="312" w:type="pct"/>
            <w:tcBorders>
              <w:tl2br w:val="nil"/>
              <w:tr2bl w:val="nil"/>
            </w:tcBorders>
            <w:noWrap/>
            <w:tcMar>
              <w:top w:w="15" w:type="dxa"/>
              <w:left w:w="15" w:type="dxa"/>
              <w:right w:w="15" w:type="dxa"/>
            </w:tcMar>
            <w:vAlign w:val="center"/>
          </w:tcPr>
          <w:p w14:paraId="7D96E72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1.128 </w:t>
            </w:r>
          </w:p>
        </w:tc>
        <w:tc>
          <w:tcPr>
            <w:tcW w:w="314" w:type="pct"/>
            <w:tcBorders>
              <w:tl2br w:val="nil"/>
              <w:tr2bl w:val="nil"/>
            </w:tcBorders>
            <w:noWrap/>
            <w:tcMar>
              <w:top w:w="15" w:type="dxa"/>
              <w:left w:w="15" w:type="dxa"/>
              <w:right w:w="15" w:type="dxa"/>
            </w:tcMar>
            <w:vAlign w:val="center"/>
          </w:tcPr>
          <w:p w14:paraId="7DBC795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0.63 </w:t>
            </w:r>
          </w:p>
        </w:tc>
        <w:tc>
          <w:tcPr>
            <w:tcW w:w="312" w:type="pct"/>
            <w:tcBorders>
              <w:tl2br w:val="nil"/>
              <w:tr2bl w:val="nil"/>
            </w:tcBorders>
            <w:noWrap/>
            <w:tcMar>
              <w:top w:w="15" w:type="dxa"/>
              <w:left w:w="15" w:type="dxa"/>
              <w:right w:w="15" w:type="dxa"/>
            </w:tcMar>
            <w:vAlign w:val="center"/>
          </w:tcPr>
          <w:p w14:paraId="72F9C68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0.000343 </w:t>
            </w:r>
          </w:p>
        </w:tc>
        <w:tc>
          <w:tcPr>
            <w:tcW w:w="314" w:type="pct"/>
            <w:tcBorders>
              <w:tl2br w:val="nil"/>
              <w:tr2bl w:val="nil"/>
            </w:tcBorders>
            <w:noWrap/>
            <w:tcMar>
              <w:top w:w="15" w:type="dxa"/>
              <w:left w:w="15" w:type="dxa"/>
              <w:right w:w="15" w:type="dxa"/>
            </w:tcMar>
            <w:vAlign w:val="center"/>
          </w:tcPr>
          <w:p w14:paraId="43420AE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0.11 </w:t>
            </w:r>
          </w:p>
        </w:tc>
        <w:tc>
          <w:tcPr>
            <w:tcW w:w="873" w:type="dxa"/>
            <w:tcBorders>
              <w:tl2br w:val="nil"/>
              <w:tr2bl w:val="nil"/>
            </w:tcBorders>
            <w:noWrap/>
            <w:tcMar>
              <w:top w:w="15" w:type="dxa"/>
              <w:left w:w="15" w:type="dxa"/>
              <w:right w:w="15" w:type="dxa"/>
            </w:tcMar>
            <w:vAlign w:val="center"/>
          </w:tcPr>
          <w:p w14:paraId="18E28934">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0.14685 </w:t>
            </w:r>
          </w:p>
        </w:tc>
        <w:tc>
          <w:tcPr>
            <w:tcW w:w="882" w:type="dxa"/>
            <w:tcBorders>
              <w:tl2br w:val="nil"/>
              <w:tr2bl w:val="nil"/>
            </w:tcBorders>
            <w:noWrap/>
            <w:tcMar>
              <w:top w:w="15" w:type="dxa"/>
              <w:left w:w="15" w:type="dxa"/>
              <w:right w:w="15" w:type="dxa"/>
            </w:tcMar>
            <w:vAlign w:val="center"/>
          </w:tcPr>
          <w:p w14:paraId="1D6F7C59">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0.07</w:t>
            </w:r>
          </w:p>
        </w:tc>
      </w:tr>
      <w:tr w14:paraId="622199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4D2E0394">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25000</w:t>
            </w:r>
          </w:p>
        </w:tc>
        <w:tc>
          <w:tcPr>
            <w:tcW w:w="325" w:type="pct"/>
            <w:tcBorders>
              <w:tl2br w:val="nil"/>
              <w:tr2bl w:val="nil"/>
            </w:tcBorders>
            <w:noWrap/>
            <w:tcMar>
              <w:top w:w="15" w:type="dxa"/>
              <w:left w:w="15" w:type="dxa"/>
              <w:right w:w="15" w:type="dxa"/>
            </w:tcMar>
            <w:vAlign w:val="center"/>
          </w:tcPr>
          <w:p w14:paraId="779D5B3A">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1.307 </w:t>
            </w:r>
          </w:p>
        </w:tc>
        <w:tc>
          <w:tcPr>
            <w:tcW w:w="327" w:type="pct"/>
            <w:tcBorders>
              <w:tl2br w:val="nil"/>
              <w:tr2bl w:val="nil"/>
            </w:tcBorders>
            <w:noWrap/>
            <w:tcMar>
              <w:top w:w="15" w:type="dxa"/>
              <w:left w:w="15" w:type="dxa"/>
              <w:right w:w="15" w:type="dxa"/>
            </w:tcMar>
            <w:vAlign w:val="center"/>
          </w:tcPr>
          <w:p w14:paraId="03ECE13D">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0.26 </w:t>
            </w:r>
          </w:p>
        </w:tc>
        <w:tc>
          <w:tcPr>
            <w:tcW w:w="319" w:type="pct"/>
            <w:tcBorders>
              <w:tl2br w:val="nil"/>
              <w:tr2bl w:val="nil"/>
            </w:tcBorders>
            <w:noWrap/>
            <w:tcMar>
              <w:top w:w="15" w:type="dxa"/>
              <w:left w:w="15" w:type="dxa"/>
              <w:right w:w="15" w:type="dxa"/>
            </w:tcMar>
            <w:vAlign w:val="center"/>
          </w:tcPr>
          <w:p w14:paraId="66F7AD81">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4.482 </w:t>
            </w:r>
          </w:p>
        </w:tc>
        <w:tc>
          <w:tcPr>
            <w:tcW w:w="317" w:type="pct"/>
            <w:tcBorders>
              <w:tl2br w:val="nil"/>
              <w:tr2bl w:val="nil"/>
            </w:tcBorders>
            <w:noWrap/>
            <w:tcMar>
              <w:top w:w="15" w:type="dxa"/>
              <w:left w:w="15" w:type="dxa"/>
              <w:right w:w="15" w:type="dxa"/>
            </w:tcMar>
            <w:vAlign w:val="center"/>
          </w:tcPr>
          <w:p w14:paraId="3793A4C1">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2.24 </w:t>
            </w:r>
          </w:p>
        </w:tc>
        <w:tc>
          <w:tcPr>
            <w:tcW w:w="342" w:type="pct"/>
            <w:tcBorders>
              <w:tl2br w:val="nil"/>
              <w:tr2bl w:val="nil"/>
            </w:tcBorders>
            <w:noWrap/>
            <w:tcMar>
              <w:top w:w="15" w:type="dxa"/>
              <w:left w:w="15" w:type="dxa"/>
              <w:right w:w="15" w:type="dxa"/>
            </w:tcMar>
            <w:vAlign w:val="center"/>
          </w:tcPr>
          <w:p w14:paraId="63C5B8C6">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0.802 </w:t>
            </w:r>
          </w:p>
        </w:tc>
        <w:tc>
          <w:tcPr>
            <w:tcW w:w="343" w:type="pct"/>
            <w:tcBorders>
              <w:tl2br w:val="nil"/>
              <w:tr2bl w:val="nil"/>
            </w:tcBorders>
            <w:noWrap/>
            <w:tcMar>
              <w:top w:w="15" w:type="dxa"/>
              <w:left w:w="15" w:type="dxa"/>
              <w:right w:w="15" w:type="dxa"/>
            </w:tcMar>
            <w:vAlign w:val="center"/>
          </w:tcPr>
          <w:p w14:paraId="642F1CE6">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0.22 </w:t>
            </w:r>
          </w:p>
        </w:tc>
        <w:tc>
          <w:tcPr>
            <w:tcW w:w="312" w:type="pct"/>
            <w:tcBorders>
              <w:tl2br w:val="nil"/>
              <w:tr2bl w:val="nil"/>
            </w:tcBorders>
            <w:noWrap/>
            <w:tcMar>
              <w:top w:w="15" w:type="dxa"/>
              <w:left w:w="15" w:type="dxa"/>
              <w:right w:w="15" w:type="dxa"/>
            </w:tcMar>
            <w:vAlign w:val="center"/>
          </w:tcPr>
          <w:p w14:paraId="7B73878C">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0.522 </w:t>
            </w:r>
          </w:p>
        </w:tc>
        <w:tc>
          <w:tcPr>
            <w:tcW w:w="314" w:type="pct"/>
            <w:tcBorders>
              <w:tl2br w:val="nil"/>
              <w:tr2bl w:val="nil"/>
            </w:tcBorders>
            <w:noWrap/>
            <w:tcMar>
              <w:top w:w="15" w:type="dxa"/>
              <w:left w:w="15" w:type="dxa"/>
              <w:right w:w="15" w:type="dxa"/>
            </w:tcMar>
            <w:vAlign w:val="center"/>
          </w:tcPr>
          <w:p w14:paraId="53CE62D1">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0.29 </w:t>
            </w:r>
          </w:p>
        </w:tc>
        <w:tc>
          <w:tcPr>
            <w:tcW w:w="312" w:type="pct"/>
            <w:tcBorders>
              <w:tl2br w:val="nil"/>
              <w:tr2bl w:val="nil"/>
            </w:tcBorders>
            <w:noWrap/>
            <w:tcMar>
              <w:top w:w="15" w:type="dxa"/>
              <w:left w:w="15" w:type="dxa"/>
              <w:right w:w="15" w:type="dxa"/>
            </w:tcMar>
            <w:vAlign w:val="center"/>
          </w:tcPr>
          <w:p w14:paraId="04B2DFC6">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0.000159 </w:t>
            </w:r>
          </w:p>
        </w:tc>
        <w:tc>
          <w:tcPr>
            <w:tcW w:w="314" w:type="pct"/>
            <w:tcBorders>
              <w:tl2br w:val="nil"/>
              <w:tr2bl w:val="nil"/>
            </w:tcBorders>
            <w:noWrap/>
            <w:tcMar>
              <w:top w:w="15" w:type="dxa"/>
              <w:left w:w="15" w:type="dxa"/>
              <w:right w:w="15" w:type="dxa"/>
            </w:tcMar>
            <w:vAlign w:val="center"/>
          </w:tcPr>
          <w:p w14:paraId="4D1568B1">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0.05 </w:t>
            </w:r>
          </w:p>
        </w:tc>
        <w:tc>
          <w:tcPr>
            <w:tcW w:w="873" w:type="dxa"/>
            <w:tcBorders>
              <w:tl2br w:val="nil"/>
              <w:tr2bl w:val="nil"/>
            </w:tcBorders>
            <w:noWrap/>
            <w:tcMar>
              <w:top w:w="15" w:type="dxa"/>
              <w:left w:w="15" w:type="dxa"/>
              <w:right w:w="15" w:type="dxa"/>
            </w:tcMar>
            <w:vAlign w:val="center"/>
          </w:tcPr>
          <w:p w14:paraId="71C7EF7C">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 xml:space="preserve">0.04304 </w:t>
            </w:r>
          </w:p>
        </w:tc>
        <w:tc>
          <w:tcPr>
            <w:tcW w:w="882" w:type="dxa"/>
            <w:tcBorders>
              <w:tl2br w:val="nil"/>
              <w:tr2bl w:val="nil"/>
            </w:tcBorders>
            <w:noWrap/>
            <w:tcMar>
              <w:top w:w="15" w:type="dxa"/>
              <w:left w:w="15" w:type="dxa"/>
              <w:right w:w="15" w:type="dxa"/>
            </w:tcMar>
            <w:vAlign w:val="center"/>
          </w:tcPr>
          <w:p w14:paraId="170F7FF6">
            <w:pPr>
              <w:widowControl/>
              <w:spacing w:line="240" w:lineRule="auto"/>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0.02</w:t>
            </w:r>
          </w:p>
        </w:tc>
      </w:tr>
      <w:tr w14:paraId="7ADFD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1" w:hRule="atLeast"/>
          <w:jc w:val="center"/>
        </w:trPr>
        <w:tc>
          <w:tcPr>
            <w:tcW w:w="1141" w:type="pct"/>
            <w:tcBorders>
              <w:tl2br w:val="nil"/>
              <w:tr2bl w:val="nil"/>
            </w:tcBorders>
            <w:tcMar>
              <w:top w:w="15" w:type="dxa"/>
              <w:left w:w="15" w:type="dxa"/>
              <w:right w:w="15" w:type="dxa"/>
            </w:tcMar>
            <w:vAlign w:val="center"/>
          </w:tcPr>
          <w:p w14:paraId="5FF70A56">
            <w:pPr>
              <w:widowControl/>
              <w:spacing w:line="240" w:lineRule="auto"/>
              <w:ind w:firstLine="0" w:firstLineChars="0"/>
              <w:jc w:val="center"/>
              <w:textAlignment w:val="bottom"/>
              <w:rPr>
                <w:rFonts w:ascii="Times New Roman" w:hAnsi="Times New Roman" w:eastAsia="宋体" w:cs="Times New Roman"/>
                <w:bCs/>
                <w:color w:val="auto"/>
                <w:sz w:val="21"/>
                <w:szCs w:val="21"/>
              </w:rPr>
            </w:pPr>
            <w:r>
              <w:rPr>
                <w:rFonts w:ascii="Times New Roman" w:hAnsi="Times New Roman" w:eastAsia="宋体" w:cs="Times New Roman"/>
                <w:bCs/>
                <w:color w:val="auto"/>
                <w:kern w:val="0"/>
                <w:sz w:val="21"/>
                <w:szCs w:val="21"/>
                <w:lang w:bidi="ar"/>
              </w:rPr>
              <w:t>下风向最大质量浓度及占标率%</w:t>
            </w:r>
          </w:p>
        </w:tc>
        <w:tc>
          <w:tcPr>
            <w:tcW w:w="325" w:type="pct"/>
            <w:tcBorders>
              <w:tl2br w:val="nil"/>
              <w:tr2bl w:val="nil"/>
            </w:tcBorders>
            <w:noWrap/>
            <w:tcMar>
              <w:top w:w="15" w:type="dxa"/>
              <w:left w:w="15" w:type="dxa"/>
              <w:right w:w="15" w:type="dxa"/>
            </w:tcMar>
            <w:vAlign w:val="center"/>
          </w:tcPr>
          <w:p w14:paraId="1972DD09">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5.59</w:t>
            </w:r>
          </w:p>
        </w:tc>
        <w:tc>
          <w:tcPr>
            <w:tcW w:w="327" w:type="pct"/>
            <w:tcBorders>
              <w:tl2br w:val="nil"/>
              <w:tr2bl w:val="nil"/>
            </w:tcBorders>
            <w:noWrap/>
            <w:tcMar>
              <w:top w:w="15" w:type="dxa"/>
              <w:left w:w="15" w:type="dxa"/>
              <w:right w:w="15" w:type="dxa"/>
            </w:tcMar>
            <w:vAlign w:val="center"/>
          </w:tcPr>
          <w:p w14:paraId="0CB62EAE">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 xml:space="preserve">1.12 </w:t>
            </w:r>
          </w:p>
        </w:tc>
        <w:tc>
          <w:tcPr>
            <w:tcW w:w="319" w:type="pct"/>
            <w:tcBorders>
              <w:tl2br w:val="nil"/>
              <w:tr2bl w:val="nil"/>
            </w:tcBorders>
            <w:noWrap/>
            <w:tcMar>
              <w:top w:w="15" w:type="dxa"/>
              <w:left w:w="15" w:type="dxa"/>
              <w:right w:w="15" w:type="dxa"/>
            </w:tcMar>
            <w:vAlign w:val="center"/>
          </w:tcPr>
          <w:p w14:paraId="605ABECD">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 xml:space="preserve">24.03 </w:t>
            </w:r>
          </w:p>
        </w:tc>
        <w:tc>
          <w:tcPr>
            <w:tcW w:w="317" w:type="pct"/>
            <w:tcBorders>
              <w:tl2br w:val="nil"/>
              <w:tr2bl w:val="nil"/>
            </w:tcBorders>
            <w:noWrap/>
            <w:tcMar>
              <w:top w:w="15" w:type="dxa"/>
              <w:left w:w="15" w:type="dxa"/>
              <w:right w:w="15" w:type="dxa"/>
            </w:tcMar>
            <w:vAlign w:val="center"/>
          </w:tcPr>
          <w:p w14:paraId="69F68B9D">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 xml:space="preserve">12.02 </w:t>
            </w:r>
          </w:p>
        </w:tc>
        <w:tc>
          <w:tcPr>
            <w:tcW w:w="342" w:type="pct"/>
            <w:tcBorders>
              <w:tl2br w:val="nil"/>
              <w:tr2bl w:val="nil"/>
            </w:tcBorders>
            <w:noWrap/>
            <w:tcMar>
              <w:top w:w="15" w:type="dxa"/>
              <w:left w:w="15" w:type="dxa"/>
              <w:right w:w="15" w:type="dxa"/>
            </w:tcMar>
            <w:vAlign w:val="center"/>
          </w:tcPr>
          <w:p w14:paraId="484A1F69">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 xml:space="preserve">3.43 </w:t>
            </w:r>
          </w:p>
        </w:tc>
        <w:tc>
          <w:tcPr>
            <w:tcW w:w="343" w:type="pct"/>
            <w:tcBorders>
              <w:tl2br w:val="nil"/>
              <w:tr2bl w:val="nil"/>
            </w:tcBorders>
            <w:noWrap/>
            <w:tcMar>
              <w:top w:w="15" w:type="dxa"/>
              <w:left w:w="15" w:type="dxa"/>
              <w:right w:w="15" w:type="dxa"/>
            </w:tcMar>
            <w:vAlign w:val="center"/>
          </w:tcPr>
          <w:p w14:paraId="36A5AB0D">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 xml:space="preserve">0.95 </w:t>
            </w:r>
          </w:p>
        </w:tc>
        <w:tc>
          <w:tcPr>
            <w:tcW w:w="312" w:type="pct"/>
            <w:tcBorders>
              <w:tl2br w:val="nil"/>
              <w:tr2bl w:val="nil"/>
            </w:tcBorders>
            <w:noWrap/>
            <w:tcMar>
              <w:top w:w="15" w:type="dxa"/>
              <w:left w:w="15" w:type="dxa"/>
              <w:right w:w="15" w:type="dxa"/>
            </w:tcMar>
            <w:vAlign w:val="center"/>
          </w:tcPr>
          <w:p w14:paraId="1381FFDF">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2.23</w:t>
            </w:r>
          </w:p>
        </w:tc>
        <w:tc>
          <w:tcPr>
            <w:tcW w:w="314" w:type="pct"/>
            <w:tcBorders>
              <w:tl2br w:val="nil"/>
              <w:tr2bl w:val="nil"/>
            </w:tcBorders>
            <w:noWrap/>
            <w:tcMar>
              <w:top w:w="15" w:type="dxa"/>
              <w:left w:w="15" w:type="dxa"/>
              <w:right w:w="15" w:type="dxa"/>
            </w:tcMar>
            <w:vAlign w:val="center"/>
          </w:tcPr>
          <w:p w14:paraId="38FC0A23">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1.24</w:t>
            </w:r>
          </w:p>
        </w:tc>
        <w:tc>
          <w:tcPr>
            <w:tcW w:w="312" w:type="pct"/>
            <w:tcBorders>
              <w:tl2br w:val="nil"/>
              <w:tr2bl w:val="nil"/>
            </w:tcBorders>
            <w:noWrap/>
            <w:tcMar>
              <w:top w:w="15" w:type="dxa"/>
              <w:left w:w="15" w:type="dxa"/>
              <w:right w:w="15" w:type="dxa"/>
            </w:tcMar>
            <w:vAlign w:val="center"/>
          </w:tcPr>
          <w:p w14:paraId="6D5490EB">
            <w:pPr>
              <w:widowControl/>
              <w:spacing w:line="240" w:lineRule="auto"/>
              <w:ind w:firstLine="0" w:firstLineChars="0"/>
              <w:jc w:val="center"/>
              <w:rPr>
                <w:rFonts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 xml:space="preserve">0.000679 </w:t>
            </w:r>
          </w:p>
        </w:tc>
        <w:tc>
          <w:tcPr>
            <w:tcW w:w="314" w:type="pct"/>
            <w:tcBorders>
              <w:tl2br w:val="nil"/>
              <w:tr2bl w:val="nil"/>
            </w:tcBorders>
            <w:noWrap/>
            <w:tcMar>
              <w:top w:w="15" w:type="dxa"/>
              <w:left w:w="15" w:type="dxa"/>
              <w:right w:w="15" w:type="dxa"/>
            </w:tcMar>
            <w:vAlign w:val="center"/>
          </w:tcPr>
          <w:p w14:paraId="5D4F7E79">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0.23</w:t>
            </w:r>
          </w:p>
        </w:tc>
        <w:tc>
          <w:tcPr>
            <w:tcW w:w="873" w:type="dxa"/>
            <w:tcBorders>
              <w:tl2br w:val="nil"/>
              <w:tr2bl w:val="nil"/>
            </w:tcBorders>
            <w:noWrap/>
            <w:tcMar>
              <w:top w:w="15" w:type="dxa"/>
              <w:left w:w="15" w:type="dxa"/>
              <w:right w:w="15" w:type="dxa"/>
            </w:tcMar>
            <w:vAlign w:val="center"/>
          </w:tcPr>
          <w:p w14:paraId="066FDDBD">
            <w:pPr>
              <w:widowControl/>
              <w:spacing w:line="240" w:lineRule="auto"/>
              <w:ind w:firstLine="0" w:firstLineChars="0"/>
              <w:jc w:val="center"/>
              <w:rPr>
                <w:rFonts w:hint="eastAsia" w:ascii="Times New Roman" w:hAnsi="Times New Roman" w:eastAsia="宋体" w:cs="Times New Roman"/>
                <w:b/>
                <w:bCs/>
                <w:color w:val="FF0000"/>
                <w:sz w:val="21"/>
                <w:szCs w:val="21"/>
                <w:lang w:val="en-US" w:eastAsia="zh-CN"/>
              </w:rPr>
            </w:pPr>
            <w:r>
              <w:rPr>
                <w:rFonts w:hint="eastAsia" w:ascii="Times New Roman" w:hAnsi="Times New Roman" w:eastAsia="宋体" w:cs="Times New Roman"/>
                <w:b/>
                <w:bCs/>
                <w:color w:val="FF0000"/>
                <w:sz w:val="21"/>
                <w:szCs w:val="21"/>
                <w:highlight w:val="none"/>
                <w:lang w:val="en-US" w:eastAsia="zh-CN"/>
              </w:rPr>
              <w:t xml:space="preserve">0.38170 </w:t>
            </w:r>
          </w:p>
        </w:tc>
        <w:tc>
          <w:tcPr>
            <w:tcW w:w="882" w:type="dxa"/>
            <w:tcBorders>
              <w:tl2br w:val="nil"/>
              <w:tr2bl w:val="nil"/>
            </w:tcBorders>
            <w:noWrap/>
            <w:tcMar>
              <w:top w:w="15" w:type="dxa"/>
              <w:left w:w="15" w:type="dxa"/>
              <w:right w:w="15" w:type="dxa"/>
            </w:tcMar>
            <w:vAlign w:val="center"/>
          </w:tcPr>
          <w:p w14:paraId="581DC0FF">
            <w:pPr>
              <w:widowControl/>
              <w:spacing w:line="240" w:lineRule="auto"/>
              <w:ind w:firstLine="0" w:firstLineChars="0"/>
              <w:jc w:val="center"/>
              <w:rPr>
                <w:color w:val="FF0000"/>
              </w:rPr>
            </w:pPr>
            <w:r>
              <w:rPr>
                <w:rFonts w:hint="eastAsia" w:ascii="Times New Roman" w:hAnsi="Times New Roman" w:eastAsia="宋体" w:cs="Times New Roman"/>
                <w:b/>
                <w:bCs/>
                <w:color w:val="FF0000"/>
                <w:sz w:val="21"/>
                <w:szCs w:val="21"/>
                <w:highlight w:val="none"/>
                <w:lang w:val="en-US" w:eastAsia="zh-CN"/>
              </w:rPr>
              <w:t>0.19</w:t>
            </w:r>
          </w:p>
        </w:tc>
      </w:tr>
      <w:tr w14:paraId="2184E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5" w:hRule="atLeast"/>
          <w:jc w:val="center"/>
        </w:trPr>
        <w:tc>
          <w:tcPr>
            <w:tcW w:w="1141" w:type="pct"/>
            <w:tcBorders>
              <w:tl2br w:val="nil"/>
              <w:tr2bl w:val="nil"/>
            </w:tcBorders>
            <w:tcMar>
              <w:top w:w="15" w:type="dxa"/>
              <w:left w:w="15" w:type="dxa"/>
              <w:right w:w="15" w:type="dxa"/>
            </w:tcMar>
            <w:vAlign w:val="center"/>
          </w:tcPr>
          <w:p w14:paraId="40115BBA">
            <w:pPr>
              <w:widowControl/>
              <w:spacing w:line="240" w:lineRule="auto"/>
              <w:ind w:firstLine="0" w:firstLineChars="0"/>
              <w:jc w:val="center"/>
              <w:textAlignment w:val="bottom"/>
              <w:rPr>
                <w:rFonts w:ascii="Times New Roman" w:hAnsi="Times New Roman" w:eastAsia="宋体" w:cs="Times New Roman"/>
                <w:bCs/>
                <w:color w:val="auto"/>
                <w:kern w:val="0"/>
                <w:sz w:val="21"/>
                <w:szCs w:val="21"/>
                <w:lang w:bidi="ar"/>
              </w:rPr>
            </w:pPr>
            <w:r>
              <w:rPr>
                <w:rFonts w:ascii="Times New Roman" w:hAnsi="Times New Roman" w:eastAsia="宋体" w:cs="Times New Roman"/>
                <w:color w:val="auto"/>
                <w:kern w:val="0"/>
                <w:sz w:val="21"/>
                <w:szCs w:val="21"/>
                <w:lang w:bidi="ar"/>
              </w:rPr>
              <w:t>D10</w:t>
            </w:r>
            <w:r>
              <w:rPr>
                <w:rFonts w:ascii="Times New Roman" w:hAnsi="Times New Roman" w:eastAsia="宋体" w:cs="Times New Roman"/>
                <w:color w:val="auto"/>
                <w:kern w:val="0"/>
                <w:sz w:val="21"/>
                <w:szCs w:val="21"/>
                <w:vertAlign w:val="subscript"/>
                <w:lang w:bidi="ar"/>
              </w:rPr>
              <w:t>%</w:t>
            </w:r>
            <w:r>
              <w:rPr>
                <w:rFonts w:ascii="Times New Roman" w:hAnsi="Times New Roman" w:eastAsia="宋体" w:cs="Times New Roman"/>
                <w:color w:val="auto"/>
                <w:kern w:val="0"/>
                <w:sz w:val="21"/>
                <w:szCs w:val="21"/>
                <w:lang w:bidi="ar"/>
              </w:rPr>
              <w:t>最远距离/m</w:t>
            </w:r>
          </w:p>
        </w:tc>
        <w:tc>
          <w:tcPr>
            <w:tcW w:w="652" w:type="pct"/>
            <w:gridSpan w:val="2"/>
            <w:tcBorders>
              <w:tl2br w:val="nil"/>
              <w:tr2bl w:val="nil"/>
            </w:tcBorders>
            <w:noWrap/>
            <w:tcMar>
              <w:top w:w="15" w:type="dxa"/>
              <w:left w:w="15" w:type="dxa"/>
              <w:right w:w="15" w:type="dxa"/>
            </w:tcMar>
            <w:vAlign w:val="center"/>
          </w:tcPr>
          <w:p w14:paraId="5B531633">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637" w:type="pct"/>
            <w:gridSpan w:val="2"/>
            <w:tcBorders>
              <w:tl2br w:val="nil"/>
              <w:tr2bl w:val="nil"/>
            </w:tcBorders>
            <w:noWrap/>
            <w:tcMar>
              <w:top w:w="15" w:type="dxa"/>
              <w:left w:w="15" w:type="dxa"/>
              <w:right w:w="15" w:type="dxa"/>
            </w:tcMar>
            <w:vAlign w:val="center"/>
          </w:tcPr>
          <w:p w14:paraId="2DCB3D23">
            <w:pPr>
              <w:widowControl/>
              <w:spacing w:line="240" w:lineRule="auto"/>
              <w:ind w:firstLine="0" w:firstLineChars="0"/>
              <w:jc w:val="center"/>
              <w:textAlignment w:val="bottom"/>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4811</w:t>
            </w:r>
          </w:p>
        </w:tc>
        <w:tc>
          <w:tcPr>
            <w:tcW w:w="686" w:type="pct"/>
            <w:gridSpan w:val="2"/>
            <w:tcBorders>
              <w:tl2br w:val="nil"/>
              <w:tr2bl w:val="nil"/>
            </w:tcBorders>
            <w:noWrap/>
            <w:tcMar>
              <w:top w:w="15" w:type="dxa"/>
              <w:left w:w="15" w:type="dxa"/>
              <w:right w:w="15" w:type="dxa"/>
            </w:tcMar>
            <w:vAlign w:val="center"/>
          </w:tcPr>
          <w:p w14:paraId="314B106D">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627" w:type="pct"/>
            <w:gridSpan w:val="2"/>
            <w:tcBorders>
              <w:tl2br w:val="nil"/>
              <w:tr2bl w:val="nil"/>
            </w:tcBorders>
            <w:noWrap/>
            <w:tcMar>
              <w:top w:w="15" w:type="dxa"/>
              <w:left w:w="15" w:type="dxa"/>
              <w:right w:w="15" w:type="dxa"/>
            </w:tcMar>
            <w:vAlign w:val="center"/>
          </w:tcPr>
          <w:p w14:paraId="38341359">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627" w:type="pct"/>
            <w:gridSpan w:val="2"/>
            <w:tcBorders>
              <w:tl2br w:val="nil"/>
              <w:tr2bl w:val="nil"/>
            </w:tcBorders>
            <w:noWrap/>
            <w:tcMar>
              <w:top w:w="15" w:type="dxa"/>
              <w:left w:w="15" w:type="dxa"/>
              <w:right w:w="15" w:type="dxa"/>
            </w:tcMar>
            <w:vAlign w:val="center"/>
          </w:tcPr>
          <w:p w14:paraId="4BF25FDC">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1755" w:type="dxa"/>
            <w:gridSpan w:val="2"/>
            <w:tcBorders>
              <w:tl2br w:val="nil"/>
              <w:tr2bl w:val="nil"/>
            </w:tcBorders>
            <w:noWrap/>
            <w:tcMar>
              <w:top w:w="15" w:type="dxa"/>
              <w:left w:w="15" w:type="dxa"/>
              <w:right w:w="15" w:type="dxa"/>
            </w:tcMar>
            <w:vAlign w:val="center"/>
          </w:tcPr>
          <w:p w14:paraId="155033AF">
            <w:pPr>
              <w:widowControl/>
              <w:spacing w:line="240" w:lineRule="auto"/>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r>
    </w:tbl>
    <w:p w14:paraId="5F30F79A">
      <w:pPr>
        <w:rPr>
          <w:rFonts w:ascii="Times New Roman"/>
          <w:color w:val="auto"/>
          <w:szCs w:val="24"/>
        </w:rPr>
      </w:pPr>
      <w:r>
        <w:rPr>
          <w:rFonts w:ascii="Times New Roman"/>
          <w:color w:val="auto"/>
          <w:szCs w:val="24"/>
        </w:rPr>
        <w:br w:type="page"/>
      </w:r>
    </w:p>
    <w:p w14:paraId="30CC3062">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w:t>
      </w:r>
      <w:r>
        <w:rPr>
          <w:rFonts w:hint="eastAsia" w:eastAsia="宋体" w:cs="Times New Roman"/>
          <w:b/>
          <w:bCs/>
          <w:color w:val="auto"/>
          <w:sz w:val="24"/>
          <w:szCs w:val="24"/>
          <w:lang w:val="en-US" w:eastAsia="zh-CN"/>
        </w:rPr>
        <w:t>6</w:t>
      </w:r>
      <w:r>
        <w:rPr>
          <w:rFonts w:hint="default"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本项目主要污染源估算模型计算结果表（面源）</w:t>
      </w:r>
    </w:p>
    <w:tbl>
      <w:tblPr>
        <w:tblStyle w:val="4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288"/>
        <w:gridCol w:w="5408"/>
        <w:gridCol w:w="4289"/>
      </w:tblGrid>
      <w:tr w14:paraId="39F03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 w:hRule="atLeast"/>
          <w:jc w:val="center"/>
        </w:trPr>
        <w:tc>
          <w:tcPr>
            <w:tcW w:w="1533" w:type="pct"/>
            <w:vMerge w:val="restart"/>
            <w:tcBorders>
              <w:tl2br w:val="nil"/>
              <w:tr2bl w:val="nil"/>
            </w:tcBorders>
            <w:tcMar>
              <w:top w:w="15" w:type="dxa"/>
              <w:left w:w="15" w:type="dxa"/>
              <w:right w:w="15" w:type="dxa"/>
            </w:tcMar>
            <w:vAlign w:val="center"/>
          </w:tcPr>
          <w:p w14:paraId="21804037">
            <w:pPr>
              <w:widowControl/>
              <w:spacing w:line="240" w:lineRule="auto"/>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下风向距离/m</w:t>
            </w:r>
          </w:p>
        </w:tc>
        <w:tc>
          <w:tcPr>
            <w:tcW w:w="3466" w:type="pct"/>
            <w:gridSpan w:val="2"/>
            <w:tcBorders>
              <w:tl2br w:val="nil"/>
              <w:tr2bl w:val="nil"/>
            </w:tcBorders>
            <w:tcMar>
              <w:top w:w="15" w:type="dxa"/>
              <w:left w:w="15" w:type="dxa"/>
              <w:right w:w="15" w:type="dxa"/>
            </w:tcMar>
            <w:vAlign w:val="center"/>
          </w:tcPr>
          <w:p w14:paraId="399CFB2B">
            <w:pPr>
              <w:widowControl/>
              <w:spacing w:line="240" w:lineRule="auto"/>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TSP（</w:t>
            </w:r>
            <w:r>
              <w:rPr>
                <w:rFonts w:hint="eastAsia" w:ascii="Times New Roman" w:hAnsi="Times New Roman" w:eastAsia="宋体" w:cs="Times New Roman"/>
                <w:color w:val="auto"/>
                <w:kern w:val="0"/>
                <w:sz w:val="21"/>
                <w:szCs w:val="21"/>
                <w:lang w:val="en-US" w:eastAsia="zh-CN" w:bidi="ar"/>
              </w:rPr>
              <w:t>储煤库</w:t>
            </w:r>
            <w:r>
              <w:rPr>
                <w:rFonts w:ascii="Times New Roman" w:hAnsi="Times New Roman" w:eastAsia="宋体" w:cs="Times New Roman"/>
                <w:color w:val="auto"/>
                <w:kern w:val="0"/>
                <w:sz w:val="21"/>
                <w:szCs w:val="21"/>
                <w:lang w:bidi="ar"/>
              </w:rPr>
              <w:t>）</w:t>
            </w:r>
          </w:p>
        </w:tc>
      </w:tr>
      <w:tr w14:paraId="5CDCB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vMerge w:val="continue"/>
            <w:tcBorders>
              <w:tl2br w:val="nil"/>
              <w:tr2bl w:val="nil"/>
            </w:tcBorders>
            <w:tcMar>
              <w:top w:w="15" w:type="dxa"/>
              <w:left w:w="15" w:type="dxa"/>
              <w:right w:w="15" w:type="dxa"/>
            </w:tcMar>
            <w:vAlign w:val="center"/>
          </w:tcPr>
          <w:p w14:paraId="15BD0153">
            <w:pPr>
              <w:widowControl/>
              <w:spacing w:line="240" w:lineRule="auto"/>
              <w:ind w:firstLine="0" w:firstLineChars="0"/>
              <w:jc w:val="center"/>
              <w:rPr>
                <w:rFonts w:ascii="Times New Roman" w:hAnsi="Times New Roman" w:eastAsia="宋体" w:cs="Times New Roman"/>
                <w:color w:val="auto"/>
                <w:kern w:val="0"/>
                <w:sz w:val="21"/>
                <w:szCs w:val="21"/>
                <w:lang w:bidi="ar"/>
              </w:rPr>
            </w:pPr>
          </w:p>
        </w:tc>
        <w:tc>
          <w:tcPr>
            <w:tcW w:w="1933" w:type="pct"/>
            <w:tcBorders>
              <w:tl2br w:val="nil"/>
              <w:tr2bl w:val="nil"/>
            </w:tcBorders>
            <w:tcMar>
              <w:top w:w="15" w:type="dxa"/>
              <w:left w:w="15" w:type="dxa"/>
              <w:right w:w="15" w:type="dxa"/>
            </w:tcMar>
            <w:vAlign w:val="center"/>
          </w:tcPr>
          <w:p w14:paraId="65375AAE">
            <w:pPr>
              <w:widowControl/>
              <w:spacing w:line="240" w:lineRule="auto"/>
              <w:ind w:firstLine="0" w:firstLineChars="0"/>
              <w:jc w:val="center"/>
              <w:textAlignment w:val="bottom"/>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预测质量浓度/ug/m</w:t>
            </w:r>
            <w:r>
              <w:rPr>
                <w:rFonts w:ascii="Times New Roman" w:hAnsi="Times New Roman" w:eastAsia="宋体" w:cs="Times New Roman"/>
                <w:color w:val="auto"/>
                <w:kern w:val="0"/>
                <w:sz w:val="21"/>
                <w:szCs w:val="21"/>
                <w:vertAlign w:val="superscript"/>
                <w:lang w:bidi="ar"/>
              </w:rPr>
              <w:t>3</w:t>
            </w:r>
          </w:p>
        </w:tc>
        <w:tc>
          <w:tcPr>
            <w:tcW w:w="1533" w:type="pct"/>
            <w:tcBorders>
              <w:tl2br w:val="nil"/>
              <w:tr2bl w:val="nil"/>
            </w:tcBorders>
            <w:tcMar>
              <w:top w:w="15" w:type="dxa"/>
              <w:left w:w="15" w:type="dxa"/>
              <w:right w:w="15" w:type="dxa"/>
            </w:tcMar>
            <w:vAlign w:val="center"/>
          </w:tcPr>
          <w:p w14:paraId="40EB10C5">
            <w:pPr>
              <w:widowControl/>
              <w:spacing w:line="240" w:lineRule="auto"/>
              <w:ind w:firstLine="0" w:firstLineChars="0"/>
              <w:jc w:val="center"/>
              <w:textAlignment w:val="bottom"/>
              <w:rPr>
                <w:color w:val="auto"/>
              </w:rPr>
            </w:pPr>
            <w:r>
              <w:rPr>
                <w:rFonts w:ascii="Times New Roman" w:hAnsi="Times New Roman" w:eastAsia="宋体" w:cs="Times New Roman"/>
                <w:color w:val="auto"/>
                <w:kern w:val="0"/>
                <w:sz w:val="21"/>
                <w:szCs w:val="21"/>
                <w:lang w:bidi="ar"/>
              </w:rPr>
              <w:t>占标率%</w:t>
            </w:r>
          </w:p>
        </w:tc>
      </w:tr>
      <w:tr w14:paraId="2D11D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tcMar>
              <w:top w:w="15" w:type="dxa"/>
              <w:left w:w="15" w:type="dxa"/>
              <w:right w:w="15" w:type="dxa"/>
            </w:tcMar>
            <w:vAlign w:val="center"/>
          </w:tcPr>
          <w:p w14:paraId="48B3A019">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w:t>
            </w:r>
          </w:p>
        </w:tc>
        <w:tc>
          <w:tcPr>
            <w:tcW w:w="1933" w:type="pct"/>
            <w:tcBorders>
              <w:tl2br w:val="nil"/>
              <w:tr2bl w:val="nil"/>
            </w:tcBorders>
            <w:tcMar>
              <w:top w:w="15" w:type="dxa"/>
              <w:left w:w="15" w:type="dxa"/>
              <w:right w:w="15" w:type="dxa"/>
            </w:tcMar>
            <w:vAlign w:val="center"/>
          </w:tcPr>
          <w:p w14:paraId="36F81083">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3.6665 </w:t>
            </w:r>
          </w:p>
        </w:tc>
        <w:tc>
          <w:tcPr>
            <w:tcW w:w="1533" w:type="pct"/>
            <w:tcBorders>
              <w:tl2br w:val="nil"/>
              <w:tr2bl w:val="nil"/>
            </w:tcBorders>
            <w:tcMar>
              <w:top w:w="15" w:type="dxa"/>
              <w:left w:w="15" w:type="dxa"/>
              <w:right w:w="15" w:type="dxa"/>
            </w:tcMar>
            <w:vAlign w:val="center"/>
          </w:tcPr>
          <w:p w14:paraId="26871B7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0.41</w:t>
            </w:r>
          </w:p>
        </w:tc>
      </w:tr>
      <w:tr w14:paraId="4749F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tcMar>
              <w:top w:w="15" w:type="dxa"/>
              <w:left w:w="15" w:type="dxa"/>
              <w:right w:w="15" w:type="dxa"/>
            </w:tcMar>
            <w:vAlign w:val="center"/>
          </w:tcPr>
          <w:p w14:paraId="35E22495">
            <w:pPr>
              <w:widowControl/>
              <w:spacing w:line="240" w:lineRule="auto"/>
              <w:ind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47</w:t>
            </w:r>
          </w:p>
        </w:tc>
        <w:tc>
          <w:tcPr>
            <w:tcW w:w="1933" w:type="pct"/>
            <w:tcBorders>
              <w:tl2br w:val="nil"/>
              <w:tr2bl w:val="nil"/>
            </w:tcBorders>
            <w:tcMar>
              <w:top w:w="15" w:type="dxa"/>
              <w:left w:w="15" w:type="dxa"/>
              <w:right w:w="15" w:type="dxa"/>
            </w:tcMar>
            <w:vAlign w:val="center"/>
          </w:tcPr>
          <w:p w14:paraId="07C63051">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 xml:space="preserve">3.9257 </w:t>
            </w:r>
          </w:p>
        </w:tc>
        <w:tc>
          <w:tcPr>
            <w:tcW w:w="1533" w:type="pct"/>
            <w:tcBorders>
              <w:tl2br w:val="nil"/>
              <w:tr2bl w:val="nil"/>
            </w:tcBorders>
            <w:tcMar>
              <w:top w:w="15" w:type="dxa"/>
              <w:left w:w="15" w:type="dxa"/>
              <w:right w:w="15" w:type="dxa"/>
            </w:tcMar>
            <w:vAlign w:val="center"/>
          </w:tcPr>
          <w:p w14:paraId="0E8A7D5C">
            <w:pPr>
              <w:widowControl/>
              <w:spacing w:line="240" w:lineRule="auto"/>
              <w:ind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0.44</w:t>
            </w:r>
          </w:p>
        </w:tc>
      </w:tr>
      <w:tr w14:paraId="01BDD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tcMar>
              <w:top w:w="15" w:type="dxa"/>
              <w:left w:w="15" w:type="dxa"/>
              <w:right w:w="15" w:type="dxa"/>
            </w:tcMar>
            <w:vAlign w:val="center"/>
          </w:tcPr>
          <w:p w14:paraId="2AAFA6B5">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1933" w:type="pct"/>
            <w:tcBorders>
              <w:tl2br w:val="nil"/>
              <w:tr2bl w:val="nil"/>
            </w:tcBorders>
            <w:tcMar>
              <w:top w:w="15" w:type="dxa"/>
              <w:left w:w="15" w:type="dxa"/>
              <w:right w:w="15" w:type="dxa"/>
            </w:tcMar>
            <w:vAlign w:val="center"/>
          </w:tcPr>
          <w:p w14:paraId="7E8AD29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3.8393 </w:t>
            </w:r>
          </w:p>
        </w:tc>
        <w:tc>
          <w:tcPr>
            <w:tcW w:w="1533" w:type="pct"/>
            <w:tcBorders>
              <w:tl2br w:val="nil"/>
              <w:tr2bl w:val="nil"/>
            </w:tcBorders>
            <w:tcMar>
              <w:top w:w="15" w:type="dxa"/>
              <w:left w:w="15" w:type="dxa"/>
              <w:right w:w="15" w:type="dxa"/>
            </w:tcMar>
            <w:vAlign w:val="center"/>
          </w:tcPr>
          <w:p w14:paraId="3F30581F">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0.43</w:t>
            </w:r>
          </w:p>
        </w:tc>
      </w:tr>
      <w:tr w14:paraId="7FEFA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tcMar>
              <w:top w:w="15" w:type="dxa"/>
              <w:left w:w="15" w:type="dxa"/>
              <w:right w:w="15" w:type="dxa"/>
            </w:tcMar>
            <w:vAlign w:val="center"/>
          </w:tcPr>
          <w:p w14:paraId="1D2FCAEB">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1933" w:type="pct"/>
            <w:tcBorders>
              <w:tl2br w:val="nil"/>
              <w:tr2bl w:val="nil"/>
            </w:tcBorders>
            <w:tcMar>
              <w:top w:w="15" w:type="dxa"/>
              <w:left w:w="15" w:type="dxa"/>
              <w:right w:w="15" w:type="dxa"/>
            </w:tcMar>
            <w:vAlign w:val="center"/>
          </w:tcPr>
          <w:p w14:paraId="074F4C85">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2.1949 </w:t>
            </w:r>
          </w:p>
        </w:tc>
        <w:tc>
          <w:tcPr>
            <w:tcW w:w="1533" w:type="pct"/>
            <w:tcBorders>
              <w:tl2br w:val="nil"/>
              <w:tr2bl w:val="nil"/>
            </w:tcBorders>
            <w:tcMar>
              <w:top w:w="15" w:type="dxa"/>
              <w:left w:w="15" w:type="dxa"/>
              <w:right w:w="15" w:type="dxa"/>
            </w:tcMar>
            <w:vAlign w:val="center"/>
          </w:tcPr>
          <w:p w14:paraId="43BF2B2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0.24</w:t>
            </w:r>
          </w:p>
        </w:tc>
      </w:tr>
      <w:tr w14:paraId="2A2E0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0DAE9C69">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w:t>
            </w:r>
          </w:p>
        </w:tc>
        <w:tc>
          <w:tcPr>
            <w:tcW w:w="1933" w:type="pct"/>
            <w:tcBorders>
              <w:tl2br w:val="nil"/>
              <w:tr2bl w:val="nil"/>
            </w:tcBorders>
            <w:noWrap/>
            <w:tcMar>
              <w:top w:w="15" w:type="dxa"/>
              <w:left w:w="15" w:type="dxa"/>
              <w:right w:w="15" w:type="dxa"/>
            </w:tcMar>
            <w:vAlign w:val="center"/>
          </w:tcPr>
          <w:p w14:paraId="58EE3DE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0.9520 </w:t>
            </w:r>
          </w:p>
        </w:tc>
        <w:tc>
          <w:tcPr>
            <w:tcW w:w="1533" w:type="pct"/>
            <w:tcBorders>
              <w:tl2br w:val="nil"/>
              <w:tr2bl w:val="nil"/>
            </w:tcBorders>
            <w:noWrap/>
            <w:tcMar>
              <w:top w:w="15" w:type="dxa"/>
              <w:left w:w="15" w:type="dxa"/>
              <w:right w:w="15" w:type="dxa"/>
            </w:tcMar>
            <w:vAlign w:val="center"/>
          </w:tcPr>
          <w:p w14:paraId="390093C7">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0.11</w:t>
            </w:r>
          </w:p>
        </w:tc>
      </w:tr>
      <w:tr w14:paraId="7253E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07AFF1B4">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w:t>
            </w:r>
          </w:p>
        </w:tc>
        <w:tc>
          <w:tcPr>
            <w:tcW w:w="1933" w:type="pct"/>
            <w:tcBorders>
              <w:tl2br w:val="nil"/>
              <w:tr2bl w:val="nil"/>
            </w:tcBorders>
            <w:noWrap/>
            <w:tcMar>
              <w:top w:w="15" w:type="dxa"/>
              <w:left w:w="15" w:type="dxa"/>
              <w:right w:w="15" w:type="dxa"/>
            </w:tcMar>
            <w:vAlign w:val="center"/>
          </w:tcPr>
          <w:p w14:paraId="4D00F8A6">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0.2844 </w:t>
            </w:r>
          </w:p>
        </w:tc>
        <w:tc>
          <w:tcPr>
            <w:tcW w:w="1533" w:type="pct"/>
            <w:tcBorders>
              <w:tl2br w:val="nil"/>
              <w:tr2bl w:val="nil"/>
            </w:tcBorders>
            <w:noWrap/>
            <w:tcMar>
              <w:top w:w="15" w:type="dxa"/>
              <w:left w:w="15" w:type="dxa"/>
              <w:right w:w="15" w:type="dxa"/>
            </w:tcMar>
            <w:vAlign w:val="center"/>
          </w:tcPr>
          <w:p w14:paraId="275BCAC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0.03</w:t>
            </w:r>
          </w:p>
        </w:tc>
      </w:tr>
      <w:tr w14:paraId="38CE1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5550A131">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1000</w:t>
            </w:r>
          </w:p>
        </w:tc>
        <w:tc>
          <w:tcPr>
            <w:tcW w:w="1933" w:type="pct"/>
            <w:tcBorders>
              <w:tl2br w:val="nil"/>
              <w:tr2bl w:val="nil"/>
            </w:tcBorders>
            <w:noWrap/>
            <w:tcMar>
              <w:top w:w="15" w:type="dxa"/>
              <w:left w:w="15" w:type="dxa"/>
              <w:right w:w="15" w:type="dxa"/>
            </w:tcMar>
            <w:vAlign w:val="center"/>
          </w:tcPr>
          <w:p w14:paraId="1FD5D4C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0.1117 </w:t>
            </w:r>
          </w:p>
        </w:tc>
        <w:tc>
          <w:tcPr>
            <w:tcW w:w="1533" w:type="pct"/>
            <w:tcBorders>
              <w:tl2br w:val="nil"/>
              <w:tr2bl w:val="nil"/>
            </w:tcBorders>
            <w:noWrap/>
            <w:tcMar>
              <w:top w:w="15" w:type="dxa"/>
              <w:left w:w="15" w:type="dxa"/>
              <w:right w:w="15" w:type="dxa"/>
            </w:tcMar>
            <w:vAlign w:val="center"/>
          </w:tcPr>
          <w:p w14:paraId="28DB202C">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w:t>
            </w:r>
          </w:p>
        </w:tc>
      </w:tr>
      <w:tr w14:paraId="3BC36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01A004C9">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2000</w:t>
            </w:r>
          </w:p>
        </w:tc>
        <w:tc>
          <w:tcPr>
            <w:tcW w:w="1933" w:type="pct"/>
            <w:tcBorders>
              <w:tl2br w:val="nil"/>
              <w:tr2bl w:val="nil"/>
            </w:tcBorders>
            <w:noWrap/>
            <w:tcMar>
              <w:top w:w="15" w:type="dxa"/>
              <w:left w:w="15" w:type="dxa"/>
              <w:right w:w="15" w:type="dxa"/>
            </w:tcMar>
            <w:vAlign w:val="center"/>
          </w:tcPr>
          <w:p w14:paraId="2771CF20">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0.0455 </w:t>
            </w:r>
          </w:p>
        </w:tc>
        <w:tc>
          <w:tcPr>
            <w:tcW w:w="1533" w:type="pct"/>
            <w:tcBorders>
              <w:tl2br w:val="nil"/>
              <w:tr2bl w:val="nil"/>
            </w:tcBorders>
            <w:noWrap/>
            <w:tcMar>
              <w:top w:w="15" w:type="dxa"/>
              <w:left w:w="15" w:type="dxa"/>
              <w:right w:w="15" w:type="dxa"/>
            </w:tcMar>
            <w:vAlign w:val="center"/>
          </w:tcPr>
          <w:p w14:paraId="4A1A1AEE">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w:t>
            </w:r>
          </w:p>
        </w:tc>
      </w:tr>
      <w:tr w14:paraId="7B770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30ABCAEE">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5000</w:t>
            </w:r>
          </w:p>
        </w:tc>
        <w:tc>
          <w:tcPr>
            <w:tcW w:w="1933" w:type="pct"/>
            <w:tcBorders>
              <w:tl2br w:val="nil"/>
              <w:tr2bl w:val="nil"/>
            </w:tcBorders>
            <w:noWrap/>
            <w:tcMar>
              <w:top w:w="15" w:type="dxa"/>
              <w:left w:w="15" w:type="dxa"/>
              <w:right w:w="15" w:type="dxa"/>
            </w:tcMar>
            <w:vAlign w:val="center"/>
          </w:tcPr>
          <w:p w14:paraId="0C4694AA">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0.0132 </w:t>
            </w:r>
          </w:p>
        </w:tc>
        <w:tc>
          <w:tcPr>
            <w:tcW w:w="1533" w:type="pct"/>
            <w:tcBorders>
              <w:tl2br w:val="nil"/>
              <w:tr2bl w:val="nil"/>
            </w:tcBorders>
            <w:noWrap/>
            <w:tcMar>
              <w:top w:w="15" w:type="dxa"/>
              <w:left w:w="15" w:type="dxa"/>
              <w:right w:w="15" w:type="dxa"/>
            </w:tcMar>
            <w:vAlign w:val="center"/>
          </w:tcPr>
          <w:p w14:paraId="3196B53B">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r>
      <w:tr w14:paraId="79AE8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3E9B8266">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10000</w:t>
            </w:r>
          </w:p>
        </w:tc>
        <w:tc>
          <w:tcPr>
            <w:tcW w:w="1933" w:type="pct"/>
            <w:tcBorders>
              <w:tl2br w:val="nil"/>
              <w:tr2bl w:val="nil"/>
            </w:tcBorders>
            <w:noWrap/>
            <w:tcMar>
              <w:top w:w="15" w:type="dxa"/>
              <w:left w:w="15" w:type="dxa"/>
              <w:right w:w="15" w:type="dxa"/>
            </w:tcMar>
            <w:vAlign w:val="center"/>
          </w:tcPr>
          <w:p w14:paraId="35920562">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0.0052 </w:t>
            </w:r>
          </w:p>
        </w:tc>
        <w:tc>
          <w:tcPr>
            <w:tcW w:w="1533" w:type="pct"/>
            <w:tcBorders>
              <w:tl2br w:val="nil"/>
              <w:tr2bl w:val="nil"/>
            </w:tcBorders>
            <w:noWrap/>
            <w:tcMar>
              <w:top w:w="15" w:type="dxa"/>
              <w:left w:w="15" w:type="dxa"/>
              <w:right w:w="15" w:type="dxa"/>
            </w:tcMar>
            <w:vAlign w:val="center"/>
          </w:tcPr>
          <w:p w14:paraId="4655084B">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r>
      <w:tr w14:paraId="5D7D1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03A72938">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25000</w:t>
            </w:r>
          </w:p>
        </w:tc>
        <w:tc>
          <w:tcPr>
            <w:tcW w:w="1933" w:type="pct"/>
            <w:tcBorders>
              <w:tl2br w:val="nil"/>
              <w:tr2bl w:val="nil"/>
            </w:tcBorders>
            <w:noWrap/>
            <w:tcMar>
              <w:top w:w="15" w:type="dxa"/>
              <w:left w:w="15" w:type="dxa"/>
              <w:right w:w="15" w:type="dxa"/>
            </w:tcMar>
            <w:vAlign w:val="center"/>
          </w:tcPr>
          <w:p w14:paraId="325C9158">
            <w:pPr>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0.0015 </w:t>
            </w:r>
          </w:p>
        </w:tc>
        <w:tc>
          <w:tcPr>
            <w:tcW w:w="1533" w:type="pct"/>
            <w:tcBorders>
              <w:tl2br w:val="nil"/>
              <w:tr2bl w:val="nil"/>
            </w:tcBorders>
            <w:noWrap/>
            <w:tcMar>
              <w:top w:w="15" w:type="dxa"/>
              <w:left w:w="15" w:type="dxa"/>
              <w:right w:w="15" w:type="dxa"/>
            </w:tcMar>
            <w:vAlign w:val="center"/>
          </w:tcPr>
          <w:p w14:paraId="76996A64">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r>
      <w:tr w14:paraId="5DE5D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8" w:hRule="atLeast"/>
          <w:jc w:val="center"/>
        </w:trPr>
        <w:tc>
          <w:tcPr>
            <w:tcW w:w="1533" w:type="pct"/>
            <w:tcBorders>
              <w:tl2br w:val="nil"/>
              <w:tr2bl w:val="nil"/>
            </w:tcBorders>
            <w:noWrap/>
            <w:tcMar>
              <w:top w:w="15" w:type="dxa"/>
              <w:left w:w="15" w:type="dxa"/>
              <w:right w:w="15" w:type="dxa"/>
            </w:tcMar>
            <w:vAlign w:val="center"/>
          </w:tcPr>
          <w:p w14:paraId="42335A8C">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下风向最大质量浓度及占标率%</w:t>
            </w:r>
          </w:p>
        </w:tc>
        <w:tc>
          <w:tcPr>
            <w:tcW w:w="1933" w:type="pct"/>
            <w:tcBorders>
              <w:tl2br w:val="nil"/>
              <w:tr2bl w:val="nil"/>
            </w:tcBorders>
            <w:noWrap/>
            <w:tcMar>
              <w:top w:w="15" w:type="dxa"/>
              <w:left w:w="15" w:type="dxa"/>
              <w:right w:w="15" w:type="dxa"/>
            </w:tcMar>
            <w:vAlign w:val="center"/>
          </w:tcPr>
          <w:p w14:paraId="568124CF">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b/>
                <w:bCs/>
                <w:color w:val="auto"/>
                <w:sz w:val="21"/>
                <w:szCs w:val="21"/>
                <w:lang w:val="en-US" w:eastAsia="zh-CN"/>
              </w:rPr>
              <w:t xml:space="preserve">3.9257 </w:t>
            </w:r>
          </w:p>
        </w:tc>
        <w:tc>
          <w:tcPr>
            <w:tcW w:w="1533" w:type="pct"/>
            <w:tcBorders>
              <w:tl2br w:val="nil"/>
              <w:tr2bl w:val="nil"/>
            </w:tcBorders>
            <w:noWrap/>
            <w:tcMar>
              <w:top w:w="15" w:type="dxa"/>
              <w:left w:w="15" w:type="dxa"/>
              <w:right w:w="15" w:type="dxa"/>
            </w:tcMar>
            <w:vAlign w:val="center"/>
          </w:tcPr>
          <w:p w14:paraId="48855A02">
            <w:pPr>
              <w:widowControl/>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b/>
                <w:bCs/>
                <w:color w:val="auto"/>
                <w:sz w:val="21"/>
                <w:szCs w:val="21"/>
                <w:lang w:val="en-US" w:eastAsia="zh-CN"/>
              </w:rPr>
              <w:t>0.44</w:t>
            </w:r>
          </w:p>
        </w:tc>
      </w:tr>
      <w:tr w14:paraId="44552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6" w:hRule="atLeast"/>
          <w:jc w:val="center"/>
        </w:trPr>
        <w:tc>
          <w:tcPr>
            <w:tcW w:w="1533" w:type="pct"/>
            <w:tcBorders>
              <w:tl2br w:val="nil"/>
              <w:tr2bl w:val="nil"/>
            </w:tcBorders>
            <w:noWrap/>
            <w:tcMar>
              <w:top w:w="15" w:type="dxa"/>
              <w:left w:w="15" w:type="dxa"/>
              <w:right w:w="15" w:type="dxa"/>
            </w:tcMar>
            <w:vAlign w:val="center"/>
          </w:tcPr>
          <w:p w14:paraId="694008CA">
            <w:pPr>
              <w:widowControl/>
              <w:spacing w:line="240" w:lineRule="auto"/>
              <w:ind w:firstLine="0" w:firstLineChars="0"/>
              <w:jc w:val="center"/>
              <w:rPr>
                <w:rFonts w:hint="eastAsia"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D10</w:t>
            </w:r>
            <w:r>
              <w:rPr>
                <w:rFonts w:ascii="Times New Roman" w:hAnsi="Times New Roman" w:eastAsia="宋体" w:cs="Times New Roman"/>
                <w:color w:val="auto"/>
                <w:kern w:val="0"/>
                <w:sz w:val="21"/>
                <w:szCs w:val="21"/>
                <w:vertAlign w:val="subscript"/>
                <w:lang w:bidi="ar"/>
              </w:rPr>
              <w:t>%</w:t>
            </w:r>
            <w:r>
              <w:rPr>
                <w:rFonts w:ascii="Times New Roman" w:hAnsi="Times New Roman" w:eastAsia="宋体" w:cs="Times New Roman"/>
                <w:color w:val="auto"/>
                <w:kern w:val="0"/>
                <w:sz w:val="21"/>
                <w:szCs w:val="21"/>
                <w:lang w:bidi="ar"/>
              </w:rPr>
              <w:t>最远距离/m</w:t>
            </w:r>
          </w:p>
        </w:tc>
        <w:tc>
          <w:tcPr>
            <w:tcW w:w="3466" w:type="pct"/>
            <w:gridSpan w:val="2"/>
            <w:tcBorders>
              <w:tl2br w:val="nil"/>
              <w:tr2bl w:val="nil"/>
            </w:tcBorders>
            <w:noWrap/>
            <w:tcMar>
              <w:top w:w="15" w:type="dxa"/>
              <w:left w:w="15" w:type="dxa"/>
              <w:right w:w="15" w:type="dxa"/>
            </w:tcMar>
            <w:vAlign w:val="center"/>
          </w:tcPr>
          <w:p w14:paraId="565B279C">
            <w:pPr>
              <w:widowControl/>
              <w:spacing w:line="240" w:lineRule="auto"/>
              <w:ind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w:t>
            </w:r>
          </w:p>
        </w:tc>
      </w:tr>
    </w:tbl>
    <w:p w14:paraId="026CA5FF">
      <w:pPr>
        <w:ind w:firstLine="0" w:firstLineChars="0"/>
        <w:jc w:val="center"/>
        <w:rPr>
          <w:rFonts w:ascii="Times New Roman" w:hAnsi="Times New Roman" w:eastAsia="宋体" w:cs="Times New Roman"/>
          <w:color w:val="auto"/>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26" w:charSpace="0"/>
        </w:sectPr>
      </w:pPr>
    </w:p>
    <w:p w14:paraId="4F391A6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37" w:name="_Toc18529"/>
      <w:bookmarkStart w:id="138" w:name="_Toc105659878"/>
      <w:bookmarkStart w:id="139" w:name="_Toc24836"/>
      <w:bookmarkStart w:id="140" w:name="_Toc4787"/>
      <w:bookmarkStart w:id="141" w:name="_Toc107238095"/>
      <w:bookmarkStart w:id="142" w:name="_Toc1578"/>
      <w:r>
        <w:rPr>
          <w:rFonts w:hint="eastAsia" w:ascii="Times New Roman" w:hAnsi="Times New Roman" w:eastAsia="宋体" w:cs="Times New Roman"/>
          <w:b/>
          <w:bCs/>
          <w:color w:val="auto"/>
          <w:sz w:val="28"/>
          <w:szCs w:val="28"/>
          <w:lang w:val="en-US" w:eastAsia="zh-CN"/>
        </w:rPr>
        <w:t>2.4.2 地表水环境</w:t>
      </w:r>
      <w:bookmarkEnd w:id="137"/>
      <w:bookmarkEnd w:id="138"/>
      <w:bookmarkEnd w:id="139"/>
      <w:bookmarkEnd w:id="140"/>
      <w:bookmarkEnd w:id="141"/>
      <w:bookmarkEnd w:id="142"/>
    </w:p>
    <w:p w14:paraId="2C40BE83">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根据《环境影响评价技术导则 地表水环境》（HJ2.3-2018）中规定的地表水环境影响评价级别的判定方法，水污染型建设项目评价等级划分依据见表2.4-</w:t>
      </w:r>
      <w:r>
        <w:rPr>
          <w:rFonts w:hint="eastAsia" w:eastAsia="宋体" w:cs="Times New Roman"/>
          <w:color w:val="auto"/>
          <w:spacing w:val="0"/>
          <w:lang w:val="en-US" w:eastAsia="zh-CN"/>
        </w:rPr>
        <w:t>7</w:t>
      </w:r>
      <w:r>
        <w:rPr>
          <w:rFonts w:hint="default" w:ascii="Times New Roman" w:hAnsi="Times New Roman" w:eastAsia="宋体" w:cs="Times New Roman"/>
          <w:color w:val="auto"/>
          <w:spacing w:val="0"/>
        </w:rPr>
        <w:t>。</w:t>
      </w:r>
    </w:p>
    <w:p w14:paraId="77B4E30A">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w:t>
      </w:r>
      <w:r>
        <w:rPr>
          <w:rFonts w:hint="eastAsia" w:eastAsia="宋体" w:cs="Times New Roman"/>
          <w:b/>
          <w:bCs/>
          <w:color w:val="auto"/>
          <w:sz w:val="24"/>
          <w:szCs w:val="24"/>
          <w:lang w:val="en-US" w:eastAsia="zh-CN"/>
        </w:rPr>
        <w:t>7</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地表水评价等级判定依据</w:t>
      </w:r>
    </w:p>
    <w:tbl>
      <w:tblPr>
        <w:tblStyle w:val="4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39"/>
        <w:gridCol w:w="2840"/>
        <w:gridCol w:w="2843"/>
      </w:tblGrid>
      <w:tr w14:paraId="293058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6" w:type="pct"/>
            <w:vMerge w:val="restart"/>
            <w:tcBorders>
              <w:top w:val="single" w:color="auto" w:sz="4" w:space="0"/>
              <w:left w:val="single" w:color="auto" w:sz="4" w:space="0"/>
            </w:tcBorders>
            <w:vAlign w:val="center"/>
          </w:tcPr>
          <w:p w14:paraId="1427C7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评价等级</w:t>
            </w:r>
          </w:p>
        </w:tc>
        <w:tc>
          <w:tcPr>
            <w:tcW w:w="3333" w:type="pct"/>
            <w:gridSpan w:val="2"/>
            <w:tcBorders>
              <w:top w:val="single" w:color="auto" w:sz="4" w:space="0"/>
              <w:right w:val="single" w:color="auto" w:sz="4" w:space="0"/>
            </w:tcBorders>
            <w:vAlign w:val="center"/>
          </w:tcPr>
          <w:p w14:paraId="58237F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判定依据</w:t>
            </w:r>
          </w:p>
        </w:tc>
      </w:tr>
      <w:tr w14:paraId="727629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6" w:type="pct"/>
            <w:vMerge w:val="continue"/>
            <w:tcBorders>
              <w:left w:val="single" w:color="auto" w:sz="4" w:space="0"/>
            </w:tcBorders>
            <w:vAlign w:val="center"/>
          </w:tcPr>
          <w:p w14:paraId="062319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1666" w:type="pct"/>
            <w:vAlign w:val="center"/>
          </w:tcPr>
          <w:p w14:paraId="1C54D0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排放方式</w:t>
            </w:r>
          </w:p>
        </w:tc>
        <w:tc>
          <w:tcPr>
            <w:tcW w:w="1666" w:type="pct"/>
            <w:tcBorders>
              <w:right w:val="single" w:color="auto" w:sz="4" w:space="0"/>
            </w:tcBorders>
            <w:vAlign w:val="center"/>
          </w:tcPr>
          <w:p w14:paraId="363D30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废水排放量Q/（m</w:t>
            </w:r>
            <w:r>
              <w:rPr>
                <w:rFonts w:hint="eastAsia" w:ascii="Times New Roman" w:hAnsi="Times New Roman" w:eastAsia="宋体" w:cs="Times New Roman"/>
                <w:color w:val="auto"/>
                <w:sz w:val="21"/>
                <w:szCs w:val="21"/>
                <w:vertAlign w:val="superscript"/>
                <w:lang w:val="en-US" w:eastAsia="zh-CN"/>
              </w:rPr>
              <w:t>3</w:t>
            </w:r>
            <w:r>
              <w:rPr>
                <w:rFonts w:hint="eastAsia" w:ascii="Times New Roman" w:hAnsi="Times New Roman" w:eastAsia="宋体" w:cs="Times New Roman"/>
                <w:color w:val="auto"/>
                <w:sz w:val="21"/>
                <w:szCs w:val="21"/>
                <w:lang w:val="en-US" w:eastAsia="zh-CN"/>
              </w:rPr>
              <w:t>/d）</w:t>
            </w:r>
          </w:p>
          <w:p w14:paraId="6F7D74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水污染物当量W/（无量纲）</w:t>
            </w:r>
          </w:p>
        </w:tc>
      </w:tr>
      <w:tr w14:paraId="15781E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6" w:type="pct"/>
            <w:tcBorders>
              <w:left w:val="single" w:color="auto" w:sz="4" w:space="0"/>
            </w:tcBorders>
            <w:vAlign w:val="center"/>
          </w:tcPr>
          <w:p w14:paraId="61C2D1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1666" w:type="pct"/>
            <w:vAlign w:val="center"/>
          </w:tcPr>
          <w:p w14:paraId="22513A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直接排放</w:t>
            </w:r>
          </w:p>
        </w:tc>
        <w:tc>
          <w:tcPr>
            <w:tcW w:w="1666" w:type="pct"/>
            <w:tcBorders>
              <w:right w:val="single" w:color="auto" w:sz="4" w:space="0"/>
            </w:tcBorders>
            <w:vAlign w:val="center"/>
          </w:tcPr>
          <w:p w14:paraId="1C681D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Q≥20000或W≥600000</w:t>
            </w:r>
          </w:p>
        </w:tc>
      </w:tr>
      <w:tr w14:paraId="77FD26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6" w:type="pct"/>
            <w:tcBorders>
              <w:left w:val="single" w:color="auto" w:sz="4" w:space="0"/>
            </w:tcBorders>
            <w:vAlign w:val="center"/>
          </w:tcPr>
          <w:p w14:paraId="3B965A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1666" w:type="pct"/>
            <w:vAlign w:val="center"/>
          </w:tcPr>
          <w:p w14:paraId="32D0E9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直接排放</w:t>
            </w:r>
          </w:p>
        </w:tc>
        <w:tc>
          <w:tcPr>
            <w:tcW w:w="1666" w:type="pct"/>
            <w:tcBorders>
              <w:right w:val="single" w:color="auto" w:sz="4" w:space="0"/>
            </w:tcBorders>
            <w:vAlign w:val="center"/>
          </w:tcPr>
          <w:p w14:paraId="398798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其他</w:t>
            </w:r>
          </w:p>
        </w:tc>
      </w:tr>
      <w:tr w14:paraId="6988B6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6" w:type="pct"/>
            <w:tcBorders>
              <w:left w:val="single" w:color="auto" w:sz="4" w:space="0"/>
            </w:tcBorders>
            <w:vAlign w:val="center"/>
          </w:tcPr>
          <w:p w14:paraId="2642A0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三级A</w:t>
            </w:r>
          </w:p>
        </w:tc>
        <w:tc>
          <w:tcPr>
            <w:tcW w:w="1666" w:type="pct"/>
            <w:vAlign w:val="center"/>
          </w:tcPr>
          <w:p w14:paraId="73ADF4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直接排放</w:t>
            </w:r>
          </w:p>
        </w:tc>
        <w:tc>
          <w:tcPr>
            <w:tcW w:w="1666" w:type="pct"/>
            <w:tcBorders>
              <w:right w:val="single" w:color="auto" w:sz="4" w:space="0"/>
            </w:tcBorders>
            <w:vAlign w:val="center"/>
          </w:tcPr>
          <w:p w14:paraId="5071E6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Q＜200或W＜6000</w:t>
            </w:r>
          </w:p>
        </w:tc>
      </w:tr>
      <w:tr w14:paraId="0C019B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666" w:type="pct"/>
            <w:tcBorders>
              <w:left w:val="single" w:color="auto" w:sz="4" w:space="0"/>
            </w:tcBorders>
            <w:vAlign w:val="center"/>
          </w:tcPr>
          <w:p w14:paraId="646C21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三级B</w:t>
            </w:r>
          </w:p>
        </w:tc>
        <w:tc>
          <w:tcPr>
            <w:tcW w:w="1666" w:type="pct"/>
            <w:vAlign w:val="center"/>
          </w:tcPr>
          <w:p w14:paraId="5F393E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间接排放</w:t>
            </w:r>
          </w:p>
        </w:tc>
        <w:tc>
          <w:tcPr>
            <w:tcW w:w="1666" w:type="pct"/>
            <w:tcBorders>
              <w:right w:val="single" w:color="auto" w:sz="4" w:space="0"/>
            </w:tcBorders>
            <w:vAlign w:val="center"/>
          </w:tcPr>
          <w:p w14:paraId="4D7B62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14:paraId="2291DE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left w:val="single" w:color="auto" w:sz="4" w:space="0"/>
              <w:bottom w:val="single" w:color="auto" w:sz="4" w:space="0"/>
              <w:right w:val="single" w:color="auto" w:sz="4" w:space="0"/>
            </w:tcBorders>
            <w:vAlign w:val="center"/>
          </w:tcPr>
          <w:p w14:paraId="790520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1：水污染物当量数等于该污染物的年排放量除以该污染物的污染当量值（见附录A)，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14:paraId="7E6188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2：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14:paraId="0CE5CF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注3：厂区存在堆积物（露天堆放的原料、燃料、废渣等以及垃圾堆放场）、降尘污染的，应将初期雨污水纳入废水排放量，相应的主要污染物纳入水污染当量计算。</w:t>
            </w:r>
          </w:p>
          <w:p w14:paraId="47AC63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注4：建设项目直接排放第一类污染物的，其评价等级为一级；建设项目直接排放的污染物为受纳水体超标因子的，评价等级不低于二级。</w:t>
            </w:r>
          </w:p>
          <w:p w14:paraId="6DCDC8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注5：直接排放受纳水体影响范围涉及饮用水水源保护区、饮用水取水口、重点保护与珍稀水生生物的栖息地、重要水生生物的自然产卵场等保护目标时，评价等级不低于二级。</w:t>
            </w:r>
          </w:p>
          <w:p w14:paraId="024276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注6：建设项目向河流、湖库排放温排水引起受纳水体水温变化超过水环境质量标准要求，且评价范围有水温敏感目标时，评价等级为一级。</w:t>
            </w:r>
          </w:p>
          <w:p w14:paraId="02A8E6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注7：建设项目利用海水作为调节温度介质，排水量≥500万m3/d，评价等级为一级；排水量＜500万m3/d，评价等级为二级。</w:t>
            </w:r>
          </w:p>
          <w:p w14:paraId="020750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注8：仅涉及清净下水排放的，如其排放水质满足受纳水体水环境质量标准要求的，评价等级为三级A。</w:t>
            </w:r>
          </w:p>
          <w:p w14:paraId="2E0C06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注9：依托现有排放口，且对外环境未新增排放污染物的直接排放建设项目，评价等级参照间接排放，定为三级B。</w:t>
            </w:r>
          </w:p>
          <w:p w14:paraId="3320FE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注10：建设项目生产工艺中有废水产生，但作为回水利用，不排放到外环境的，按三级B评价。</w:t>
            </w:r>
          </w:p>
        </w:tc>
      </w:tr>
    </w:tbl>
    <w:p w14:paraId="6146944A">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本项目不新增员工，不新增生活污水。生产废水全部回用，</w:t>
      </w:r>
      <w:r>
        <w:rPr>
          <w:rFonts w:hint="eastAsia" w:ascii="Times New Roman" w:hAnsi="Times New Roman" w:eastAsia="宋体" w:cs="Times New Roman"/>
          <w:color w:val="auto"/>
          <w:spacing w:val="0"/>
        </w:rPr>
        <w:t>现有</w:t>
      </w:r>
      <w:r>
        <w:rPr>
          <w:rFonts w:hint="default" w:ascii="Times New Roman" w:hAnsi="Times New Roman" w:eastAsia="宋体" w:cs="Times New Roman"/>
          <w:color w:val="auto"/>
          <w:spacing w:val="0"/>
        </w:rPr>
        <w:t>生活污水</w:t>
      </w:r>
      <w:r>
        <w:rPr>
          <w:rFonts w:hint="eastAsia" w:ascii="Times New Roman" w:hAnsi="Times New Roman" w:eastAsia="宋体" w:cs="Times New Roman"/>
          <w:color w:val="auto"/>
          <w:spacing w:val="0"/>
        </w:rPr>
        <w:t>满足《污水综合排放标准》（GB8978-1996）</w:t>
      </w:r>
      <w:r>
        <w:rPr>
          <w:rFonts w:hint="eastAsia" w:ascii="Times New Roman" w:hAnsi="Times New Roman" w:eastAsia="宋体" w:cs="Times New Roman"/>
          <w:color w:val="auto"/>
          <w:spacing w:val="0"/>
          <w:lang w:val="en-US" w:eastAsia="zh-CN"/>
        </w:rPr>
        <w:t>三级标准，</w:t>
      </w:r>
      <w:r>
        <w:rPr>
          <w:rFonts w:hint="eastAsia" w:ascii="Times New Roman" w:hAnsi="Times New Roman" w:eastAsia="宋体" w:cs="Times New Roman"/>
          <w:color w:val="auto"/>
          <w:spacing w:val="0"/>
        </w:rPr>
        <w:t>通过</w:t>
      </w:r>
      <w:r>
        <w:rPr>
          <w:rFonts w:hint="default" w:ascii="Times New Roman" w:hAnsi="Times New Roman" w:eastAsia="宋体" w:cs="Times New Roman"/>
          <w:color w:val="auto"/>
          <w:spacing w:val="0"/>
        </w:rPr>
        <w:t>市政污水管网进入</w:t>
      </w:r>
      <w:r>
        <w:rPr>
          <w:rFonts w:hint="eastAsia" w:ascii="Times New Roman" w:hAnsi="Times New Roman" w:eastAsia="宋体" w:cs="Times New Roman"/>
          <w:color w:val="auto"/>
          <w:spacing w:val="0"/>
        </w:rPr>
        <w:t>八五二农场污水处理厂进行处理</w:t>
      </w:r>
      <w:r>
        <w:rPr>
          <w:rFonts w:hint="default" w:ascii="Times New Roman" w:hAnsi="Times New Roman" w:eastAsia="宋体" w:cs="Times New Roman"/>
          <w:color w:val="auto"/>
          <w:spacing w:val="0"/>
        </w:rPr>
        <w:t>，达到《城镇污水处理厂污染物排放标准》（GB18918-2002）中的一级A标准后，排水进入蛤蟆通河。根据《环境影响评价技术导则 地表水环境》（HJ2.3-2018）的规定，本项目地表水环境影响评价工作等级为三级B。</w:t>
      </w:r>
    </w:p>
    <w:p w14:paraId="4B9AEC3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43" w:name="_Toc27308"/>
      <w:bookmarkStart w:id="144" w:name="_Toc107238096"/>
      <w:bookmarkStart w:id="145" w:name="_Toc9465"/>
      <w:bookmarkStart w:id="146" w:name="_Toc105659879"/>
      <w:bookmarkStart w:id="147" w:name="_Toc2166"/>
      <w:bookmarkStart w:id="148" w:name="_Toc5401"/>
      <w:r>
        <w:rPr>
          <w:rFonts w:hint="eastAsia" w:ascii="Times New Roman" w:hAnsi="Times New Roman" w:eastAsia="宋体" w:cs="Times New Roman"/>
          <w:b/>
          <w:bCs/>
          <w:color w:val="auto"/>
          <w:sz w:val="28"/>
          <w:szCs w:val="28"/>
          <w:lang w:val="en-US" w:eastAsia="zh-CN"/>
        </w:rPr>
        <w:t>2.4.3 地下水环境</w:t>
      </w:r>
      <w:bookmarkEnd w:id="143"/>
      <w:bookmarkEnd w:id="144"/>
      <w:bookmarkEnd w:id="145"/>
      <w:bookmarkEnd w:id="146"/>
      <w:bookmarkEnd w:id="147"/>
      <w:bookmarkEnd w:id="148"/>
    </w:p>
    <w:p w14:paraId="0E1C11D5">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根据《环境影响评价技术导则 地下水环境》（HJ610-2016）附录A，本项目属于其中第142条“热力生产和供应工程”报告书类项目，属于地下水环境影响评价项目分类中的Ⅳ类项目，Ⅳ类建设项目不开展地下水环境影响评价。</w:t>
      </w:r>
    </w:p>
    <w:p w14:paraId="785E3FE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49" w:name="_Toc7306"/>
      <w:bookmarkStart w:id="150" w:name="_Toc18597"/>
      <w:bookmarkStart w:id="151" w:name="_Toc14582"/>
      <w:bookmarkStart w:id="152" w:name="_Toc107238097"/>
      <w:bookmarkStart w:id="153" w:name="_Toc12810"/>
      <w:bookmarkStart w:id="154" w:name="_Toc105659880"/>
      <w:r>
        <w:rPr>
          <w:rFonts w:hint="eastAsia" w:ascii="Times New Roman" w:hAnsi="Times New Roman" w:eastAsia="宋体" w:cs="Times New Roman"/>
          <w:b/>
          <w:bCs/>
          <w:color w:val="auto"/>
          <w:sz w:val="28"/>
          <w:szCs w:val="28"/>
          <w:lang w:val="en-US" w:eastAsia="zh-CN"/>
        </w:rPr>
        <w:t>2.4.4 声环境</w:t>
      </w:r>
      <w:bookmarkEnd w:id="149"/>
      <w:bookmarkEnd w:id="150"/>
      <w:bookmarkEnd w:id="151"/>
      <w:bookmarkEnd w:id="152"/>
      <w:bookmarkEnd w:id="153"/>
      <w:bookmarkEnd w:id="154"/>
    </w:p>
    <w:p w14:paraId="3BD4C81E">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（1）评价工作等级</w:t>
      </w:r>
    </w:p>
    <w:p w14:paraId="6FF4E332">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根据《环境影响评价技术导则 声环境》（HJ2.4-2021），声环境影响评价工作等级一般分为三级，一级为详细评价，二级为一般性评价，三级为简要评价。</w:t>
      </w:r>
    </w:p>
    <w:p w14:paraId="3B77F784">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1）评价范围内有适用于GB3096规定的0类声环境功能区域，或建设项目建设前后评价范围内声环境保护目标噪声级增量达5dB(A)以上（不含5dB(A)），或受影响人口数量显著增加时，按一级评价。</w:t>
      </w:r>
    </w:p>
    <w:p w14:paraId="49383D79">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2）建设项目所处的声环境功能区为GB3096规定的1类、2类地区，或建设项目建设前后评价范围内声环境保护目标噪声级增量达3dB(A)～5dB(A)，或受噪声影响人口数量增加较多时，按二级评价。</w:t>
      </w:r>
    </w:p>
    <w:p w14:paraId="2B50DA18">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3）建设项目所处的声环境功能区为GB3096规定的3类、4类地区，或建设项目建设前后评价范围内声环境保护目标噪声级增量在3dB(A)以下（不含3dB(A)），且受影响人口数量变化不大时，按三级评价。</w:t>
      </w:r>
    </w:p>
    <w:p w14:paraId="0D11993E">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4）在确定评价等级时，如果建设项目符合两个等级的划分原则，按较高等级评价。</w:t>
      </w:r>
    </w:p>
    <w:p w14:paraId="4E503047">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5）机场建设项目航空器噪声影响评价等级为一级。</w:t>
      </w:r>
    </w:p>
    <w:p w14:paraId="4BA2748E">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本工程具体情况为：根据《环境影响评价技术导则-声环境》（HJ2.4-2021）中噪声环境影响评价评价等级划分原则，本项目所在区域适用于《声环境质量标准》（GB3096-2008）规定的</w:t>
      </w:r>
      <w:r>
        <w:rPr>
          <w:rFonts w:hint="eastAsia" w:ascii="Times New Roman" w:hAnsi="Times New Roman" w:eastAsia="宋体" w:cs="Times New Roman"/>
          <w:color w:val="auto"/>
          <w:spacing w:val="0"/>
          <w:lang w:val="en-US" w:eastAsia="zh-CN"/>
        </w:rPr>
        <w:t>2</w:t>
      </w:r>
      <w:r>
        <w:rPr>
          <w:rFonts w:hint="default" w:ascii="Times New Roman" w:hAnsi="Times New Roman" w:eastAsia="宋体" w:cs="Times New Roman"/>
          <w:color w:val="auto"/>
          <w:spacing w:val="0"/>
        </w:rPr>
        <w:t>类地区，项目建设前后噪声级增加较小且受噪声影响的人口数量变化不大，因此，声环境影响评价工作等级确定为二级。</w:t>
      </w:r>
    </w:p>
    <w:p w14:paraId="201D2844">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（2）评价范围</w:t>
      </w:r>
    </w:p>
    <w:p w14:paraId="675124FD">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根据《环境影响评价技术导则 声环境》（HJ2.4-2021）中关于噪声环境影响评价范围的确定原则，本评价噪声评价范围厂界外200m。</w:t>
      </w:r>
    </w:p>
    <w:p w14:paraId="6662627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55" w:name="_Toc17413"/>
      <w:bookmarkStart w:id="156" w:name="_Toc29169"/>
      <w:bookmarkStart w:id="157" w:name="_Toc1629"/>
      <w:bookmarkStart w:id="158" w:name="_Toc18883"/>
      <w:bookmarkStart w:id="159" w:name="_Toc105659881"/>
      <w:bookmarkStart w:id="160" w:name="_Toc107238098"/>
      <w:r>
        <w:rPr>
          <w:rFonts w:hint="eastAsia" w:ascii="Times New Roman" w:hAnsi="Times New Roman" w:eastAsia="宋体" w:cs="Times New Roman"/>
          <w:b/>
          <w:bCs/>
          <w:color w:val="auto"/>
          <w:sz w:val="28"/>
          <w:szCs w:val="28"/>
          <w:lang w:val="en-US" w:eastAsia="zh-CN"/>
        </w:rPr>
        <w:t>2.4.5 土壤环境</w:t>
      </w:r>
      <w:bookmarkEnd w:id="155"/>
      <w:bookmarkEnd w:id="156"/>
      <w:bookmarkEnd w:id="157"/>
      <w:bookmarkEnd w:id="158"/>
      <w:bookmarkEnd w:id="159"/>
      <w:bookmarkEnd w:id="160"/>
    </w:p>
    <w:p w14:paraId="2709E679">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（1）评价工作等级</w:t>
      </w:r>
    </w:p>
    <w:p w14:paraId="45B07EAD">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根据《环境影响评价技术导则 土壤环境（试行）》（HJ964-2018）附录A确定本项目所属于“燃煤锅炉总容量65t/h以上的热力生产工程”，土壤环境影响评价项目类别为Ⅲ类。</w:t>
      </w:r>
    </w:p>
    <w:p w14:paraId="71B106E3">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通过土壤环境影响识别，本项目属于污染影响型项目，影响途径主要为大气沉降。</w:t>
      </w:r>
    </w:p>
    <w:p w14:paraId="0F5866A1">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污染影响型：</w:t>
      </w:r>
    </w:p>
    <w:p w14:paraId="3ECD6481">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将建设项目占地规模分为大型（≥50hm</w:t>
      </w:r>
      <w:r>
        <w:rPr>
          <w:rFonts w:hint="default" w:ascii="Times New Roman" w:hAnsi="Times New Roman" w:eastAsia="宋体" w:cs="Times New Roman"/>
          <w:color w:val="auto"/>
          <w:spacing w:val="0"/>
          <w:vertAlign w:val="superscript"/>
        </w:rPr>
        <w:t>2</w:t>
      </w:r>
      <w:r>
        <w:rPr>
          <w:rFonts w:hint="default" w:ascii="Times New Roman" w:hAnsi="Times New Roman" w:eastAsia="宋体" w:cs="Times New Roman"/>
          <w:color w:val="auto"/>
          <w:spacing w:val="0"/>
        </w:rPr>
        <w:t>）、中型（5~50hm</w:t>
      </w:r>
      <w:r>
        <w:rPr>
          <w:rFonts w:hint="default" w:ascii="Times New Roman" w:hAnsi="Times New Roman" w:eastAsia="宋体" w:cs="Times New Roman"/>
          <w:color w:val="auto"/>
          <w:spacing w:val="0"/>
          <w:vertAlign w:val="superscript"/>
        </w:rPr>
        <w:t>2</w:t>
      </w:r>
      <w:r>
        <w:rPr>
          <w:rFonts w:hint="default" w:ascii="Times New Roman" w:hAnsi="Times New Roman" w:eastAsia="宋体" w:cs="Times New Roman"/>
          <w:color w:val="auto"/>
          <w:spacing w:val="0"/>
        </w:rPr>
        <w:t>）、小型（≤5hm</w:t>
      </w:r>
      <w:r>
        <w:rPr>
          <w:rFonts w:hint="default" w:ascii="Times New Roman" w:hAnsi="Times New Roman" w:eastAsia="宋体" w:cs="Times New Roman"/>
          <w:color w:val="auto"/>
          <w:spacing w:val="0"/>
          <w:vertAlign w:val="superscript"/>
        </w:rPr>
        <w:t>2</w:t>
      </w:r>
      <w:r>
        <w:rPr>
          <w:rFonts w:hint="default" w:ascii="Times New Roman" w:hAnsi="Times New Roman" w:eastAsia="宋体" w:cs="Times New Roman"/>
          <w:color w:val="auto"/>
          <w:spacing w:val="0"/>
        </w:rPr>
        <w:t>），本项目占地面积</w:t>
      </w:r>
      <w:r>
        <w:rPr>
          <w:rFonts w:hint="eastAsia" w:ascii="Times New Roman" w:hAnsi="Times New Roman" w:eastAsia="宋体" w:cs="Times New Roman"/>
          <w:color w:val="auto"/>
          <w:spacing w:val="0"/>
          <w:lang w:val="en-US" w:eastAsia="zh-CN"/>
        </w:rPr>
        <w:t>34356.69</w:t>
      </w:r>
      <w:r>
        <w:rPr>
          <w:rFonts w:hint="default" w:ascii="Times New Roman" w:hAnsi="Times New Roman" w:eastAsia="宋体" w:cs="Times New Roman"/>
          <w:color w:val="auto"/>
          <w:spacing w:val="0"/>
        </w:rPr>
        <w:t>m</w:t>
      </w:r>
      <w:r>
        <w:rPr>
          <w:rFonts w:hint="default" w:ascii="Times New Roman" w:hAnsi="Times New Roman" w:eastAsia="宋体" w:cs="Times New Roman"/>
          <w:color w:val="auto"/>
          <w:spacing w:val="0"/>
          <w:vertAlign w:val="superscript"/>
        </w:rPr>
        <w:t>2</w:t>
      </w:r>
      <w:r>
        <w:rPr>
          <w:rFonts w:hint="default" w:ascii="Times New Roman" w:hAnsi="Times New Roman" w:eastAsia="宋体" w:cs="Times New Roman"/>
          <w:color w:val="auto"/>
          <w:spacing w:val="0"/>
        </w:rPr>
        <w:t>，占地规模为小型规模。建设项目占地主要为永久占地。</w:t>
      </w:r>
    </w:p>
    <w:p w14:paraId="22DF03D8">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建设项目所在地周边的土壤环境敏感程度分为敏感、较敏感、不敏感，判别依据见表2.4-</w:t>
      </w:r>
      <w:r>
        <w:rPr>
          <w:rFonts w:hint="eastAsia" w:eastAsia="宋体" w:cs="Times New Roman"/>
          <w:color w:val="auto"/>
          <w:spacing w:val="0"/>
          <w:lang w:val="en-US" w:eastAsia="zh-CN"/>
        </w:rPr>
        <w:t>8</w:t>
      </w:r>
      <w:r>
        <w:rPr>
          <w:rFonts w:hint="default" w:ascii="Times New Roman" w:hAnsi="Times New Roman" w:eastAsia="宋体" w:cs="Times New Roman"/>
          <w:color w:val="auto"/>
          <w:spacing w:val="0"/>
        </w:rPr>
        <w:t>。</w:t>
      </w:r>
    </w:p>
    <w:p w14:paraId="5FEE6C1B">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w:t>
      </w:r>
      <w:r>
        <w:rPr>
          <w:rFonts w:hint="eastAsia" w:eastAsia="宋体" w:cs="Times New Roman"/>
          <w:b/>
          <w:bCs/>
          <w:color w:val="auto"/>
          <w:sz w:val="24"/>
          <w:szCs w:val="24"/>
          <w:lang w:val="en-US" w:eastAsia="zh-CN"/>
        </w:rPr>
        <w:t>8</w:t>
      </w:r>
      <w:r>
        <w:rPr>
          <w:rFonts w:hint="eastAsia"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污染影响型敏感程度分级表</w:t>
      </w:r>
    </w:p>
    <w:tbl>
      <w:tblPr>
        <w:tblStyle w:val="40"/>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4"/>
        <w:gridCol w:w="7168"/>
      </w:tblGrid>
      <w:tr w14:paraId="560E8C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 w:type="pct"/>
            <w:tcBorders>
              <w:tl2br w:val="nil"/>
              <w:tr2bl w:val="nil"/>
            </w:tcBorders>
            <w:noWrap/>
            <w:vAlign w:val="center"/>
          </w:tcPr>
          <w:p w14:paraId="511B73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敏感程度</w:t>
            </w:r>
          </w:p>
        </w:tc>
        <w:tc>
          <w:tcPr>
            <w:tcW w:w="4205" w:type="pct"/>
            <w:tcBorders>
              <w:tl2br w:val="nil"/>
              <w:tr2bl w:val="nil"/>
            </w:tcBorders>
            <w:noWrap/>
            <w:vAlign w:val="center"/>
          </w:tcPr>
          <w:p w14:paraId="01091A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判别依据</w:t>
            </w:r>
          </w:p>
        </w:tc>
      </w:tr>
      <w:tr w14:paraId="2780FF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 w:type="pct"/>
            <w:tcBorders>
              <w:tl2br w:val="nil"/>
              <w:tr2bl w:val="nil"/>
            </w:tcBorders>
            <w:noWrap/>
            <w:vAlign w:val="center"/>
          </w:tcPr>
          <w:p w14:paraId="11DBC6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敏感</w:t>
            </w:r>
          </w:p>
        </w:tc>
        <w:tc>
          <w:tcPr>
            <w:tcW w:w="4205" w:type="pct"/>
            <w:tcBorders>
              <w:tl2br w:val="nil"/>
              <w:tr2bl w:val="nil"/>
            </w:tcBorders>
            <w:noWrap/>
            <w:vAlign w:val="center"/>
          </w:tcPr>
          <w:p w14:paraId="6725D1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建设项目周边存在耕地、园地、牧草地、饮用水水源地或居民区、学校、医院、疗养院、养老院等土壤环境敏感目标的</w:t>
            </w:r>
          </w:p>
        </w:tc>
      </w:tr>
      <w:tr w14:paraId="17D59A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 w:type="pct"/>
            <w:tcBorders>
              <w:tl2br w:val="nil"/>
              <w:tr2bl w:val="nil"/>
            </w:tcBorders>
            <w:noWrap/>
            <w:vAlign w:val="center"/>
          </w:tcPr>
          <w:p w14:paraId="0F09EF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较敏感</w:t>
            </w:r>
          </w:p>
        </w:tc>
        <w:tc>
          <w:tcPr>
            <w:tcW w:w="4205" w:type="pct"/>
            <w:tcBorders>
              <w:tl2br w:val="nil"/>
              <w:tr2bl w:val="nil"/>
            </w:tcBorders>
            <w:noWrap/>
            <w:vAlign w:val="center"/>
          </w:tcPr>
          <w:p w14:paraId="00035D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建设项目周边存在其他土壤环境敏感目标的</w:t>
            </w:r>
          </w:p>
        </w:tc>
      </w:tr>
      <w:tr w14:paraId="47A3F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 w:type="pct"/>
            <w:tcBorders>
              <w:tl2br w:val="nil"/>
              <w:tr2bl w:val="nil"/>
            </w:tcBorders>
            <w:noWrap/>
            <w:vAlign w:val="center"/>
          </w:tcPr>
          <w:p w14:paraId="75D8FF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不敏感</w:t>
            </w:r>
          </w:p>
        </w:tc>
        <w:tc>
          <w:tcPr>
            <w:tcW w:w="4205" w:type="pct"/>
            <w:tcBorders>
              <w:tl2br w:val="nil"/>
              <w:tr2bl w:val="nil"/>
            </w:tcBorders>
            <w:noWrap/>
            <w:vAlign w:val="center"/>
          </w:tcPr>
          <w:p w14:paraId="50CB20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其他情况</w:t>
            </w:r>
          </w:p>
        </w:tc>
      </w:tr>
    </w:tbl>
    <w:p w14:paraId="25D2BA7F">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根据土壤环境影响评价项目类别、占地规模与敏感程度划分评价工作等级，详见表2.4-</w:t>
      </w:r>
      <w:r>
        <w:rPr>
          <w:rFonts w:hint="eastAsia" w:eastAsia="宋体" w:cs="Times New Roman"/>
          <w:color w:val="auto"/>
          <w:spacing w:val="0"/>
          <w:lang w:val="en-US" w:eastAsia="zh-CN"/>
        </w:rPr>
        <w:t>9</w:t>
      </w:r>
      <w:r>
        <w:rPr>
          <w:rFonts w:hint="default" w:ascii="Times New Roman" w:hAnsi="Times New Roman" w:eastAsia="宋体" w:cs="Times New Roman"/>
          <w:color w:val="auto"/>
          <w:spacing w:val="0"/>
        </w:rPr>
        <w:t>。</w:t>
      </w:r>
    </w:p>
    <w:p w14:paraId="1A87342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w:t>
      </w:r>
      <w:r>
        <w:rPr>
          <w:rFonts w:hint="eastAsia" w:eastAsia="宋体" w:cs="Times New Roman"/>
          <w:b/>
          <w:bCs/>
          <w:color w:val="auto"/>
          <w:sz w:val="24"/>
          <w:szCs w:val="24"/>
          <w:lang w:val="en-US" w:eastAsia="zh-CN"/>
        </w:rPr>
        <w:t>9</w:t>
      </w:r>
      <w:r>
        <w:rPr>
          <w:rFonts w:hint="eastAsia"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污染影响型土壤环境工作等级划分表</w:t>
      </w:r>
    </w:p>
    <w:tbl>
      <w:tblPr>
        <w:tblStyle w:val="40"/>
        <w:tblW w:w="5023"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82"/>
        <w:gridCol w:w="664"/>
        <w:gridCol w:w="664"/>
        <w:gridCol w:w="664"/>
        <w:gridCol w:w="1"/>
        <w:gridCol w:w="663"/>
        <w:gridCol w:w="664"/>
        <w:gridCol w:w="664"/>
        <w:gridCol w:w="2"/>
        <w:gridCol w:w="662"/>
        <w:gridCol w:w="664"/>
        <w:gridCol w:w="668"/>
      </w:tblGrid>
      <w:tr w14:paraId="348AA8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trPr>
        <w:tc>
          <w:tcPr>
            <w:tcW w:w="1507" w:type="pct"/>
            <w:vMerge w:val="restart"/>
            <w:tcBorders>
              <w:tl2br w:val="nil"/>
              <w:tr2bl w:val="nil"/>
            </w:tcBorders>
            <w:noWrap/>
            <w:vAlign w:val="center"/>
            <mc:AlternateContent>
              <mc:Choice Requires="wpsCustomData">
                <wpsCustomData:diagonals>
                  <wpsCustomData:diagonal from="5000" to="30000">
                    <wpsCustomData:border w:val="single" w:color="000000" w:sz="4" w:space="0"/>
                  </wpsCustomData:diagonal>
                  <wpsCustomData:diagonal from="15000" to="30000">
                    <wpsCustomData:border w:val="single" w:color="000000" w:sz="4" w:space="0"/>
                  </wpsCustomData:diagonal>
                </wpsCustomData:diagonals>
              </mc:Choice>
            </mc:AlternateContent>
          </w:tcPr>
          <w:p w14:paraId="24170CF8">
            <w:pPr>
              <w:pStyle w:val="3"/>
              <w:keepNext w:val="0"/>
              <w:keepLines w:val="0"/>
              <w:pageBreakBefore w:val="0"/>
              <w:widowControl w:val="0"/>
              <w:kinsoku/>
              <w:wordWrap/>
              <w:overflowPunct/>
              <w:topLinePunct w:val="0"/>
              <w:autoSpaceDE/>
              <w:autoSpaceDN/>
              <w:bidi w:val="0"/>
              <w:adjustRightInd/>
              <w:snapToGrid w:val="0"/>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p w14:paraId="49425B29">
            <w:pPr>
              <w:pStyle w:val="3"/>
              <w:keepNext w:val="0"/>
              <w:keepLines w:val="0"/>
              <w:pageBreakBefore w:val="0"/>
              <w:widowControl w:val="0"/>
              <w:kinsoku/>
              <w:wordWrap/>
              <w:overflowPunct/>
              <w:topLinePunct w:val="0"/>
              <w:autoSpaceDE/>
              <w:autoSpaceDN/>
              <w:bidi w:val="0"/>
              <w:adjustRightInd/>
              <w:snapToGrid w:val="0"/>
              <w:spacing w:after="0" w:line="320" w:lineRule="exact"/>
              <w:ind w:left="0" w:firstLine="0" w:firstLineChars="0"/>
              <w:jc w:val="center"/>
              <w:textAlignment w:val="auto"/>
              <mc:AlternateContent>
                <mc:Choice Requires="wpsCustomData">
                  <wpsCustomData:diagonalParaType/>
                </mc:Choice>
              </mc:AlternateConten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敏感程度</w:t>
            </w:r>
          </w:p>
          <w:p w14:paraId="59897162">
            <w:pPr>
              <w:pStyle w:val="3"/>
              <w:keepNext w:val="0"/>
              <w:keepLines w:val="0"/>
              <w:pageBreakBefore w:val="0"/>
              <w:widowControl w:val="0"/>
              <w:kinsoku/>
              <w:wordWrap/>
              <w:overflowPunct/>
              <w:topLinePunct w:val="0"/>
              <w:autoSpaceDE/>
              <w:autoSpaceDN/>
              <w:bidi w:val="0"/>
              <w:adjustRightInd/>
              <w:snapToGrid w:val="0"/>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p w14:paraId="71EB0EAB">
            <w:pPr>
              <w:pStyle w:val="3"/>
              <w:keepNext w:val="0"/>
              <w:keepLines w:val="0"/>
              <w:pageBreakBefore w:val="0"/>
              <w:widowControl w:val="0"/>
              <w:kinsoku/>
              <w:wordWrap/>
              <w:overflowPunct/>
              <w:topLinePunct w:val="0"/>
              <w:autoSpaceDE/>
              <w:autoSpaceDN/>
              <w:bidi w:val="0"/>
              <w:adjustRightInd/>
              <w:snapToGrid w:val="0"/>
              <w:spacing w:after="0" w:line="320" w:lineRule="exact"/>
              <w:ind w:left="0" w:firstLine="0" w:firstLineChars="0"/>
              <w:jc w:val="center"/>
              <w:textAlignment w:val="auto"/>
              <mc:AlternateContent>
                <mc:Choice Requires="wpsCustomData">
                  <wpsCustomData:diagonalParaType/>
                </mc:Choice>
              </mc:AlternateConten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评价工作等级</w:t>
            </w:r>
          </w:p>
          <w:p w14:paraId="44B1EC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占地规模</w:t>
            </w:r>
          </w:p>
        </w:tc>
        <w:tc>
          <w:tcPr>
            <w:tcW w:w="1163" w:type="pct"/>
            <w:gridSpan w:val="4"/>
            <w:tcBorders>
              <w:tl2br w:val="nil"/>
              <w:tr2bl w:val="nil"/>
            </w:tcBorders>
            <w:noWrap/>
            <w:vAlign w:val="center"/>
          </w:tcPr>
          <w:p w14:paraId="600111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Ⅰ类</w:t>
            </w:r>
          </w:p>
        </w:tc>
        <w:tc>
          <w:tcPr>
            <w:tcW w:w="1163" w:type="pct"/>
            <w:gridSpan w:val="4"/>
            <w:tcBorders>
              <w:tl2br w:val="nil"/>
              <w:tr2bl w:val="nil"/>
            </w:tcBorders>
            <w:noWrap/>
            <w:vAlign w:val="center"/>
          </w:tcPr>
          <w:p w14:paraId="0730A3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Ⅱ类</w:t>
            </w:r>
          </w:p>
        </w:tc>
        <w:tc>
          <w:tcPr>
            <w:tcW w:w="1164" w:type="pct"/>
            <w:gridSpan w:val="3"/>
            <w:tcBorders>
              <w:tl2br w:val="nil"/>
              <w:tr2bl w:val="nil"/>
            </w:tcBorders>
            <w:noWrap/>
            <w:vAlign w:val="center"/>
          </w:tcPr>
          <w:p w14:paraId="595394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Ⅲ类</w:t>
            </w:r>
          </w:p>
        </w:tc>
      </w:tr>
      <w:tr w14:paraId="0E7DC1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trPr>
        <w:tc>
          <w:tcPr>
            <w:tcW w:w="1507" w:type="pct"/>
            <w:vMerge w:val="continue"/>
            <w:tcBorders>
              <w:tl2br w:val="nil"/>
              <w:tr2bl w:val="nil"/>
            </w:tcBorders>
            <w:noWrap/>
          </w:tcPr>
          <w:p w14:paraId="2E3BB4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p>
        </w:tc>
        <w:tc>
          <w:tcPr>
            <w:tcW w:w="387" w:type="pct"/>
            <w:tcBorders>
              <w:tl2br w:val="nil"/>
              <w:tr2bl w:val="nil"/>
            </w:tcBorders>
            <w:noWrap/>
            <w:vAlign w:val="center"/>
          </w:tcPr>
          <w:p w14:paraId="3A5F7F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大</w:t>
            </w:r>
          </w:p>
        </w:tc>
        <w:tc>
          <w:tcPr>
            <w:tcW w:w="387" w:type="pct"/>
            <w:tcBorders>
              <w:tl2br w:val="nil"/>
              <w:tr2bl w:val="nil"/>
            </w:tcBorders>
            <w:noWrap/>
            <w:vAlign w:val="center"/>
          </w:tcPr>
          <w:p w14:paraId="293A64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中</w:t>
            </w:r>
          </w:p>
        </w:tc>
        <w:tc>
          <w:tcPr>
            <w:tcW w:w="387" w:type="pct"/>
            <w:tcBorders>
              <w:tl2br w:val="nil"/>
              <w:tr2bl w:val="nil"/>
            </w:tcBorders>
            <w:noWrap/>
            <w:vAlign w:val="center"/>
          </w:tcPr>
          <w:p w14:paraId="584C31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小</w:t>
            </w:r>
          </w:p>
        </w:tc>
        <w:tc>
          <w:tcPr>
            <w:tcW w:w="387" w:type="pct"/>
            <w:gridSpan w:val="2"/>
            <w:tcBorders>
              <w:tl2br w:val="nil"/>
              <w:tr2bl w:val="nil"/>
            </w:tcBorders>
            <w:noWrap/>
            <w:vAlign w:val="center"/>
          </w:tcPr>
          <w:p w14:paraId="2BCE64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大</w:t>
            </w:r>
          </w:p>
        </w:tc>
        <w:tc>
          <w:tcPr>
            <w:tcW w:w="387" w:type="pct"/>
            <w:tcBorders>
              <w:tl2br w:val="nil"/>
              <w:tr2bl w:val="nil"/>
            </w:tcBorders>
            <w:noWrap/>
            <w:vAlign w:val="center"/>
          </w:tcPr>
          <w:p w14:paraId="22DE82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中</w:t>
            </w:r>
          </w:p>
        </w:tc>
        <w:tc>
          <w:tcPr>
            <w:tcW w:w="387" w:type="pct"/>
            <w:tcBorders>
              <w:tl2br w:val="nil"/>
              <w:tr2bl w:val="nil"/>
            </w:tcBorders>
            <w:noWrap/>
            <w:vAlign w:val="center"/>
          </w:tcPr>
          <w:p w14:paraId="6E0AEA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小</w:t>
            </w:r>
          </w:p>
        </w:tc>
        <w:tc>
          <w:tcPr>
            <w:tcW w:w="387" w:type="pct"/>
            <w:gridSpan w:val="2"/>
            <w:tcBorders>
              <w:tl2br w:val="nil"/>
              <w:tr2bl w:val="nil"/>
            </w:tcBorders>
            <w:noWrap/>
            <w:vAlign w:val="center"/>
          </w:tcPr>
          <w:p w14:paraId="7E1B80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大</w:t>
            </w:r>
          </w:p>
        </w:tc>
        <w:tc>
          <w:tcPr>
            <w:tcW w:w="387" w:type="pct"/>
            <w:tcBorders>
              <w:tl2br w:val="nil"/>
              <w:tr2bl w:val="nil"/>
            </w:tcBorders>
            <w:noWrap/>
            <w:vAlign w:val="center"/>
          </w:tcPr>
          <w:p w14:paraId="5C1B38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中</w:t>
            </w:r>
          </w:p>
        </w:tc>
        <w:tc>
          <w:tcPr>
            <w:tcW w:w="390" w:type="pct"/>
            <w:tcBorders>
              <w:tl2br w:val="nil"/>
              <w:tr2bl w:val="nil"/>
            </w:tcBorders>
            <w:noWrap/>
            <w:vAlign w:val="center"/>
          </w:tcPr>
          <w:p w14:paraId="627548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小</w:t>
            </w:r>
          </w:p>
        </w:tc>
      </w:tr>
      <w:tr w14:paraId="3C0E7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1507" w:type="pct"/>
            <w:tcBorders>
              <w:tl2br w:val="nil"/>
              <w:tr2bl w:val="nil"/>
            </w:tcBorders>
            <w:noWrap/>
            <w:vAlign w:val="center"/>
          </w:tcPr>
          <w:p w14:paraId="1DBC7D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敏感</w:t>
            </w:r>
          </w:p>
        </w:tc>
        <w:tc>
          <w:tcPr>
            <w:tcW w:w="387" w:type="pct"/>
            <w:tcBorders>
              <w:tl2br w:val="nil"/>
              <w:tr2bl w:val="nil"/>
            </w:tcBorders>
            <w:noWrap/>
            <w:vAlign w:val="center"/>
          </w:tcPr>
          <w:p w14:paraId="3FF113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387" w:type="pct"/>
            <w:tcBorders>
              <w:tl2br w:val="nil"/>
              <w:tr2bl w:val="nil"/>
            </w:tcBorders>
            <w:noWrap/>
            <w:vAlign w:val="center"/>
          </w:tcPr>
          <w:p w14:paraId="7BBAC8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387" w:type="pct"/>
            <w:tcBorders>
              <w:tl2br w:val="nil"/>
              <w:tr2bl w:val="nil"/>
            </w:tcBorders>
            <w:noWrap/>
            <w:vAlign w:val="center"/>
          </w:tcPr>
          <w:p w14:paraId="14EE0C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387" w:type="pct"/>
            <w:gridSpan w:val="2"/>
            <w:tcBorders>
              <w:tl2br w:val="nil"/>
              <w:tr2bl w:val="nil"/>
            </w:tcBorders>
            <w:noWrap/>
            <w:vAlign w:val="center"/>
          </w:tcPr>
          <w:p w14:paraId="0E04F2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tcBorders>
              <w:tl2br w:val="nil"/>
              <w:tr2bl w:val="nil"/>
            </w:tcBorders>
            <w:noWrap/>
            <w:vAlign w:val="center"/>
          </w:tcPr>
          <w:p w14:paraId="6F6FDB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tcBorders>
              <w:tl2br w:val="nil"/>
              <w:tr2bl w:val="nil"/>
            </w:tcBorders>
            <w:noWrap/>
            <w:vAlign w:val="center"/>
          </w:tcPr>
          <w:p w14:paraId="0E6C8E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gridSpan w:val="2"/>
            <w:tcBorders>
              <w:tl2br w:val="nil"/>
              <w:tr2bl w:val="nil"/>
            </w:tcBorders>
            <w:noWrap/>
            <w:vAlign w:val="center"/>
          </w:tcPr>
          <w:p w14:paraId="574E42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87" w:type="pct"/>
            <w:tcBorders>
              <w:tl2br w:val="nil"/>
              <w:tr2bl w:val="nil"/>
            </w:tcBorders>
            <w:noWrap/>
            <w:vAlign w:val="center"/>
          </w:tcPr>
          <w:p w14:paraId="3F5C00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90" w:type="pct"/>
            <w:tcBorders>
              <w:tl2br w:val="nil"/>
              <w:tr2bl w:val="nil"/>
            </w:tcBorders>
            <w:noWrap/>
            <w:vAlign w:val="center"/>
          </w:tcPr>
          <w:p w14:paraId="74DD4D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r>
      <w:tr w14:paraId="215AB0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1507" w:type="pct"/>
            <w:tcBorders>
              <w:tl2br w:val="nil"/>
              <w:tr2bl w:val="nil"/>
            </w:tcBorders>
            <w:noWrap/>
            <w:vAlign w:val="center"/>
          </w:tcPr>
          <w:p w14:paraId="1AE439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较敏感</w:t>
            </w:r>
          </w:p>
        </w:tc>
        <w:tc>
          <w:tcPr>
            <w:tcW w:w="387" w:type="pct"/>
            <w:tcBorders>
              <w:tl2br w:val="nil"/>
              <w:tr2bl w:val="nil"/>
            </w:tcBorders>
            <w:noWrap/>
            <w:vAlign w:val="center"/>
          </w:tcPr>
          <w:p w14:paraId="62F962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387" w:type="pct"/>
            <w:tcBorders>
              <w:tl2br w:val="nil"/>
              <w:tr2bl w:val="nil"/>
            </w:tcBorders>
            <w:noWrap/>
            <w:vAlign w:val="center"/>
          </w:tcPr>
          <w:p w14:paraId="20A21D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387" w:type="pct"/>
            <w:tcBorders>
              <w:tl2br w:val="nil"/>
              <w:tr2bl w:val="nil"/>
            </w:tcBorders>
            <w:noWrap/>
            <w:vAlign w:val="center"/>
          </w:tcPr>
          <w:p w14:paraId="01496B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gridSpan w:val="2"/>
            <w:tcBorders>
              <w:tl2br w:val="nil"/>
              <w:tr2bl w:val="nil"/>
            </w:tcBorders>
            <w:noWrap/>
            <w:vAlign w:val="center"/>
          </w:tcPr>
          <w:p w14:paraId="3CEB42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tcBorders>
              <w:tl2br w:val="nil"/>
              <w:tr2bl w:val="nil"/>
            </w:tcBorders>
            <w:noWrap/>
            <w:vAlign w:val="center"/>
          </w:tcPr>
          <w:p w14:paraId="6BE475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tcBorders>
              <w:tl2br w:val="nil"/>
              <w:tr2bl w:val="nil"/>
            </w:tcBorders>
            <w:noWrap/>
            <w:vAlign w:val="center"/>
          </w:tcPr>
          <w:p w14:paraId="3C7F90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87" w:type="pct"/>
            <w:gridSpan w:val="2"/>
            <w:tcBorders>
              <w:tl2br w:val="nil"/>
              <w:tr2bl w:val="nil"/>
            </w:tcBorders>
            <w:noWrap/>
            <w:vAlign w:val="center"/>
          </w:tcPr>
          <w:p w14:paraId="28D5E7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87" w:type="pct"/>
            <w:tcBorders>
              <w:tl2br w:val="nil"/>
              <w:tr2bl w:val="nil"/>
            </w:tcBorders>
            <w:noWrap/>
            <w:vAlign w:val="center"/>
          </w:tcPr>
          <w:p w14:paraId="1F1B7F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90" w:type="pct"/>
            <w:tcBorders>
              <w:tl2br w:val="nil"/>
              <w:tr2bl w:val="nil"/>
            </w:tcBorders>
            <w:noWrap/>
            <w:vAlign w:val="center"/>
          </w:tcPr>
          <w:p w14:paraId="45337F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14:paraId="7CA459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1507" w:type="pct"/>
            <w:tcBorders>
              <w:tl2br w:val="nil"/>
              <w:tr2bl w:val="nil"/>
            </w:tcBorders>
            <w:noWrap/>
            <w:vAlign w:val="center"/>
          </w:tcPr>
          <w:p w14:paraId="6C30D0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不敏感</w:t>
            </w:r>
          </w:p>
        </w:tc>
        <w:tc>
          <w:tcPr>
            <w:tcW w:w="387" w:type="pct"/>
            <w:tcBorders>
              <w:tl2br w:val="nil"/>
              <w:tr2bl w:val="nil"/>
            </w:tcBorders>
            <w:noWrap/>
            <w:vAlign w:val="center"/>
          </w:tcPr>
          <w:p w14:paraId="573CDC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一级</w:t>
            </w:r>
          </w:p>
        </w:tc>
        <w:tc>
          <w:tcPr>
            <w:tcW w:w="387" w:type="pct"/>
            <w:tcBorders>
              <w:tl2br w:val="nil"/>
              <w:tr2bl w:val="nil"/>
            </w:tcBorders>
            <w:noWrap/>
            <w:vAlign w:val="center"/>
          </w:tcPr>
          <w:p w14:paraId="06DBB5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tcBorders>
              <w:tl2br w:val="nil"/>
              <w:tr2bl w:val="nil"/>
            </w:tcBorders>
            <w:noWrap/>
            <w:vAlign w:val="center"/>
          </w:tcPr>
          <w:p w14:paraId="2E06B7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gridSpan w:val="2"/>
            <w:tcBorders>
              <w:tl2br w:val="nil"/>
              <w:tr2bl w:val="nil"/>
            </w:tcBorders>
            <w:noWrap/>
            <w:vAlign w:val="center"/>
          </w:tcPr>
          <w:p w14:paraId="5C6A36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二级</w:t>
            </w:r>
          </w:p>
        </w:tc>
        <w:tc>
          <w:tcPr>
            <w:tcW w:w="387" w:type="pct"/>
            <w:tcBorders>
              <w:tl2br w:val="nil"/>
              <w:tr2bl w:val="nil"/>
            </w:tcBorders>
            <w:noWrap/>
            <w:vAlign w:val="center"/>
          </w:tcPr>
          <w:p w14:paraId="07CDE8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87" w:type="pct"/>
            <w:tcBorders>
              <w:tl2br w:val="nil"/>
              <w:tr2bl w:val="nil"/>
            </w:tcBorders>
            <w:noWrap/>
            <w:vAlign w:val="center"/>
          </w:tcPr>
          <w:p w14:paraId="624762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87" w:type="pct"/>
            <w:gridSpan w:val="2"/>
            <w:tcBorders>
              <w:tl2br w:val="nil"/>
              <w:tr2bl w:val="nil"/>
            </w:tcBorders>
            <w:noWrap/>
            <w:vAlign w:val="center"/>
          </w:tcPr>
          <w:p w14:paraId="16A4EB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三级</w:t>
            </w:r>
          </w:p>
        </w:tc>
        <w:tc>
          <w:tcPr>
            <w:tcW w:w="387" w:type="pct"/>
            <w:tcBorders>
              <w:tl2br w:val="nil"/>
              <w:tr2bl w:val="nil"/>
            </w:tcBorders>
            <w:noWrap/>
            <w:vAlign w:val="center"/>
          </w:tcPr>
          <w:p w14:paraId="28B3B4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90" w:type="pct"/>
            <w:tcBorders>
              <w:tl2br w:val="nil"/>
              <w:tr2bl w:val="nil"/>
            </w:tcBorders>
            <w:noWrap/>
            <w:vAlign w:val="center"/>
          </w:tcPr>
          <w:p w14:paraId="79906E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14:paraId="4A6CA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000" w:type="pct"/>
            <w:gridSpan w:val="12"/>
            <w:tcBorders>
              <w:tl2br w:val="nil"/>
              <w:tr2bl w:val="nil"/>
            </w:tcBorders>
            <w:noWrap/>
          </w:tcPr>
          <w:p w14:paraId="1A06DF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注：“-”表示可不开展土壤环境影响评价工作</w:t>
            </w:r>
          </w:p>
        </w:tc>
      </w:tr>
    </w:tbl>
    <w:p w14:paraId="5412A728">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本项目</w:t>
      </w:r>
      <w:r>
        <w:rPr>
          <w:rFonts w:hint="eastAsia" w:ascii="Times New Roman" w:hAnsi="Times New Roman" w:eastAsia="宋体" w:cs="Times New Roman"/>
          <w:color w:val="auto"/>
          <w:spacing w:val="0"/>
        </w:rPr>
        <w:t>为污染影响型建设项目，</w:t>
      </w:r>
      <w:r>
        <w:rPr>
          <w:rFonts w:hint="default" w:ascii="Times New Roman" w:hAnsi="Times New Roman" w:eastAsia="宋体" w:cs="Times New Roman"/>
          <w:color w:val="auto"/>
          <w:spacing w:val="0"/>
        </w:rPr>
        <w:t>周边存在</w:t>
      </w:r>
      <w:r>
        <w:rPr>
          <w:rFonts w:hint="eastAsia" w:ascii="Times New Roman" w:hAnsi="Times New Roman" w:eastAsia="宋体" w:cs="Times New Roman"/>
          <w:color w:val="auto"/>
          <w:spacing w:val="0"/>
          <w:lang w:val="en-US" w:eastAsia="zh-CN"/>
        </w:rPr>
        <w:t>耕地和</w:t>
      </w:r>
      <w:r>
        <w:rPr>
          <w:rFonts w:hint="default" w:ascii="Times New Roman" w:hAnsi="Times New Roman" w:eastAsia="宋体" w:cs="Times New Roman"/>
          <w:color w:val="auto"/>
          <w:spacing w:val="0"/>
        </w:rPr>
        <w:t>居民区</w:t>
      </w:r>
      <w:r>
        <w:rPr>
          <w:rFonts w:hint="eastAsia" w:ascii="Times New Roman" w:hAnsi="Times New Roman" w:eastAsia="宋体" w:cs="Times New Roman"/>
          <w:color w:val="auto"/>
          <w:spacing w:val="0"/>
        </w:rPr>
        <w:t>，</w:t>
      </w:r>
      <w:r>
        <w:rPr>
          <w:rFonts w:hint="default" w:ascii="Times New Roman" w:hAnsi="Times New Roman" w:eastAsia="宋体" w:cs="Times New Roman"/>
          <w:color w:val="auto"/>
          <w:spacing w:val="0"/>
        </w:rPr>
        <w:t>因此敏感程度属于敏感。确定本次土壤环境评价等级为三级。</w:t>
      </w:r>
    </w:p>
    <w:p w14:paraId="6141A67E">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（2）评价范围</w:t>
      </w:r>
    </w:p>
    <w:p w14:paraId="0DBFB50A">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根据《环境影响评价技术导则 土壤环境》（试行）（HJ964-2018）“7.2调查评价范围”，本项目为污染影响型项目，评价等级为三级，因此本项目土壤环境影响评价范围为厂区占地范围及厂区边界外0.05km范围内。</w:t>
      </w:r>
    </w:p>
    <w:p w14:paraId="6F657FA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FF0000"/>
          <w:sz w:val="28"/>
          <w:szCs w:val="28"/>
          <w:lang w:val="en-US" w:eastAsia="zh-CN"/>
        </w:rPr>
      </w:pPr>
      <w:bookmarkStart w:id="161" w:name="_Toc22179"/>
      <w:bookmarkStart w:id="162" w:name="_Toc4830"/>
      <w:bookmarkStart w:id="163" w:name="_Toc15192"/>
      <w:bookmarkStart w:id="164" w:name="_Toc1088"/>
      <w:bookmarkStart w:id="165" w:name="_Toc107238099"/>
      <w:bookmarkStart w:id="166" w:name="_Toc105659882"/>
      <w:r>
        <w:rPr>
          <w:rFonts w:hint="eastAsia" w:ascii="Times New Roman" w:hAnsi="Times New Roman" w:eastAsia="宋体" w:cs="Times New Roman"/>
          <w:b/>
          <w:bCs/>
          <w:color w:val="FF0000"/>
          <w:sz w:val="28"/>
          <w:szCs w:val="28"/>
          <w:lang w:val="en-US" w:eastAsia="zh-CN"/>
        </w:rPr>
        <w:t>2.4.6 生态环境</w:t>
      </w:r>
      <w:bookmarkEnd w:id="161"/>
      <w:bookmarkEnd w:id="162"/>
      <w:bookmarkEnd w:id="163"/>
      <w:bookmarkEnd w:id="164"/>
    </w:p>
    <w:p w14:paraId="23562BC4">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FF0000"/>
          <w:spacing w:val="0"/>
        </w:rPr>
      </w:pPr>
      <w:r>
        <w:rPr>
          <w:rFonts w:hint="default" w:ascii="Times New Roman" w:hAnsi="Times New Roman" w:eastAsia="宋体" w:cs="Times New Roman"/>
          <w:color w:val="FF0000"/>
          <w:spacing w:val="0"/>
        </w:rPr>
        <w:t>（1）评价等级</w:t>
      </w:r>
    </w:p>
    <w:p w14:paraId="26D9A8A6">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根据《环境影响评价技术导则生态影响》</w:t>
      </w:r>
      <w:r>
        <w:rPr>
          <w:rFonts w:hint="default" w:ascii="Times New Roman" w:hAnsi="Times New Roman" w:eastAsia="宋体" w:cs="Times New Roman"/>
          <w:snapToGrid/>
          <w:color w:val="FF0000"/>
          <w:kern w:val="2"/>
          <w:sz w:val="24"/>
          <w:szCs w:val="24"/>
          <w:lang w:val="en-US" w:eastAsia="zh-CN" w:bidi="ar-SA"/>
        </w:rPr>
        <w:t>（HJ19-2022）</w:t>
      </w:r>
      <w:r>
        <w:rPr>
          <w:rFonts w:hint="eastAsia" w:ascii="Times New Roman" w:hAnsi="Times New Roman" w:eastAsia="宋体" w:cs="Times New Roman"/>
          <w:snapToGrid/>
          <w:color w:val="FF0000"/>
          <w:kern w:val="2"/>
          <w:sz w:val="24"/>
          <w:szCs w:val="24"/>
          <w:lang w:val="en-US" w:eastAsia="zh-CN" w:bidi="ar-SA"/>
        </w:rPr>
        <w:t>，依据建设项目影响区域的生态敏感性和影响程度，评价等级划分为一级、二级和三级。</w:t>
      </w:r>
    </w:p>
    <w:p w14:paraId="647CACDA">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a）涉及国家公园、自然保护区、世界自然遗产、重要生境时，评价等级为一级；</w:t>
      </w:r>
    </w:p>
    <w:p w14:paraId="653F4C66">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b）涉及自然公园时，评价等级为二级；</w:t>
      </w:r>
    </w:p>
    <w:p w14:paraId="4A11350C">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c）涉及生态保护红线时，评价等级不低于二级；</w:t>
      </w:r>
    </w:p>
    <w:p w14:paraId="55F4EFAE">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d）根据HJ2.3判断属于水文要素影响型且地表水评价等级不低于二级的建设项目，生态影响评价等级不低于二级；</w:t>
      </w:r>
    </w:p>
    <w:p w14:paraId="7773B12A">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e）根据</w:t>
      </w:r>
      <w:r>
        <w:rPr>
          <w:rFonts w:hint="default" w:ascii="Times New Roman" w:hAnsi="Times New Roman" w:eastAsia="宋体" w:cs="Times New Roman"/>
          <w:snapToGrid/>
          <w:color w:val="FF0000"/>
          <w:kern w:val="2"/>
          <w:sz w:val="24"/>
          <w:szCs w:val="24"/>
          <w:lang w:val="en-US" w:eastAsia="zh-CN" w:bidi="ar-SA"/>
        </w:rPr>
        <w:t>HJ610、HJ964</w:t>
      </w:r>
      <w:r>
        <w:rPr>
          <w:rFonts w:hint="eastAsia" w:ascii="Times New Roman" w:hAnsi="Times New Roman" w:eastAsia="宋体" w:cs="Times New Roman"/>
          <w:snapToGrid/>
          <w:color w:val="FF0000"/>
          <w:kern w:val="2"/>
          <w:sz w:val="24"/>
          <w:szCs w:val="24"/>
          <w:lang w:val="en-US" w:eastAsia="zh-CN" w:bidi="ar-SA"/>
        </w:rPr>
        <w:t>判断地下水水位或土壤影响范围内分布有天然林、公益林、湿地等生态保护目标的建设项目，生态影响评价等级不低于二级；</w:t>
      </w:r>
    </w:p>
    <w:p w14:paraId="414FDEAA">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f）当工程占地规模大于</w:t>
      </w:r>
      <w:r>
        <w:rPr>
          <w:rFonts w:hint="default" w:ascii="Times New Roman" w:hAnsi="Times New Roman" w:eastAsia="宋体" w:cs="Times New Roman"/>
          <w:snapToGrid/>
          <w:color w:val="FF0000"/>
          <w:kern w:val="2"/>
          <w:sz w:val="24"/>
          <w:szCs w:val="24"/>
          <w:lang w:val="en-US" w:eastAsia="zh-CN" w:bidi="ar-SA"/>
        </w:rPr>
        <w:t>20km</w:t>
      </w:r>
      <w:r>
        <w:rPr>
          <w:rFonts w:hint="default" w:ascii="Times New Roman" w:hAnsi="Times New Roman" w:eastAsia="宋体" w:cs="Times New Roman"/>
          <w:snapToGrid/>
          <w:color w:val="FF0000"/>
          <w:kern w:val="2"/>
          <w:sz w:val="24"/>
          <w:szCs w:val="24"/>
          <w:vertAlign w:val="superscript"/>
          <w:lang w:val="en-US" w:eastAsia="zh-CN" w:bidi="ar-SA"/>
        </w:rPr>
        <w:t>2</w:t>
      </w:r>
      <w:r>
        <w:rPr>
          <w:rFonts w:hint="eastAsia" w:ascii="Times New Roman" w:hAnsi="Times New Roman" w:eastAsia="宋体" w:cs="Times New Roman"/>
          <w:snapToGrid/>
          <w:color w:val="FF0000"/>
          <w:kern w:val="2"/>
          <w:sz w:val="24"/>
          <w:szCs w:val="24"/>
          <w:lang w:val="en-US" w:eastAsia="zh-CN" w:bidi="ar-SA"/>
        </w:rPr>
        <w:t>时（包括永久和临时占用陆域和水域），评价等级不低于二级；改扩建项目的占地范围以新增占地（包括陆域和水域）确定；</w:t>
      </w:r>
    </w:p>
    <w:p w14:paraId="0BA25618">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eastAsia="宋体" w:cs="Times New Roman"/>
          <w:snapToGrid/>
          <w:color w:val="FF0000"/>
          <w:kern w:val="2"/>
          <w:sz w:val="24"/>
          <w:szCs w:val="24"/>
          <w:lang w:val="en-US" w:eastAsia="zh-CN" w:bidi="ar-SA"/>
        </w:rPr>
      </w:pPr>
      <w:r>
        <w:rPr>
          <w:rFonts w:hint="eastAsia" w:ascii="Times New Roman" w:hAnsi="Times New Roman" w:eastAsia="宋体" w:cs="Times New Roman"/>
          <w:snapToGrid/>
          <w:color w:val="FF0000"/>
          <w:kern w:val="2"/>
          <w:sz w:val="24"/>
          <w:szCs w:val="24"/>
          <w:lang w:val="en-US" w:eastAsia="zh-CN" w:bidi="ar-SA"/>
        </w:rPr>
        <w:t>g）除本条</w:t>
      </w:r>
      <w:r>
        <w:rPr>
          <w:rFonts w:hint="default" w:ascii="Times New Roman" w:hAnsi="Times New Roman" w:eastAsia="宋体" w:cs="Times New Roman"/>
          <w:snapToGrid/>
          <w:color w:val="FF0000"/>
          <w:kern w:val="2"/>
          <w:sz w:val="24"/>
          <w:szCs w:val="24"/>
          <w:lang w:val="en-US" w:eastAsia="zh-CN" w:bidi="ar-SA"/>
        </w:rPr>
        <w:t>a）、b）、c）、d）、e）、f）</w:t>
      </w:r>
      <w:r>
        <w:rPr>
          <w:rFonts w:hint="eastAsia" w:ascii="Times New Roman" w:hAnsi="Times New Roman" w:eastAsia="宋体" w:cs="Times New Roman"/>
          <w:snapToGrid/>
          <w:color w:val="FF0000"/>
          <w:kern w:val="2"/>
          <w:sz w:val="24"/>
          <w:szCs w:val="24"/>
          <w:lang w:val="en-US" w:eastAsia="zh-CN" w:bidi="ar-SA"/>
        </w:rPr>
        <w:t>以外的情况，评价等级为三级；</w:t>
      </w:r>
    </w:p>
    <w:p w14:paraId="1B916AD5">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FF0000"/>
          <w:spacing w:val="0"/>
          <w:lang w:val="en-US" w:eastAsia="zh-CN"/>
        </w:rPr>
      </w:pPr>
      <w:r>
        <w:rPr>
          <w:rFonts w:hint="default" w:ascii="Times New Roman" w:hAnsi="Times New Roman" w:eastAsia="宋体" w:cs="Times New Roman"/>
          <w:color w:val="FF0000"/>
          <w:spacing w:val="0"/>
        </w:rPr>
        <w:t>根据《环境影响评价技术导则 生态影响》（HJ19-2022）中“6.1评价等级判定”要求中</w:t>
      </w:r>
      <w:r>
        <w:rPr>
          <w:rFonts w:hint="eastAsia" w:eastAsia="宋体" w:cs="Times New Roman"/>
          <w:color w:val="FF0000"/>
          <w:spacing w:val="0"/>
          <w:lang w:eastAsia="zh-CN"/>
        </w:rPr>
        <w:t>“</w:t>
      </w:r>
      <w:r>
        <w:rPr>
          <w:rFonts w:hint="eastAsia" w:eastAsia="宋体" w:cs="Times New Roman"/>
          <w:color w:val="FF0000"/>
          <w:spacing w:val="0"/>
          <w:lang w:val="en-US" w:eastAsia="zh-CN"/>
        </w:rPr>
        <w:t>6.1.6线性工程可分段确定评价等级。线性工程地下穿越或地表跨越生态敏感区，在生态敏感区范围内无永久、临时占地时，评价等级可下调一级。</w:t>
      </w:r>
      <w:r>
        <w:rPr>
          <w:rFonts w:hint="eastAsia" w:eastAsia="宋体" w:cs="Times New Roman"/>
          <w:color w:val="FF0000"/>
          <w:spacing w:val="0"/>
          <w:lang w:eastAsia="zh-CN"/>
        </w:rPr>
        <w:t>”</w:t>
      </w:r>
      <w:r>
        <w:rPr>
          <w:rFonts w:hint="default" w:ascii="Times New Roman" w:hAnsi="Times New Roman" w:eastAsia="宋体" w:cs="Times New Roman"/>
          <w:color w:val="FF0000"/>
          <w:spacing w:val="0"/>
        </w:rPr>
        <w:t>“6.1.8符合生态环境分区管控要求且位于原厂界（或永久用地）范围内的污染影响类改扩建项目，位于已批准规划环评的产业园区内且符合规划环评要求、不涉及生态敏感区的污染影响类建设项目，可不确定评价等级，直接进行生态影响简单分析。”本项目</w:t>
      </w:r>
      <w:r>
        <w:rPr>
          <w:rFonts w:hint="eastAsia" w:eastAsia="宋体" w:cs="Times New Roman"/>
          <w:color w:val="FF0000"/>
          <w:spacing w:val="0"/>
          <w:lang w:val="en-US" w:eastAsia="zh-CN"/>
        </w:rPr>
        <w:t>锅炉改建等</w:t>
      </w:r>
      <w:r>
        <w:rPr>
          <w:rFonts w:hint="default" w:ascii="Times New Roman" w:hAnsi="Times New Roman" w:eastAsia="宋体" w:cs="Times New Roman"/>
          <w:color w:val="FF0000"/>
          <w:spacing w:val="0"/>
        </w:rPr>
        <w:t>在原有厂区永久占地范围内</w:t>
      </w:r>
      <w:r>
        <w:rPr>
          <w:rFonts w:hint="eastAsia" w:ascii="Times New Roman" w:hAnsi="Times New Roman" w:eastAsia="宋体" w:cs="Times New Roman"/>
          <w:color w:val="FF0000"/>
          <w:spacing w:val="0"/>
        </w:rPr>
        <w:t>建设</w:t>
      </w:r>
      <w:r>
        <w:rPr>
          <w:rFonts w:hint="default" w:ascii="Times New Roman" w:hAnsi="Times New Roman" w:eastAsia="宋体" w:cs="Times New Roman"/>
          <w:color w:val="FF0000"/>
          <w:spacing w:val="0"/>
        </w:rPr>
        <w:t>，不新增占地，直接进行生态影响简单分析。</w:t>
      </w:r>
      <w:r>
        <w:rPr>
          <w:rFonts w:hint="eastAsia" w:eastAsia="宋体" w:cs="Times New Roman"/>
          <w:color w:val="FF0000"/>
          <w:spacing w:val="0"/>
          <w:lang w:val="en-US" w:eastAsia="zh-CN"/>
        </w:rPr>
        <w:t>同时，本项目涉及现有管线的维修，维修段不涉及生态敏感区，仅在现有管线附近临时占地进行维修更新等，评价等级下调一级。综上，本次项目生态环境影响评价</w:t>
      </w:r>
      <w:r>
        <w:rPr>
          <w:rFonts w:hint="default" w:ascii="Times New Roman" w:hAnsi="Times New Roman" w:eastAsia="宋体" w:cs="Times New Roman"/>
          <w:color w:val="FF0000"/>
          <w:spacing w:val="0"/>
        </w:rPr>
        <w:t>进行生态影响简单分析</w:t>
      </w:r>
      <w:r>
        <w:rPr>
          <w:rFonts w:hint="eastAsia" w:eastAsia="宋体" w:cs="Times New Roman"/>
          <w:color w:val="FF0000"/>
          <w:spacing w:val="0"/>
          <w:lang w:eastAsia="zh-CN"/>
        </w:rPr>
        <w:t>。</w:t>
      </w:r>
    </w:p>
    <w:p w14:paraId="2133BD57">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（2）评价范围</w:t>
      </w:r>
    </w:p>
    <w:p w14:paraId="7D3ECA32">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依据《环境影响评价技术导则 生态影响》（HJ19-2022）中“6.2评价范围确定”要求：本项目生态环境评价范围为厂界外300m范围。</w:t>
      </w:r>
    </w:p>
    <w:p w14:paraId="202CC44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67" w:name="_Toc4530"/>
      <w:bookmarkStart w:id="168" w:name="_Toc9992"/>
      <w:bookmarkStart w:id="169" w:name="_Toc13044"/>
      <w:bookmarkStart w:id="170" w:name="_Toc8817"/>
      <w:r>
        <w:rPr>
          <w:rFonts w:hint="eastAsia" w:ascii="Times New Roman" w:hAnsi="Times New Roman" w:eastAsia="宋体" w:cs="Times New Roman"/>
          <w:b/>
          <w:bCs/>
          <w:color w:val="auto"/>
          <w:sz w:val="28"/>
          <w:szCs w:val="28"/>
          <w:lang w:val="en-US" w:eastAsia="zh-CN"/>
        </w:rPr>
        <w:t>2.4.7 环境风险</w:t>
      </w:r>
      <w:bookmarkEnd w:id="165"/>
      <w:bookmarkEnd w:id="166"/>
      <w:bookmarkEnd w:id="167"/>
      <w:bookmarkEnd w:id="168"/>
      <w:bookmarkEnd w:id="169"/>
      <w:bookmarkEnd w:id="170"/>
    </w:p>
    <w:p w14:paraId="6720881A">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1、建设项目风险源调查</w:t>
      </w:r>
    </w:p>
    <w:p w14:paraId="16B03E29">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建设项目环境风险评价技术导则》（HJ169-2018）的规定，建设项目环境风险评价工作等级分为一级、二级和三级。根据建设项目涉及的物质及工艺系统危险性和所在地的环境敏感性确定环境风险潜势，按照下表确定评价工作等级。风险潜势为Ⅳ及以上，进行一级评价；风险潜势为Ⅲ，进行二级评价；风险潜势为Ⅱ，进行三级评价；风险潜势为Ⅰ，可开展简单分析。</w:t>
      </w:r>
    </w:p>
    <w:p w14:paraId="54C1E61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表2.4-1</w:t>
      </w:r>
      <w:r>
        <w:rPr>
          <w:rFonts w:hint="eastAsia" w:eastAsia="宋体" w:cs="Times New Roman"/>
          <w:b/>
          <w:bCs/>
          <w:color w:val="auto"/>
          <w:sz w:val="24"/>
          <w:szCs w:val="24"/>
          <w:lang w:val="en-US" w:eastAsia="zh-CN"/>
        </w:rPr>
        <w:t>0</w:t>
      </w:r>
      <w:r>
        <w:rPr>
          <w:rFonts w:hint="default"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建设项目环境风险评价工作等级划分一览表（HJ169-2018）</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1"/>
        <w:gridCol w:w="1749"/>
        <w:gridCol w:w="1749"/>
        <w:gridCol w:w="1749"/>
        <w:gridCol w:w="1754"/>
      </w:tblGrid>
      <w:tr w14:paraId="74131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6A5EE3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环境风险潜势</w:t>
            </w:r>
          </w:p>
        </w:tc>
        <w:tc>
          <w:tcPr>
            <w:tcW w:w="1026" w:type="pct"/>
            <w:tcBorders>
              <w:tl2br w:val="nil"/>
              <w:tr2bl w:val="nil"/>
            </w:tcBorders>
            <w:vAlign w:val="center"/>
          </w:tcPr>
          <w:p w14:paraId="7CA9D6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Ⅳ、Ⅳ</w:t>
            </w:r>
            <w:r>
              <w:rPr>
                <w:rFonts w:hint="eastAsia" w:ascii="Times New Roman" w:hAnsi="Times New Roman" w:eastAsia="宋体" w:cs="Times New Roman"/>
                <w:color w:val="auto"/>
                <w:sz w:val="21"/>
                <w:szCs w:val="21"/>
                <w:vertAlign w:val="superscript"/>
                <w:lang w:val="en-US" w:eastAsia="zh-CN"/>
              </w:rPr>
              <w:t>+</w:t>
            </w:r>
          </w:p>
        </w:tc>
        <w:tc>
          <w:tcPr>
            <w:tcW w:w="1026" w:type="pct"/>
            <w:tcBorders>
              <w:tl2br w:val="nil"/>
              <w:tr2bl w:val="nil"/>
            </w:tcBorders>
            <w:vAlign w:val="center"/>
          </w:tcPr>
          <w:p w14:paraId="787D89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Ⅲ</w:t>
            </w:r>
          </w:p>
        </w:tc>
        <w:tc>
          <w:tcPr>
            <w:tcW w:w="1026" w:type="pct"/>
            <w:tcBorders>
              <w:tl2br w:val="nil"/>
              <w:tr2bl w:val="nil"/>
            </w:tcBorders>
            <w:vAlign w:val="center"/>
          </w:tcPr>
          <w:p w14:paraId="46D030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Ⅱ</w:t>
            </w:r>
          </w:p>
        </w:tc>
        <w:tc>
          <w:tcPr>
            <w:tcW w:w="1027" w:type="pct"/>
            <w:tcBorders>
              <w:tl2br w:val="nil"/>
              <w:tr2bl w:val="nil"/>
            </w:tcBorders>
            <w:vAlign w:val="center"/>
          </w:tcPr>
          <w:p w14:paraId="6E5F38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Ⅰ</w:t>
            </w:r>
          </w:p>
        </w:tc>
      </w:tr>
      <w:tr w14:paraId="49D4C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500570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评价工作等级</w:t>
            </w:r>
          </w:p>
        </w:tc>
        <w:tc>
          <w:tcPr>
            <w:tcW w:w="1026" w:type="pct"/>
            <w:tcBorders>
              <w:tl2br w:val="nil"/>
              <w:tr2bl w:val="nil"/>
            </w:tcBorders>
            <w:vAlign w:val="center"/>
          </w:tcPr>
          <w:p w14:paraId="2F6DD7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w:t>
            </w:r>
          </w:p>
        </w:tc>
        <w:tc>
          <w:tcPr>
            <w:tcW w:w="1026" w:type="pct"/>
            <w:tcBorders>
              <w:tl2br w:val="nil"/>
              <w:tr2bl w:val="nil"/>
            </w:tcBorders>
            <w:vAlign w:val="center"/>
          </w:tcPr>
          <w:p w14:paraId="57C684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w:t>
            </w:r>
          </w:p>
        </w:tc>
        <w:tc>
          <w:tcPr>
            <w:tcW w:w="1026" w:type="pct"/>
            <w:tcBorders>
              <w:tl2br w:val="nil"/>
              <w:tr2bl w:val="nil"/>
            </w:tcBorders>
            <w:vAlign w:val="center"/>
          </w:tcPr>
          <w:p w14:paraId="055F97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w:t>
            </w:r>
          </w:p>
        </w:tc>
        <w:tc>
          <w:tcPr>
            <w:tcW w:w="1027" w:type="pct"/>
            <w:tcBorders>
              <w:tl2br w:val="nil"/>
              <w:tr2bl w:val="nil"/>
            </w:tcBorders>
            <w:vAlign w:val="center"/>
          </w:tcPr>
          <w:p w14:paraId="277150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简单分析a</w:t>
            </w:r>
          </w:p>
        </w:tc>
      </w:tr>
      <w:tr w14:paraId="30ED5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5"/>
            <w:tcBorders>
              <w:tl2br w:val="nil"/>
              <w:tr2bl w:val="nil"/>
            </w:tcBorders>
            <w:vAlign w:val="center"/>
          </w:tcPr>
          <w:p w14:paraId="661BDE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a：是相对于详细评价工作内容而言，在描述危险物质、环境影响用途、环境危害后果、风险防范措施等方面给出定性的说明。</w:t>
            </w:r>
          </w:p>
        </w:tc>
      </w:tr>
    </w:tbl>
    <w:p w14:paraId="4868E432">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本项目所涉及的危险物质主要有轻柴油</w:t>
      </w:r>
      <w:r>
        <w:rPr>
          <w:rFonts w:hint="eastAsia" w:ascii="Times New Roman" w:hAnsi="Times New Roman" w:eastAsia="宋体" w:cs="Times New Roman"/>
          <w:color w:val="auto"/>
          <w:spacing w:val="0"/>
        </w:rPr>
        <w:t>和</w:t>
      </w:r>
      <w:r>
        <w:rPr>
          <w:rFonts w:hint="eastAsia" w:ascii="Times New Roman" w:hAnsi="Times New Roman" w:eastAsia="宋体" w:cs="Times New Roman"/>
          <w:color w:val="auto"/>
          <w:spacing w:val="0"/>
          <w:lang w:val="en-US" w:eastAsia="zh-CN"/>
        </w:rPr>
        <w:t>废矿物油</w:t>
      </w:r>
      <w:r>
        <w:rPr>
          <w:rFonts w:hint="default" w:ascii="Times New Roman" w:hAnsi="Times New Roman" w:eastAsia="宋体" w:cs="Times New Roman"/>
          <w:color w:val="auto"/>
          <w:spacing w:val="0"/>
        </w:rPr>
        <w:t>。本项目厂区内不设储油罐，由燃油公司的油罐车将柴油直接运至厂区内，柴油经燃油泵升压点火即可满足点火要求，全厂轻柴油点火最大使用量为1</w:t>
      </w:r>
      <w:r>
        <w:rPr>
          <w:rFonts w:hint="eastAsia" w:ascii="Times New Roman" w:hAnsi="Times New Roman" w:eastAsia="宋体" w:cs="Times New Roman"/>
          <w:color w:val="auto"/>
          <w:spacing w:val="0"/>
          <w:lang w:val="en-US" w:eastAsia="zh-CN"/>
        </w:rPr>
        <w:t>t</w:t>
      </w:r>
      <w:r>
        <w:rPr>
          <w:rFonts w:hint="default" w:ascii="Times New Roman" w:hAnsi="Times New Roman" w:eastAsia="宋体" w:cs="Times New Roman"/>
          <w:color w:val="auto"/>
          <w:spacing w:val="0"/>
        </w:rPr>
        <w:t>/次</w:t>
      </w:r>
      <w:r>
        <w:rPr>
          <w:rFonts w:hint="eastAsia" w:ascii="Times New Roman" w:hAnsi="Times New Roman" w:eastAsia="宋体" w:cs="Times New Roman"/>
          <w:color w:val="auto"/>
          <w:spacing w:val="0"/>
          <w:lang w:eastAsia="zh-CN"/>
        </w:rPr>
        <w:t>，</w:t>
      </w:r>
      <w:r>
        <w:rPr>
          <w:rFonts w:hint="eastAsia" w:ascii="Times New Roman" w:hAnsi="Times New Roman" w:eastAsia="宋体" w:cs="Times New Roman"/>
          <w:color w:val="auto"/>
          <w:spacing w:val="0"/>
          <w:lang w:val="en-US" w:eastAsia="zh-CN"/>
        </w:rPr>
        <w:t>废矿物油主要为机械维修产生的废机油0.</w:t>
      </w:r>
      <w:r>
        <w:rPr>
          <w:rFonts w:hint="eastAsia" w:eastAsia="宋体" w:cs="Times New Roman"/>
          <w:color w:val="auto"/>
          <w:spacing w:val="0"/>
          <w:lang w:val="en-US" w:eastAsia="zh-CN"/>
        </w:rPr>
        <w:t>2</w:t>
      </w:r>
      <w:r>
        <w:rPr>
          <w:rFonts w:hint="eastAsia" w:ascii="Times New Roman" w:hAnsi="Times New Roman" w:eastAsia="宋体" w:cs="Times New Roman"/>
          <w:color w:val="auto"/>
          <w:spacing w:val="0"/>
          <w:lang w:val="en-US" w:eastAsia="zh-CN"/>
        </w:rPr>
        <w:t>t/a</w:t>
      </w:r>
      <w:r>
        <w:rPr>
          <w:rFonts w:hint="default" w:ascii="Times New Roman" w:hAnsi="Times New Roman" w:eastAsia="宋体" w:cs="Times New Roman"/>
          <w:color w:val="auto"/>
          <w:spacing w:val="0"/>
        </w:rPr>
        <w:t>。</w:t>
      </w:r>
    </w:p>
    <w:p w14:paraId="7AC7316C">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2、危险物质及工艺系统危险性（P）分级</w:t>
      </w:r>
    </w:p>
    <w:p w14:paraId="30B466EB">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根据《建设项目环境风险评价技术导则》（HJ169-2018）中“6.2 P的分级确定”可知，应分析建设项目生产、使用、储存过程中涉及的有毒有害、易燃易爆物质，参见“附录B重点关注的危险物质及临界量”确定危险物质的临界量。定量分析危险物质数量与临界量的比值（Q）和所属行业及生产工艺特点（M），按“附录C危险物质及工艺系统危险性（P）的分级”对危险物质及工艺系统危险性（P）等级进行判断。</w:t>
      </w:r>
    </w:p>
    <w:p w14:paraId="50D380FF">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①危险物质数量与临界量比值（Q）</w:t>
      </w:r>
    </w:p>
    <w:p w14:paraId="7991F831">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根据《建设项目环境风险评价技术导则》（HJ169-2018）中“附录C中C.1.1可知，应计算所涉及的每种危险物质在厂界内的最大存在总量与其在导则中附录B中对应临界量的比值Q。在不同厂区的同一种物质，按其在厂界内的最大存在总量计算。当只涉及一种危险物质时，计算该物质的总量与其临界量比值，即为Q；当存在多种危险物质时，则按下式计算物质总量与其临界量比值(Q)：</w:t>
      </w:r>
    </w:p>
    <w:p w14:paraId="14402606">
      <w:pPr>
        <w:ind w:firstLine="0" w:firstLineChars="0"/>
        <w:jc w:val="center"/>
        <w:rPr>
          <w:rFonts w:ascii="Times New Roman" w:hAnsi="Times New Roman" w:eastAsia="宋体" w:cs="Times New Roman"/>
          <w:color w:val="auto"/>
          <w:spacing w:val="-2"/>
          <w:szCs w:val="24"/>
        </w:rPr>
      </w:pPr>
      <w:r>
        <w:rPr>
          <w:rFonts w:ascii="Times New Roman" w:hAnsi="Times New Roman" w:eastAsia="宋体" w:cs="Times New Roman"/>
          <w:color w:val="auto"/>
          <w:szCs w:val="24"/>
        </w:rPr>
        <w:drawing>
          <wp:inline distT="0" distB="0" distL="114300" distR="114300">
            <wp:extent cx="1941195" cy="490855"/>
            <wp:effectExtent l="0" t="0" r="1905" b="444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7"/>
                    <a:stretch>
                      <a:fillRect/>
                    </a:stretch>
                  </pic:blipFill>
                  <pic:spPr>
                    <a:xfrm>
                      <a:off x="0" y="0"/>
                      <a:ext cx="1941195" cy="490855"/>
                    </a:xfrm>
                    <a:prstGeom prst="rect">
                      <a:avLst/>
                    </a:prstGeom>
                    <a:noFill/>
                    <a:ln>
                      <a:noFill/>
                    </a:ln>
                  </pic:spPr>
                </pic:pic>
              </a:graphicData>
            </a:graphic>
          </wp:inline>
        </w:drawing>
      </w:r>
    </w:p>
    <w:p w14:paraId="6DA82DBE">
      <w:pPr>
        <w:keepNext w:val="0"/>
        <w:keepLines w:val="0"/>
        <w:pageBreakBefore w:val="0"/>
        <w:widowControl w:val="0"/>
        <w:kinsoku/>
        <w:wordWrap/>
        <w:overflowPunct/>
        <w:topLinePunct w:val="0"/>
        <w:autoSpaceDE/>
        <w:autoSpaceDN/>
        <w:bidi w:val="0"/>
        <w:adjustRightInd/>
        <w:snapToGrid/>
        <w:spacing w:line="500" w:lineRule="exact"/>
        <w:ind w:firstLine="472"/>
        <w:textAlignment w:val="auto"/>
        <w:rPr>
          <w:rFonts w:ascii="Times New Roman" w:hAnsi="Times New Roman" w:eastAsia="宋体" w:cs="Times New Roman"/>
          <w:color w:val="auto"/>
          <w:spacing w:val="-2"/>
          <w:szCs w:val="24"/>
        </w:rPr>
      </w:pPr>
      <w:r>
        <w:rPr>
          <w:rFonts w:ascii="Times New Roman" w:hAnsi="Times New Roman" w:eastAsia="宋体" w:cs="Times New Roman"/>
          <w:color w:val="auto"/>
          <w:spacing w:val="-2"/>
          <w:szCs w:val="24"/>
        </w:rPr>
        <w:t>式中，q</w:t>
      </w:r>
      <w:r>
        <w:rPr>
          <w:rFonts w:ascii="Times New Roman" w:hAnsi="Times New Roman" w:eastAsia="宋体" w:cs="Times New Roman"/>
          <w:color w:val="auto"/>
          <w:spacing w:val="-2"/>
          <w:szCs w:val="24"/>
          <w:vertAlign w:val="subscript"/>
        </w:rPr>
        <w:t>n</w:t>
      </w:r>
      <w:r>
        <w:rPr>
          <w:rFonts w:ascii="Times New Roman" w:hAnsi="Times New Roman" w:eastAsia="宋体" w:cs="Times New Roman"/>
          <w:color w:val="auto"/>
          <w:spacing w:val="-2"/>
          <w:szCs w:val="24"/>
        </w:rPr>
        <w:t>：每种危险物质的最大存在总量，t；Q</w:t>
      </w:r>
      <w:r>
        <w:rPr>
          <w:rFonts w:ascii="Times New Roman" w:hAnsi="Times New Roman" w:eastAsia="宋体" w:cs="Times New Roman"/>
          <w:color w:val="auto"/>
          <w:spacing w:val="-2"/>
          <w:szCs w:val="24"/>
          <w:vertAlign w:val="subscript"/>
        </w:rPr>
        <w:t>n</w:t>
      </w:r>
      <w:r>
        <w:rPr>
          <w:rFonts w:ascii="Times New Roman" w:hAnsi="Times New Roman" w:eastAsia="宋体" w:cs="Times New Roman"/>
          <w:color w:val="auto"/>
          <w:spacing w:val="-2"/>
          <w:szCs w:val="24"/>
        </w:rPr>
        <w:t>：每种危险物质的临界量，t。</w:t>
      </w:r>
    </w:p>
    <w:p w14:paraId="176B0D76">
      <w:pPr>
        <w:keepNext w:val="0"/>
        <w:keepLines w:val="0"/>
        <w:pageBreakBefore w:val="0"/>
        <w:widowControl w:val="0"/>
        <w:kinsoku/>
        <w:wordWrap/>
        <w:overflowPunct/>
        <w:topLinePunct w:val="0"/>
        <w:autoSpaceDE/>
        <w:autoSpaceDN/>
        <w:bidi w:val="0"/>
        <w:adjustRightInd/>
        <w:snapToGrid/>
        <w:spacing w:line="500" w:lineRule="exact"/>
        <w:ind w:firstLine="472"/>
        <w:textAlignment w:val="auto"/>
        <w:rPr>
          <w:rFonts w:ascii="Times New Roman" w:hAnsi="Times New Roman" w:eastAsia="宋体" w:cs="Times New Roman"/>
          <w:color w:val="auto"/>
          <w:spacing w:val="-2"/>
          <w:szCs w:val="24"/>
        </w:rPr>
      </w:pPr>
      <w:r>
        <w:rPr>
          <w:rFonts w:ascii="Times New Roman" w:hAnsi="Times New Roman" w:eastAsia="宋体" w:cs="Times New Roman"/>
          <w:color w:val="auto"/>
          <w:spacing w:val="-2"/>
          <w:szCs w:val="24"/>
        </w:rPr>
        <w:t>当Q＜1时，该项目环境风险潜势为Ⅰ；当Q≥1时，将Q值划分为1≤Q＜10，10≤Q＜100，Q≥100。</w:t>
      </w:r>
    </w:p>
    <w:p w14:paraId="25DAA442">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rPr>
      </w:pPr>
      <w:r>
        <w:rPr>
          <w:rFonts w:hint="eastAsia" w:ascii="Times New Roman" w:hAnsi="Times New Roman" w:eastAsia="宋体" w:cs="Times New Roman"/>
          <w:color w:val="auto"/>
          <w:spacing w:val="-2"/>
          <w:szCs w:val="24"/>
        </w:rPr>
        <w:t>根据项目使用的原辅材料、产品、污染物，火灾伴生物等，对照《建设项目环境风险评价技术导则》(HJ169-2018）附录B表B.1，本项目涉及到的风险物质是油类物质。</w:t>
      </w:r>
    </w:p>
    <w:p w14:paraId="444FAEEC">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ascii="Times New Roman" w:hAnsi="Times New Roman" w:eastAsia="宋体" w:cs="Times New Roman"/>
          <w:color w:val="auto"/>
          <w:spacing w:val="-2"/>
          <w:szCs w:val="24"/>
        </w:rPr>
      </w:pPr>
      <w:r>
        <w:rPr>
          <w:rFonts w:hint="eastAsia" w:ascii="Times New Roman" w:hAnsi="Times New Roman" w:eastAsia="宋体" w:cs="Times New Roman"/>
          <w:color w:val="auto"/>
          <w:spacing w:val="-2"/>
          <w:szCs w:val="24"/>
        </w:rPr>
        <w:t>根据以上物质危险特性，参照《建设项目环境风险评价技术导则》（HJ169-2018）中物质危险性标准分类原则，本项目所涉及的物质属于可燃和易燃物质（矿物油类，如石油、汽油、柴油等；生物柴油等）、有毒有害物质，废矿物油最大存储量为0.</w:t>
      </w:r>
      <w:r>
        <w:rPr>
          <w:rFonts w:hint="eastAsia" w:ascii="Times New Roman" w:hAnsi="Times New Roman" w:eastAsia="宋体" w:cs="Times New Roman"/>
          <w:color w:val="auto"/>
          <w:spacing w:val="-2"/>
          <w:szCs w:val="24"/>
          <w:lang w:val="en-US" w:eastAsia="zh-CN"/>
        </w:rPr>
        <w:t>2</w:t>
      </w:r>
      <w:r>
        <w:rPr>
          <w:rFonts w:hint="eastAsia" w:ascii="Times New Roman" w:hAnsi="Times New Roman" w:eastAsia="宋体" w:cs="Times New Roman"/>
          <w:color w:val="auto"/>
          <w:spacing w:val="-2"/>
          <w:szCs w:val="24"/>
        </w:rPr>
        <w:t>t</w:t>
      </w:r>
      <w:r>
        <w:rPr>
          <w:rFonts w:hint="eastAsia" w:ascii="Times New Roman" w:hAnsi="Times New Roman" w:eastAsia="宋体" w:cs="Times New Roman"/>
          <w:color w:val="auto"/>
          <w:spacing w:val="-2"/>
          <w:szCs w:val="24"/>
          <w:lang w:eastAsia="zh-CN"/>
        </w:rPr>
        <w:t>。本项目厂区内不设储油罐，由燃油公司的油罐车将柴油直接运至厂区内，柴油经燃油泵升压点火即可满足点火要求，全厂轻柴油点火最大使用量为1</w:t>
      </w:r>
      <w:r>
        <w:rPr>
          <w:rFonts w:hint="eastAsia" w:ascii="Times New Roman" w:hAnsi="Times New Roman" w:eastAsia="宋体" w:cs="Times New Roman"/>
          <w:color w:val="auto"/>
          <w:spacing w:val="-2"/>
          <w:szCs w:val="24"/>
          <w:lang w:val="en-US" w:eastAsia="zh-CN"/>
        </w:rPr>
        <w:t>t</w:t>
      </w:r>
      <w:r>
        <w:rPr>
          <w:rFonts w:hint="eastAsia" w:ascii="Times New Roman" w:hAnsi="Times New Roman" w:eastAsia="宋体" w:cs="Times New Roman"/>
          <w:color w:val="auto"/>
          <w:spacing w:val="-2"/>
          <w:szCs w:val="24"/>
          <w:lang w:eastAsia="zh-CN"/>
        </w:rPr>
        <w:t>/次</w:t>
      </w:r>
      <w:r>
        <w:rPr>
          <w:rFonts w:hint="eastAsia" w:ascii="Times New Roman" w:hAnsi="Times New Roman" w:eastAsia="宋体" w:cs="Times New Roman"/>
          <w:color w:val="auto"/>
          <w:spacing w:val="-2"/>
          <w:szCs w:val="24"/>
        </w:rPr>
        <w:t>。</w:t>
      </w:r>
    </w:p>
    <w:p w14:paraId="1E292A48">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本项目危险物质最大存在总量和临界量的比值Q情况见表</w:t>
      </w:r>
      <w:r>
        <w:rPr>
          <w:rFonts w:hint="eastAsia" w:ascii="Times New Roman" w:hAnsi="Times New Roman" w:eastAsia="宋体" w:cs="Times New Roman"/>
          <w:color w:val="auto"/>
          <w:spacing w:val="-2"/>
          <w:szCs w:val="24"/>
          <w:lang w:val="en-US" w:eastAsia="zh-CN"/>
        </w:rPr>
        <w:t>2.4</w:t>
      </w:r>
      <w:r>
        <w:rPr>
          <w:rFonts w:hint="eastAsia" w:ascii="Times New Roman" w:hAnsi="Times New Roman" w:eastAsia="宋体" w:cs="Times New Roman"/>
          <w:color w:val="auto"/>
          <w:spacing w:val="-2"/>
          <w:szCs w:val="24"/>
          <w:lang w:eastAsia="zh-CN"/>
        </w:rPr>
        <w:t>-1</w:t>
      </w:r>
      <w:r>
        <w:rPr>
          <w:rFonts w:hint="eastAsia" w:ascii="Times New Roman" w:hAnsi="Times New Roman" w:eastAsia="宋体" w:cs="Times New Roman"/>
          <w:color w:val="auto"/>
          <w:spacing w:val="-2"/>
          <w:szCs w:val="24"/>
          <w:lang w:val="en-US" w:eastAsia="zh-CN"/>
        </w:rPr>
        <w:t>2</w:t>
      </w:r>
      <w:r>
        <w:rPr>
          <w:rFonts w:hint="eastAsia" w:ascii="Times New Roman" w:hAnsi="Times New Roman" w:eastAsia="宋体" w:cs="Times New Roman"/>
          <w:color w:val="auto"/>
          <w:spacing w:val="-2"/>
          <w:szCs w:val="24"/>
          <w:lang w:eastAsia="zh-CN"/>
        </w:rPr>
        <w:t>，通过计算可知本项目危险物质数量与临界量比值Q=</w:t>
      </w:r>
      <w:r>
        <w:rPr>
          <w:rFonts w:hint="eastAsia" w:ascii="Times New Roman" w:hAnsi="Times New Roman" w:eastAsia="宋体" w:cs="Times New Roman"/>
          <w:color w:val="auto"/>
          <w:spacing w:val="-2"/>
          <w:szCs w:val="24"/>
          <w:lang w:val="en-US" w:eastAsia="zh-CN"/>
        </w:rPr>
        <w:t>0.00044</w:t>
      </w:r>
      <w:r>
        <w:rPr>
          <w:rFonts w:hint="eastAsia" w:ascii="Times New Roman" w:hAnsi="Times New Roman" w:eastAsia="宋体" w:cs="Times New Roman"/>
          <w:color w:val="auto"/>
          <w:spacing w:val="-2"/>
          <w:szCs w:val="24"/>
          <w:lang w:eastAsia="zh-CN"/>
        </w:rPr>
        <w:t>，Q＜</w:t>
      </w:r>
      <w:r>
        <w:rPr>
          <w:rFonts w:hint="eastAsia" w:ascii="Times New Roman" w:hAnsi="Times New Roman" w:eastAsia="宋体" w:cs="Times New Roman"/>
          <w:color w:val="auto"/>
          <w:spacing w:val="-2"/>
          <w:szCs w:val="24"/>
          <w:lang w:val="en-US" w:eastAsia="zh-CN"/>
        </w:rPr>
        <w:t>1</w:t>
      </w:r>
      <w:r>
        <w:rPr>
          <w:rFonts w:hint="eastAsia" w:ascii="Times New Roman" w:hAnsi="Times New Roman" w:eastAsia="宋体" w:cs="Times New Roman"/>
          <w:color w:val="auto"/>
          <w:spacing w:val="-2"/>
          <w:szCs w:val="24"/>
          <w:lang w:eastAsia="zh-CN"/>
        </w:rPr>
        <w:t>。</w:t>
      </w:r>
    </w:p>
    <w:p w14:paraId="0FE9EEFB">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表2.4-1</w:t>
      </w:r>
      <w:r>
        <w:rPr>
          <w:rFonts w:hint="eastAsia" w:eastAsia="宋体" w:cs="Times New Roman"/>
          <w:b/>
          <w:bCs/>
          <w:color w:val="auto"/>
          <w:sz w:val="24"/>
          <w:szCs w:val="24"/>
          <w:lang w:val="en-US" w:eastAsia="zh-CN"/>
        </w:rPr>
        <w:t>1</w:t>
      </w:r>
      <w:r>
        <w:rPr>
          <w:rFonts w:hint="default" w:ascii="Times New Roman" w:hAnsi="Times New Roman" w:eastAsia="宋体" w:cs="Times New Roman"/>
          <w:b/>
          <w:bCs/>
          <w:color w:val="auto"/>
          <w:sz w:val="24"/>
          <w:szCs w:val="24"/>
          <w:lang w:eastAsia="zh-CN"/>
        </w:rPr>
        <w:t xml:space="preserve">  本项目Q值确定表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8"/>
        <w:gridCol w:w="1491"/>
        <w:gridCol w:w="1072"/>
        <w:gridCol w:w="2028"/>
        <w:gridCol w:w="1336"/>
        <w:gridCol w:w="1924"/>
      </w:tblGrid>
      <w:tr w14:paraId="4D7BC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2" w:type="pct"/>
            <w:tcBorders>
              <w:tl2br w:val="nil"/>
              <w:tr2bl w:val="nil"/>
            </w:tcBorders>
            <w:vAlign w:val="center"/>
          </w:tcPr>
          <w:p w14:paraId="2C0DEA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875" w:type="pct"/>
            <w:tcBorders>
              <w:tl2br w:val="nil"/>
              <w:tr2bl w:val="nil"/>
            </w:tcBorders>
            <w:vAlign w:val="center"/>
          </w:tcPr>
          <w:p w14:paraId="0EFF63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危险物质名称</w:t>
            </w:r>
          </w:p>
        </w:tc>
        <w:tc>
          <w:tcPr>
            <w:tcW w:w="629" w:type="pct"/>
            <w:tcBorders>
              <w:tl2br w:val="nil"/>
              <w:tr2bl w:val="nil"/>
            </w:tcBorders>
            <w:vAlign w:val="center"/>
          </w:tcPr>
          <w:p w14:paraId="1BC181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CAS号</w:t>
            </w:r>
          </w:p>
        </w:tc>
        <w:tc>
          <w:tcPr>
            <w:tcW w:w="1190" w:type="pct"/>
            <w:tcBorders>
              <w:tl2br w:val="nil"/>
              <w:tr2bl w:val="nil"/>
            </w:tcBorders>
            <w:vAlign w:val="center"/>
          </w:tcPr>
          <w:p w14:paraId="65AEB7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最大存在总量qn/t</w:t>
            </w:r>
          </w:p>
        </w:tc>
        <w:tc>
          <w:tcPr>
            <w:tcW w:w="783" w:type="pct"/>
            <w:tcBorders>
              <w:tl2br w:val="nil"/>
              <w:tr2bl w:val="nil"/>
            </w:tcBorders>
            <w:vAlign w:val="center"/>
          </w:tcPr>
          <w:p w14:paraId="5EA45C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临界值Qn/t</w:t>
            </w:r>
          </w:p>
        </w:tc>
        <w:tc>
          <w:tcPr>
            <w:tcW w:w="1129" w:type="pct"/>
            <w:tcBorders>
              <w:tl2br w:val="nil"/>
              <w:tr2bl w:val="nil"/>
            </w:tcBorders>
            <w:vAlign w:val="center"/>
          </w:tcPr>
          <w:p w14:paraId="19260D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该种危险物质Q值</w:t>
            </w:r>
          </w:p>
        </w:tc>
      </w:tr>
      <w:tr w14:paraId="285B9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2" w:type="pct"/>
            <w:tcBorders>
              <w:tl2br w:val="nil"/>
              <w:tr2bl w:val="nil"/>
            </w:tcBorders>
            <w:vAlign w:val="center"/>
          </w:tcPr>
          <w:p w14:paraId="1F1263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875" w:type="pct"/>
            <w:tcBorders>
              <w:tl2br w:val="nil"/>
              <w:tr2bl w:val="nil"/>
            </w:tcBorders>
            <w:vAlign w:val="center"/>
          </w:tcPr>
          <w:p w14:paraId="4672DB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油类物质</w:t>
            </w:r>
          </w:p>
        </w:tc>
        <w:tc>
          <w:tcPr>
            <w:tcW w:w="629" w:type="pct"/>
            <w:tcBorders>
              <w:tl2br w:val="nil"/>
              <w:tr2bl w:val="nil"/>
            </w:tcBorders>
            <w:vAlign w:val="center"/>
          </w:tcPr>
          <w:p w14:paraId="4133F0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190" w:type="pct"/>
            <w:tcBorders>
              <w:tl2br w:val="nil"/>
              <w:tr2bl w:val="nil"/>
            </w:tcBorders>
            <w:vAlign w:val="center"/>
          </w:tcPr>
          <w:p w14:paraId="3419E5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r>
              <w:rPr>
                <w:rFonts w:hint="eastAsia" w:eastAsia="宋体" w:cs="Times New Roman"/>
                <w:color w:val="auto"/>
                <w:sz w:val="21"/>
                <w:szCs w:val="21"/>
                <w:lang w:val="en-US" w:eastAsia="zh-CN"/>
              </w:rPr>
              <w:t>2</w:t>
            </w:r>
          </w:p>
        </w:tc>
        <w:tc>
          <w:tcPr>
            <w:tcW w:w="783" w:type="pct"/>
            <w:tcBorders>
              <w:tl2br w:val="nil"/>
              <w:tr2bl w:val="nil"/>
            </w:tcBorders>
            <w:vAlign w:val="center"/>
          </w:tcPr>
          <w:p w14:paraId="4D1AAD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2500</w:t>
            </w:r>
          </w:p>
        </w:tc>
        <w:tc>
          <w:tcPr>
            <w:tcW w:w="1129" w:type="pct"/>
            <w:tcBorders>
              <w:tl2br w:val="nil"/>
              <w:tr2bl w:val="nil"/>
            </w:tcBorders>
            <w:vAlign w:val="center"/>
          </w:tcPr>
          <w:p w14:paraId="1FCE82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0.0004</w:t>
            </w:r>
            <w:r>
              <w:rPr>
                <w:rFonts w:hint="eastAsia" w:eastAsia="宋体" w:cs="Times New Roman"/>
                <w:color w:val="auto"/>
                <w:sz w:val="21"/>
                <w:szCs w:val="21"/>
                <w:lang w:val="en-US" w:eastAsia="zh-CN"/>
              </w:rPr>
              <w:t>8</w:t>
            </w:r>
          </w:p>
        </w:tc>
      </w:tr>
      <w:tr w14:paraId="1F1C9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70" w:type="pct"/>
            <w:gridSpan w:val="5"/>
            <w:tcBorders>
              <w:tl2br w:val="nil"/>
              <w:tr2bl w:val="nil"/>
            </w:tcBorders>
            <w:vAlign w:val="center"/>
          </w:tcPr>
          <w:p w14:paraId="1C351D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项目Q值∑</w:t>
            </w:r>
          </w:p>
        </w:tc>
        <w:tc>
          <w:tcPr>
            <w:tcW w:w="1129" w:type="pct"/>
            <w:tcBorders>
              <w:tl2br w:val="nil"/>
              <w:tr2bl w:val="nil"/>
            </w:tcBorders>
            <w:vAlign w:val="center"/>
          </w:tcPr>
          <w:p w14:paraId="19F1C8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0.0004</w:t>
            </w:r>
            <w:r>
              <w:rPr>
                <w:rFonts w:hint="eastAsia" w:eastAsia="宋体" w:cs="Times New Roman"/>
                <w:color w:val="auto"/>
                <w:sz w:val="21"/>
                <w:szCs w:val="21"/>
                <w:lang w:val="en-US" w:eastAsia="zh-CN"/>
              </w:rPr>
              <w:t>8</w:t>
            </w:r>
          </w:p>
        </w:tc>
      </w:tr>
    </w:tbl>
    <w:p w14:paraId="3544063B">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3、环境风险评价等级判定</w:t>
      </w:r>
    </w:p>
    <w:p w14:paraId="0F690FBA">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根据《建设项目环境风险评价技术导则》（H169-2018），当Q＜1时，该项目环境风险潜势为Ⅰ</w:t>
      </w:r>
      <w:r>
        <w:rPr>
          <w:rFonts w:hint="eastAsia" w:ascii="Times New Roman" w:hAnsi="Times New Roman" w:eastAsia="宋体" w:cs="Times New Roman"/>
          <w:color w:val="auto"/>
          <w:spacing w:val="-2"/>
          <w:szCs w:val="24"/>
          <w:lang w:val="en-US" w:eastAsia="zh-CN"/>
        </w:rPr>
        <w:t>，因此，本项目环境风险评价等级为简单分析</w:t>
      </w:r>
      <w:r>
        <w:rPr>
          <w:rFonts w:hint="eastAsia" w:ascii="Times New Roman" w:hAnsi="Times New Roman" w:eastAsia="宋体" w:cs="Times New Roman"/>
          <w:color w:val="auto"/>
          <w:spacing w:val="-2"/>
          <w:szCs w:val="24"/>
          <w:lang w:eastAsia="zh-CN"/>
        </w:rPr>
        <w:t>。</w:t>
      </w:r>
    </w:p>
    <w:p w14:paraId="15B40004">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1FFF170E">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171" w:name="_Toc29618"/>
      <w:bookmarkStart w:id="172" w:name="_Toc23705"/>
      <w:r>
        <w:rPr>
          <w:rFonts w:hint="eastAsia" w:ascii="Times New Roman" w:hAnsi="Times New Roman" w:cs="Times New Roman"/>
          <w:b/>
          <w:bCs/>
          <w:color w:val="auto"/>
          <w:lang w:val="en-US" w:eastAsia="zh-CN"/>
        </w:rPr>
        <w:t xml:space="preserve">2.5 </w:t>
      </w:r>
      <w:r>
        <w:rPr>
          <w:rFonts w:hint="default" w:ascii="Times New Roman" w:hAnsi="Times New Roman" w:eastAsia="宋体" w:cs="Times New Roman"/>
          <w:b/>
          <w:bCs/>
          <w:color w:val="auto"/>
        </w:rPr>
        <w:t>主要环境保护目标</w:t>
      </w:r>
      <w:bookmarkEnd w:id="171"/>
      <w:bookmarkEnd w:id="172"/>
    </w:p>
    <w:p w14:paraId="27BCAE0D">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本项目评价范围内无国家级、省级、市级自然保护区、风景名胜区、名胜古迹、疗养院以及重要的政治文化设施和饮用水水源保护区等保护目标。本项目表2.5-1中选取距离厂址较近的居民区作为代表性环境空气保护目标；声环境保护目标见表2.5-2，保护目标见图2.5-1。</w:t>
      </w:r>
    </w:p>
    <w:p w14:paraId="243AD394">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表2.5-1  本项目环境保护目标情况表</w:t>
      </w:r>
      <w:r>
        <w:rPr>
          <w:rFonts w:hint="eastAsia" w:ascii="Times New Roman" w:hAnsi="Times New Roman" w:eastAsia="宋体" w:cs="Times New Roman"/>
          <w:b/>
          <w:bCs/>
          <w:color w:val="auto"/>
          <w:sz w:val="24"/>
          <w:szCs w:val="24"/>
          <w:lang w:eastAsia="zh-CN"/>
        </w:rPr>
        <w:t>（</w:t>
      </w:r>
      <w:r>
        <w:rPr>
          <w:rFonts w:hint="eastAsia" w:ascii="Times New Roman" w:hAnsi="Times New Roman" w:eastAsia="宋体" w:cs="Times New Roman"/>
          <w:b/>
          <w:bCs/>
          <w:color w:val="auto"/>
          <w:sz w:val="24"/>
          <w:szCs w:val="24"/>
          <w:lang w:val="en-US" w:eastAsia="zh-CN"/>
        </w:rPr>
        <w:t>保护目标代表点</w:t>
      </w:r>
      <w:r>
        <w:rPr>
          <w:rFonts w:hint="eastAsia" w:ascii="Times New Roman" w:hAnsi="Times New Roman" w:eastAsia="宋体" w:cs="Times New Roman"/>
          <w:b/>
          <w:bCs/>
          <w:color w:val="auto"/>
          <w:sz w:val="24"/>
          <w:szCs w:val="24"/>
          <w:lang w:eastAsia="zh-CN"/>
        </w:rPr>
        <w:t>）</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698"/>
        <w:gridCol w:w="2482"/>
        <w:gridCol w:w="1410"/>
        <w:gridCol w:w="1265"/>
        <w:gridCol w:w="1075"/>
        <w:gridCol w:w="1682"/>
        <w:gridCol w:w="1943"/>
        <w:gridCol w:w="849"/>
        <w:gridCol w:w="1834"/>
      </w:tblGrid>
      <w:tr w14:paraId="2C9CB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restart"/>
            <w:tcBorders>
              <w:tl2br w:val="nil"/>
              <w:tr2bl w:val="nil"/>
            </w:tcBorders>
            <w:vAlign w:val="center"/>
          </w:tcPr>
          <w:p w14:paraId="309BD38B">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环境</w:t>
            </w:r>
          </w:p>
          <w:p w14:paraId="582C77B7">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要素</w:t>
            </w:r>
          </w:p>
        </w:tc>
        <w:tc>
          <w:tcPr>
            <w:tcW w:w="246" w:type="pct"/>
            <w:vMerge w:val="restart"/>
            <w:tcBorders>
              <w:tl2br w:val="nil"/>
              <w:tr2bl w:val="nil"/>
            </w:tcBorders>
            <w:vAlign w:val="center"/>
          </w:tcPr>
          <w:p w14:paraId="63DB05D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序号</w:t>
            </w:r>
          </w:p>
        </w:tc>
        <w:tc>
          <w:tcPr>
            <w:tcW w:w="875" w:type="pct"/>
            <w:vMerge w:val="restart"/>
            <w:tcBorders>
              <w:tl2br w:val="nil"/>
              <w:tr2bl w:val="nil"/>
            </w:tcBorders>
            <w:vAlign w:val="center"/>
          </w:tcPr>
          <w:p w14:paraId="74E612A2">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名称</w:t>
            </w:r>
          </w:p>
        </w:tc>
        <w:tc>
          <w:tcPr>
            <w:tcW w:w="943" w:type="pct"/>
            <w:gridSpan w:val="2"/>
            <w:tcBorders>
              <w:tl2br w:val="nil"/>
              <w:tr2bl w:val="nil"/>
            </w:tcBorders>
            <w:vAlign w:val="center"/>
          </w:tcPr>
          <w:p w14:paraId="2F706403">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坐标</w:t>
            </w:r>
          </w:p>
        </w:tc>
        <w:tc>
          <w:tcPr>
            <w:tcW w:w="379" w:type="pct"/>
            <w:vMerge w:val="restart"/>
            <w:tcBorders>
              <w:tl2br w:val="nil"/>
              <w:tr2bl w:val="nil"/>
            </w:tcBorders>
            <w:vAlign w:val="center"/>
          </w:tcPr>
          <w:p w14:paraId="6D50D8F2">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保护</w:t>
            </w:r>
          </w:p>
          <w:p w14:paraId="0952AAF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对象</w:t>
            </w:r>
          </w:p>
        </w:tc>
        <w:tc>
          <w:tcPr>
            <w:tcW w:w="593" w:type="pct"/>
            <w:vMerge w:val="restart"/>
            <w:tcBorders>
              <w:tl2br w:val="nil"/>
              <w:tr2bl w:val="nil"/>
            </w:tcBorders>
            <w:vAlign w:val="center"/>
          </w:tcPr>
          <w:p w14:paraId="1E11AF73">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保护内容</w:t>
            </w:r>
          </w:p>
        </w:tc>
        <w:tc>
          <w:tcPr>
            <w:tcW w:w="685" w:type="pct"/>
            <w:vMerge w:val="restart"/>
            <w:tcBorders>
              <w:tl2br w:val="nil"/>
              <w:tr2bl w:val="nil"/>
            </w:tcBorders>
            <w:vAlign w:val="center"/>
          </w:tcPr>
          <w:p w14:paraId="19EC90B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环境功能区</w:t>
            </w:r>
          </w:p>
        </w:tc>
        <w:tc>
          <w:tcPr>
            <w:tcW w:w="299" w:type="pct"/>
            <w:vMerge w:val="restart"/>
            <w:tcBorders>
              <w:tl2br w:val="nil"/>
              <w:tr2bl w:val="nil"/>
            </w:tcBorders>
            <w:vAlign w:val="center"/>
          </w:tcPr>
          <w:p w14:paraId="265E9A8E">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相对厂址方位</w:t>
            </w:r>
          </w:p>
        </w:tc>
        <w:tc>
          <w:tcPr>
            <w:tcW w:w="646" w:type="pct"/>
            <w:vMerge w:val="restart"/>
            <w:tcBorders>
              <w:tl2br w:val="nil"/>
              <w:tr2bl w:val="nil"/>
            </w:tcBorders>
            <w:vAlign w:val="center"/>
          </w:tcPr>
          <w:p w14:paraId="1FCA658F">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相对厂界距离约/m</w:t>
            </w:r>
          </w:p>
        </w:tc>
      </w:tr>
      <w:tr w14:paraId="00E72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continue"/>
            <w:tcBorders>
              <w:tl2br w:val="nil"/>
              <w:tr2bl w:val="nil"/>
            </w:tcBorders>
            <w:vAlign w:val="center"/>
          </w:tcPr>
          <w:p w14:paraId="29B0CE1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46" w:type="pct"/>
            <w:vMerge w:val="continue"/>
            <w:tcBorders>
              <w:tl2br w:val="nil"/>
              <w:tr2bl w:val="nil"/>
            </w:tcBorders>
            <w:vAlign w:val="center"/>
          </w:tcPr>
          <w:p w14:paraId="37F40E51">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875" w:type="pct"/>
            <w:vMerge w:val="continue"/>
            <w:tcBorders>
              <w:tl2br w:val="nil"/>
              <w:tr2bl w:val="nil"/>
            </w:tcBorders>
            <w:vAlign w:val="center"/>
          </w:tcPr>
          <w:p w14:paraId="4E580685">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497" w:type="pct"/>
            <w:tcBorders>
              <w:tl2br w:val="nil"/>
              <w:tr2bl w:val="nil"/>
            </w:tcBorders>
            <w:vAlign w:val="center"/>
          </w:tcPr>
          <w:p w14:paraId="5C8EB4E0">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经度</w:t>
            </w:r>
          </w:p>
        </w:tc>
        <w:tc>
          <w:tcPr>
            <w:tcW w:w="446" w:type="pct"/>
            <w:tcBorders>
              <w:tl2br w:val="nil"/>
              <w:tr2bl w:val="nil"/>
            </w:tcBorders>
            <w:vAlign w:val="center"/>
          </w:tcPr>
          <w:p w14:paraId="2995B78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纬度</w:t>
            </w:r>
          </w:p>
        </w:tc>
        <w:tc>
          <w:tcPr>
            <w:tcW w:w="379" w:type="pct"/>
            <w:vMerge w:val="continue"/>
            <w:tcBorders>
              <w:tl2br w:val="nil"/>
              <w:tr2bl w:val="nil"/>
            </w:tcBorders>
            <w:vAlign w:val="center"/>
          </w:tcPr>
          <w:p w14:paraId="378B9995">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593" w:type="pct"/>
            <w:vMerge w:val="continue"/>
            <w:tcBorders>
              <w:tl2br w:val="nil"/>
              <w:tr2bl w:val="nil"/>
            </w:tcBorders>
            <w:vAlign w:val="center"/>
          </w:tcPr>
          <w:p w14:paraId="6CBD7024">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685" w:type="pct"/>
            <w:vMerge w:val="continue"/>
            <w:tcBorders>
              <w:tl2br w:val="nil"/>
              <w:tr2bl w:val="nil"/>
            </w:tcBorders>
            <w:vAlign w:val="center"/>
          </w:tcPr>
          <w:p w14:paraId="2908395F">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99" w:type="pct"/>
            <w:vMerge w:val="continue"/>
            <w:tcBorders>
              <w:tl2br w:val="nil"/>
              <w:tr2bl w:val="nil"/>
            </w:tcBorders>
            <w:vAlign w:val="center"/>
          </w:tcPr>
          <w:p w14:paraId="10FE82A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646" w:type="pct"/>
            <w:vMerge w:val="continue"/>
            <w:tcBorders>
              <w:tl2br w:val="nil"/>
              <w:tr2bl w:val="nil"/>
            </w:tcBorders>
            <w:vAlign w:val="center"/>
          </w:tcPr>
          <w:p w14:paraId="543CC8D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r>
      <w:tr w14:paraId="6C807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restart"/>
            <w:tcBorders>
              <w:tl2br w:val="nil"/>
              <w:tr2bl w:val="nil"/>
            </w:tcBorders>
            <w:vAlign w:val="center"/>
          </w:tcPr>
          <w:p w14:paraId="264B0E5D">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环境</w:t>
            </w:r>
          </w:p>
          <w:p w14:paraId="7967F0D0">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空气</w:t>
            </w:r>
          </w:p>
        </w:tc>
        <w:tc>
          <w:tcPr>
            <w:tcW w:w="246" w:type="pct"/>
            <w:tcBorders>
              <w:tl2br w:val="nil"/>
              <w:tr2bl w:val="nil"/>
            </w:tcBorders>
            <w:vAlign w:val="center"/>
          </w:tcPr>
          <w:p w14:paraId="11A8798C">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w:t>
            </w:r>
          </w:p>
        </w:tc>
        <w:tc>
          <w:tcPr>
            <w:tcW w:w="875" w:type="pct"/>
            <w:tcBorders>
              <w:tl2br w:val="nil"/>
              <w:tr2bl w:val="nil"/>
            </w:tcBorders>
            <w:shd w:val="clear" w:color="auto" w:fill="auto"/>
            <w:vAlign w:val="center"/>
          </w:tcPr>
          <w:p w14:paraId="46F726FA">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highlight w:val="none"/>
                <w:lang w:val="en-US" w:eastAsia="zh-CN"/>
              </w:rPr>
              <w:t>八五二农场副业队</w:t>
            </w:r>
          </w:p>
        </w:tc>
        <w:tc>
          <w:tcPr>
            <w:tcW w:w="497" w:type="pct"/>
            <w:tcBorders>
              <w:tl2br w:val="nil"/>
              <w:tr2bl w:val="nil"/>
            </w:tcBorders>
            <w:shd w:val="clear" w:color="auto" w:fill="auto"/>
            <w:vAlign w:val="center"/>
          </w:tcPr>
          <w:p w14:paraId="69DF24E8">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132.70878</w:t>
            </w:r>
          </w:p>
        </w:tc>
        <w:tc>
          <w:tcPr>
            <w:tcW w:w="446" w:type="pct"/>
            <w:tcBorders>
              <w:tl2br w:val="nil"/>
              <w:tr2bl w:val="nil"/>
            </w:tcBorders>
            <w:shd w:val="clear" w:color="auto" w:fill="auto"/>
            <w:vAlign w:val="center"/>
          </w:tcPr>
          <w:p w14:paraId="5515304A">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46.24957</w:t>
            </w:r>
          </w:p>
        </w:tc>
        <w:tc>
          <w:tcPr>
            <w:tcW w:w="379" w:type="pct"/>
            <w:tcBorders>
              <w:tl2br w:val="nil"/>
              <w:tr2bl w:val="nil"/>
            </w:tcBorders>
            <w:shd w:val="clear" w:color="auto" w:fill="auto"/>
            <w:vAlign w:val="center"/>
          </w:tcPr>
          <w:p w14:paraId="5B8B6D9A">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居住区</w:t>
            </w:r>
          </w:p>
        </w:tc>
        <w:tc>
          <w:tcPr>
            <w:tcW w:w="593" w:type="pct"/>
            <w:tcBorders>
              <w:tl2br w:val="nil"/>
              <w:tr2bl w:val="nil"/>
            </w:tcBorders>
            <w:shd w:val="clear" w:color="auto" w:fill="auto"/>
            <w:vAlign w:val="center"/>
          </w:tcPr>
          <w:p w14:paraId="59C8280D">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人群</w:t>
            </w:r>
          </w:p>
        </w:tc>
        <w:tc>
          <w:tcPr>
            <w:tcW w:w="685" w:type="pct"/>
            <w:vMerge w:val="restart"/>
            <w:tcBorders>
              <w:tl2br w:val="nil"/>
              <w:tr2bl w:val="nil"/>
            </w:tcBorders>
            <w:vAlign w:val="center"/>
          </w:tcPr>
          <w:p w14:paraId="73F782B1">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《环境空气质量标准》（GB3095-20</w:t>
            </w:r>
            <w:r>
              <w:rPr>
                <w:rFonts w:hint="eastAsia" w:eastAsia="宋体" w:cs="Times New Roman"/>
                <w:color w:val="auto"/>
                <w:sz w:val="21"/>
                <w:szCs w:val="21"/>
                <w:lang w:val="en-US" w:eastAsia="zh-CN"/>
              </w:rPr>
              <w:t>26</w:t>
            </w:r>
            <w:r>
              <w:rPr>
                <w:rFonts w:eastAsia="宋体" w:cs="Times New Roman"/>
                <w:color w:val="auto"/>
                <w:sz w:val="21"/>
                <w:szCs w:val="21"/>
              </w:rPr>
              <w:t>）二类功能区</w:t>
            </w:r>
          </w:p>
        </w:tc>
        <w:tc>
          <w:tcPr>
            <w:tcW w:w="299" w:type="pct"/>
            <w:tcBorders>
              <w:tl2br w:val="nil"/>
              <w:tr2bl w:val="nil"/>
            </w:tcBorders>
            <w:shd w:val="clear" w:color="auto" w:fill="auto"/>
            <w:vAlign w:val="center"/>
          </w:tcPr>
          <w:p w14:paraId="17F057D5">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NW</w:t>
            </w:r>
          </w:p>
        </w:tc>
        <w:tc>
          <w:tcPr>
            <w:tcW w:w="646" w:type="pct"/>
            <w:tcBorders>
              <w:tl2br w:val="nil"/>
              <w:tr2bl w:val="nil"/>
            </w:tcBorders>
            <w:shd w:val="clear" w:color="auto" w:fill="auto"/>
            <w:vAlign w:val="center"/>
          </w:tcPr>
          <w:p w14:paraId="7599DAA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6600</w:t>
            </w:r>
          </w:p>
        </w:tc>
      </w:tr>
      <w:tr w14:paraId="04E56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continue"/>
            <w:tcBorders>
              <w:tl2br w:val="nil"/>
              <w:tr2bl w:val="nil"/>
            </w:tcBorders>
            <w:vAlign w:val="center"/>
          </w:tcPr>
          <w:p w14:paraId="3950E11B">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246" w:type="pct"/>
            <w:tcBorders>
              <w:tl2br w:val="nil"/>
              <w:tr2bl w:val="nil"/>
            </w:tcBorders>
            <w:vAlign w:val="center"/>
          </w:tcPr>
          <w:p w14:paraId="728E58CB">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p>
        </w:tc>
        <w:tc>
          <w:tcPr>
            <w:tcW w:w="875" w:type="pct"/>
            <w:tcBorders>
              <w:tl2br w:val="nil"/>
              <w:tr2bl w:val="nil"/>
            </w:tcBorders>
            <w:shd w:val="clear" w:color="auto" w:fill="auto"/>
            <w:vAlign w:val="center"/>
          </w:tcPr>
          <w:p w14:paraId="6D2B514C">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highlight w:val="none"/>
                <w:lang w:val="en-US" w:eastAsia="zh-CN"/>
              </w:rPr>
              <w:t>八五二农场种畜站</w:t>
            </w:r>
          </w:p>
        </w:tc>
        <w:tc>
          <w:tcPr>
            <w:tcW w:w="497" w:type="pct"/>
            <w:tcBorders>
              <w:tl2br w:val="nil"/>
              <w:tr2bl w:val="nil"/>
            </w:tcBorders>
            <w:shd w:val="clear" w:color="auto" w:fill="auto"/>
            <w:vAlign w:val="center"/>
          </w:tcPr>
          <w:p w14:paraId="57E29EA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rPr>
              <w:t>132.72478</w:t>
            </w:r>
          </w:p>
        </w:tc>
        <w:tc>
          <w:tcPr>
            <w:tcW w:w="446" w:type="pct"/>
            <w:tcBorders>
              <w:tl2br w:val="nil"/>
              <w:tr2bl w:val="nil"/>
            </w:tcBorders>
            <w:shd w:val="clear" w:color="auto" w:fill="auto"/>
            <w:vAlign w:val="center"/>
          </w:tcPr>
          <w:p w14:paraId="02991889">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rPr>
              <w:t>46.25399</w:t>
            </w:r>
          </w:p>
        </w:tc>
        <w:tc>
          <w:tcPr>
            <w:tcW w:w="379" w:type="pct"/>
            <w:tcBorders>
              <w:tl2br w:val="nil"/>
              <w:tr2bl w:val="nil"/>
            </w:tcBorders>
            <w:shd w:val="clear" w:color="auto" w:fill="auto"/>
            <w:vAlign w:val="center"/>
          </w:tcPr>
          <w:p w14:paraId="7BC12094">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居住区</w:t>
            </w:r>
          </w:p>
        </w:tc>
        <w:tc>
          <w:tcPr>
            <w:tcW w:w="593" w:type="pct"/>
            <w:tcBorders>
              <w:tl2br w:val="nil"/>
              <w:tr2bl w:val="nil"/>
            </w:tcBorders>
            <w:shd w:val="clear" w:color="auto" w:fill="auto"/>
            <w:vAlign w:val="center"/>
          </w:tcPr>
          <w:p w14:paraId="2D960C32">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人群</w:t>
            </w:r>
          </w:p>
        </w:tc>
        <w:tc>
          <w:tcPr>
            <w:tcW w:w="685" w:type="pct"/>
            <w:vMerge w:val="continue"/>
            <w:tcBorders>
              <w:tl2br w:val="nil"/>
              <w:tr2bl w:val="nil"/>
            </w:tcBorders>
            <w:vAlign w:val="center"/>
          </w:tcPr>
          <w:p w14:paraId="664FBBAF">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99" w:type="pct"/>
            <w:tcBorders>
              <w:tl2br w:val="nil"/>
              <w:tr2bl w:val="nil"/>
            </w:tcBorders>
            <w:shd w:val="clear" w:color="auto" w:fill="auto"/>
            <w:vAlign w:val="center"/>
          </w:tcPr>
          <w:p w14:paraId="39FA5347">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NW</w:t>
            </w:r>
          </w:p>
        </w:tc>
        <w:tc>
          <w:tcPr>
            <w:tcW w:w="646" w:type="pct"/>
            <w:tcBorders>
              <w:tl2br w:val="nil"/>
              <w:tr2bl w:val="nil"/>
            </w:tcBorders>
            <w:shd w:val="clear" w:color="auto" w:fill="auto"/>
            <w:vAlign w:val="center"/>
          </w:tcPr>
          <w:p w14:paraId="7A8CA574">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6000</w:t>
            </w:r>
          </w:p>
        </w:tc>
      </w:tr>
      <w:tr w14:paraId="589FE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continue"/>
            <w:tcBorders>
              <w:tl2br w:val="nil"/>
              <w:tr2bl w:val="nil"/>
            </w:tcBorders>
            <w:vAlign w:val="center"/>
          </w:tcPr>
          <w:p w14:paraId="737B5A3B">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246" w:type="pct"/>
            <w:tcBorders>
              <w:tl2br w:val="nil"/>
              <w:tr2bl w:val="nil"/>
            </w:tcBorders>
            <w:vAlign w:val="center"/>
          </w:tcPr>
          <w:p w14:paraId="2B8621CB">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3</w:t>
            </w:r>
          </w:p>
        </w:tc>
        <w:tc>
          <w:tcPr>
            <w:tcW w:w="875" w:type="pct"/>
            <w:tcBorders>
              <w:tl2br w:val="nil"/>
              <w:tr2bl w:val="nil"/>
            </w:tcBorders>
            <w:shd w:val="clear" w:color="auto" w:fill="auto"/>
            <w:vAlign w:val="center"/>
          </w:tcPr>
          <w:p w14:paraId="50F3404A">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sz w:val="21"/>
                <w:szCs w:val="21"/>
                <w:lang w:val="en-US" w:eastAsia="zh-CN"/>
              </w:rPr>
              <w:t>和平管理区</w:t>
            </w:r>
          </w:p>
        </w:tc>
        <w:tc>
          <w:tcPr>
            <w:tcW w:w="497" w:type="pct"/>
            <w:tcBorders>
              <w:tl2br w:val="nil"/>
              <w:tr2bl w:val="nil"/>
            </w:tcBorders>
            <w:shd w:val="clear" w:color="auto" w:fill="auto"/>
            <w:vAlign w:val="center"/>
          </w:tcPr>
          <w:p w14:paraId="300BB76D">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rPr>
              <w:t>132.73243</w:t>
            </w:r>
          </w:p>
        </w:tc>
        <w:tc>
          <w:tcPr>
            <w:tcW w:w="446" w:type="pct"/>
            <w:tcBorders>
              <w:tl2br w:val="nil"/>
              <w:tr2bl w:val="nil"/>
            </w:tcBorders>
            <w:shd w:val="clear" w:color="auto" w:fill="auto"/>
            <w:vAlign w:val="center"/>
          </w:tcPr>
          <w:p w14:paraId="665A49FD">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rPr>
              <w:t>46.22992</w:t>
            </w:r>
          </w:p>
        </w:tc>
        <w:tc>
          <w:tcPr>
            <w:tcW w:w="379" w:type="pct"/>
            <w:tcBorders>
              <w:tl2br w:val="nil"/>
              <w:tr2bl w:val="nil"/>
            </w:tcBorders>
            <w:shd w:val="clear" w:color="auto" w:fill="auto"/>
            <w:vAlign w:val="center"/>
          </w:tcPr>
          <w:p w14:paraId="6E556982">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居住区</w:t>
            </w:r>
          </w:p>
        </w:tc>
        <w:tc>
          <w:tcPr>
            <w:tcW w:w="593" w:type="pct"/>
            <w:tcBorders>
              <w:tl2br w:val="nil"/>
              <w:tr2bl w:val="nil"/>
            </w:tcBorders>
            <w:shd w:val="clear" w:color="auto" w:fill="auto"/>
            <w:vAlign w:val="center"/>
          </w:tcPr>
          <w:p w14:paraId="50D48AD4">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人群</w:t>
            </w:r>
          </w:p>
        </w:tc>
        <w:tc>
          <w:tcPr>
            <w:tcW w:w="685" w:type="pct"/>
            <w:vMerge w:val="continue"/>
            <w:tcBorders>
              <w:tl2br w:val="nil"/>
              <w:tr2bl w:val="nil"/>
            </w:tcBorders>
            <w:vAlign w:val="center"/>
          </w:tcPr>
          <w:p w14:paraId="45E0B11D">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99" w:type="pct"/>
            <w:tcBorders>
              <w:tl2br w:val="nil"/>
              <w:tr2bl w:val="nil"/>
            </w:tcBorders>
            <w:shd w:val="clear" w:color="auto" w:fill="auto"/>
            <w:vAlign w:val="center"/>
          </w:tcPr>
          <w:p w14:paraId="17BC4DE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NW</w:t>
            </w:r>
          </w:p>
        </w:tc>
        <w:tc>
          <w:tcPr>
            <w:tcW w:w="646" w:type="pct"/>
            <w:tcBorders>
              <w:tl2br w:val="nil"/>
              <w:tr2bl w:val="nil"/>
            </w:tcBorders>
            <w:shd w:val="clear" w:color="auto" w:fill="auto"/>
            <w:vAlign w:val="center"/>
          </w:tcPr>
          <w:p w14:paraId="414DD16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3200</w:t>
            </w:r>
          </w:p>
        </w:tc>
      </w:tr>
      <w:tr w14:paraId="241F9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continue"/>
            <w:tcBorders>
              <w:tl2br w:val="nil"/>
              <w:tr2bl w:val="nil"/>
            </w:tcBorders>
            <w:vAlign w:val="center"/>
          </w:tcPr>
          <w:p w14:paraId="69A07B7D">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246" w:type="pct"/>
            <w:tcBorders>
              <w:tl2br w:val="nil"/>
              <w:tr2bl w:val="nil"/>
            </w:tcBorders>
            <w:vAlign w:val="center"/>
          </w:tcPr>
          <w:p w14:paraId="3646FEEB">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4</w:t>
            </w:r>
          </w:p>
        </w:tc>
        <w:tc>
          <w:tcPr>
            <w:tcW w:w="875" w:type="pct"/>
            <w:tcBorders>
              <w:tl2br w:val="nil"/>
              <w:tr2bl w:val="nil"/>
            </w:tcBorders>
            <w:shd w:val="clear" w:color="auto" w:fill="auto"/>
            <w:vAlign w:val="center"/>
          </w:tcPr>
          <w:p w14:paraId="1F150112">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sz w:val="21"/>
                <w:szCs w:val="21"/>
                <w:lang w:val="en-US" w:eastAsia="zh-CN"/>
              </w:rPr>
              <w:t>八五二农场场部</w:t>
            </w:r>
          </w:p>
        </w:tc>
        <w:tc>
          <w:tcPr>
            <w:tcW w:w="497" w:type="pct"/>
            <w:tcBorders>
              <w:tl2br w:val="nil"/>
              <w:tr2bl w:val="nil"/>
            </w:tcBorders>
            <w:shd w:val="clear" w:color="auto" w:fill="auto"/>
            <w:vAlign w:val="center"/>
          </w:tcPr>
          <w:p w14:paraId="602929F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132.96072</w:t>
            </w:r>
          </w:p>
        </w:tc>
        <w:tc>
          <w:tcPr>
            <w:tcW w:w="446" w:type="pct"/>
            <w:tcBorders>
              <w:tl2br w:val="nil"/>
              <w:tr2bl w:val="nil"/>
            </w:tcBorders>
            <w:shd w:val="clear" w:color="auto" w:fill="auto"/>
            <w:vAlign w:val="center"/>
          </w:tcPr>
          <w:p w14:paraId="026F4220">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46.211963</w:t>
            </w:r>
          </w:p>
        </w:tc>
        <w:tc>
          <w:tcPr>
            <w:tcW w:w="379" w:type="pct"/>
            <w:tcBorders>
              <w:tl2br w:val="nil"/>
              <w:tr2bl w:val="nil"/>
            </w:tcBorders>
            <w:shd w:val="clear" w:color="auto" w:fill="auto"/>
            <w:vAlign w:val="center"/>
          </w:tcPr>
          <w:p w14:paraId="1FE19082">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居住</w:t>
            </w:r>
            <w:r>
              <w:rPr>
                <w:rFonts w:hint="eastAsia" w:ascii="Times New Roman" w:hAnsi="Times New Roman" w:eastAsia="宋体" w:cs="Times New Roman"/>
                <w:color w:val="auto"/>
                <w:sz w:val="21"/>
                <w:szCs w:val="21"/>
              </w:rPr>
              <w:t>区</w:t>
            </w:r>
          </w:p>
        </w:tc>
        <w:tc>
          <w:tcPr>
            <w:tcW w:w="593" w:type="pct"/>
            <w:tcBorders>
              <w:tl2br w:val="nil"/>
              <w:tr2bl w:val="nil"/>
            </w:tcBorders>
            <w:shd w:val="clear" w:color="auto" w:fill="auto"/>
            <w:vAlign w:val="center"/>
          </w:tcPr>
          <w:p w14:paraId="2003AB84">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人群</w:t>
            </w:r>
          </w:p>
        </w:tc>
        <w:tc>
          <w:tcPr>
            <w:tcW w:w="685" w:type="pct"/>
            <w:vMerge w:val="continue"/>
            <w:tcBorders>
              <w:tl2br w:val="nil"/>
              <w:tr2bl w:val="nil"/>
            </w:tcBorders>
            <w:vAlign w:val="center"/>
          </w:tcPr>
          <w:p w14:paraId="69AD62E9">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99" w:type="pct"/>
            <w:tcBorders>
              <w:tl2br w:val="nil"/>
              <w:tr2bl w:val="nil"/>
            </w:tcBorders>
            <w:shd w:val="clear" w:color="auto" w:fill="auto"/>
            <w:vAlign w:val="center"/>
          </w:tcPr>
          <w:p w14:paraId="79F1545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N、W、SW</w:t>
            </w:r>
          </w:p>
        </w:tc>
        <w:tc>
          <w:tcPr>
            <w:tcW w:w="646" w:type="pct"/>
            <w:tcBorders>
              <w:tl2br w:val="nil"/>
              <w:tr2bl w:val="nil"/>
            </w:tcBorders>
            <w:shd w:val="clear" w:color="auto" w:fill="auto"/>
            <w:vAlign w:val="center"/>
          </w:tcPr>
          <w:p w14:paraId="3EBFE2D5">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30</w:t>
            </w:r>
          </w:p>
        </w:tc>
      </w:tr>
      <w:tr w14:paraId="0185F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continue"/>
            <w:tcBorders>
              <w:tl2br w:val="nil"/>
              <w:tr2bl w:val="nil"/>
            </w:tcBorders>
            <w:vAlign w:val="center"/>
          </w:tcPr>
          <w:p w14:paraId="43B6F6DC">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246" w:type="pct"/>
            <w:tcBorders>
              <w:tl2br w:val="nil"/>
              <w:tr2bl w:val="nil"/>
            </w:tcBorders>
            <w:vAlign w:val="center"/>
          </w:tcPr>
          <w:p w14:paraId="30BA2558">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5</w:t>
            </w:r>
          </w:p>
        </w:tc>
        <w:tc>
          <w:tcPr>
            <w:tcW w:w="875" w:type="pct"/>
            <w:tcBorders>
              <w:tl2br w:val="nil"/>
              <w:tr2bl w:val="nil"/>
            </w:tcBorders>
            <w:shd w:val="clear" w:color="auto" w:fill="auto"/>
            <w:vAlign w:val="center"/>
          </w:tcPr>
          <w:p w14:paraId="4BF8E9AD">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sz w:val="21"/>
                <w:szCs w:val="21"/>
                <w:lang w:val="en-US" w:eastAsia="zh-CN"/>
              </w:rPr>
              <w:t>南林小区</w:t>
            </w:r>
          </w:p>
        </w:tc>
        <w:tc>
          <w:tcPr>
            <w:tcW w:w="497" w:type="pct"/>
            <w:tcBorders>
              <w:tl2br w:val="nil"/>
              <w:tr2bl w:val="nil"/>
            </w:tcBorders>
            <w:shd w:val="clear" w:color="auto" w:fill="auto"/>
            <w:vAlign w:val="center"/>
          </w:tcPr>
          <w:p w14:paraId="5C4A593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132.77959</w:t>
            </w:r>
          </w:p>
        </w:tc>
        <w:tc>
          <w:tcPr>
            <w:tcW w:w="446" w:type="pct"/>
            <w:tcBorders>
              <w:tl2br w:val="nil"/>
              <w:tr2bl w:val="nil"/>
            </w:tcBorders>
            <w:shd w:val="clear" w:color="auto" w:fill="auto"/>
            <w:vAlign w:val="center"/>
          </w:tcPr>
          <w:p w14:paraId="031A919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46.19475</w:t>
            </w:r>
          </w:p>
        </w:tc>
        <w:tc>
          <w:tcPr>
            <w:tcW w:w="379" w:type="pct"/>
            <w:tcBorders>
              <w:tl2br w:val="nil"/>
              <w:tr2bl w:val="nil"/>
            </w:tcBorders>
            <w:shd w:val="clear" w:color="auto" w:fill="auto"/>
            <w:vAlign w:val="center"/>
          </w:tcPr>
          <w:p w14:paraId="39A46A70">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sz w:val="21"/>
                <w:szCs w:val="21"/>
              </w:rPr>
              <w:t>居住区</w:t>
            </w:r>
          </w:p>
        </w:tc>
        <w:tc>
          <w:tcPr>
            <w:tcW w:w="593" w:type="pct"/>
            <w:tcBorders>
              <w:tl2br w:val="nil"/>
              <w:tr2bl w:val="nil"/>
            </w:tcBorders>
            <w:shd w:val="clear" w:color="auto" w:fill="auto"/>
            <w:vAlign w:val="center"/>
          </w:tcPr>
          <w:p w14:paraId="2ED157A2">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sz w:val="21"/>
                <w:szCs w:val="21"/>
              </w:rPr>
              <w:t>人群</w:t>
            </w:r>
          </w:p>
        </w:tc>
        <w:tc>
          <w:tcPr>
            <w:tcW w:w="685" w:type="pct"/>
            <w:vMerge w:val="continue"/>
            <w:tcBorders>
              <w:tl2br w:val="nil"/>
              <w:tr2bl w:val="nil"/>
            </w:tcBorders>
            <w:vAlign w:val="center"/>
          </w:tcPr>
          <w:p w14:paraId="4094ACD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99" w:type="pct"/>
            <w:tcBorders>
              <w:tl2br w:val="nil"/>
              <w:tr2bl w:val="nil"/>
            </w:tcBorders>
            <w:shd w:val="clear" w:color="auto" w:fill="auto"/>
            <w:vAlign w:val="center"/>
          </w:tcPr>
          <w:p w14:paraId="562394AD">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S</w:t>
            </w:r>
          </w:p>
        </w:tc>
        <w:tc>
          <w:tcPr>
            <w:tcW w:w="646" w:type="pct"/>
            <w:tcBorders>
              <w:tl2br w:val="nil"/>
              <w:tr2bl w:val="nil"/>
            </w:tcBorders>
            <w:shd w:val="clear" w:color="auto" w:fill="auto"/>
            <w:vAlign w:val="center"/>
          </w:tcPr>
          <w:p w14:paraId="734EE192">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1620</w:t>
            </w:r>
          </w:p>
        </w:tc>
      </w:tr>
      <w:tr w14:paraId="5FA17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continue"/>
            <w:tcBorders>
              <w:tl2br w:val="nil"/>
              <w:tr2bl w:val="nil"/>
            </w:tcBorders>
            <w:vAlign w:val="center"/>
          </w:tcPr>
          <w:p w14:paraId="052546FC">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246" w:type="pct"/>
            <w:tcBorders>
              <w:tl2br w:val="nil"/>
              <w:tr2bl w:val="nil"/>
            </w:tcBorders>
            <w:vAlign w:val="center"/>
          </w:tcPr>
          <w:p w14:paraId="1F7A9034">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w:t>
            </w:r>
          </w:p>
        </w:tc>
        <w:tc>
          <w:tcPr>
            <w:tcW w:w="875" w:type="pct"/>
            <w:tcBorders>
              <w:tl2br w:val="nil"/>
              <w:tr2bl w:val="nil"/>
            </w:tcBorders>
            <w:shd w:val="clear" w:color="auto" w:fill="auto"/>
            <w:vAlign w:val="center"/>
          </w:tcPr>
          <w:p w14:paraId="164B5F90">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sz w:val="21"/>
                <w:szCs w:val="21"/>
                <w:lang w:val="en-US" w:eastAsia="zh-CN"/>
              </w:rPr>
              <w:t>迎春林业局光明林场</w:t>
            </w:r>
          </w:p>
        </w:tc>
        <w:tc>
          <w:tcPr>
            <w:tcW w:w="497" w:type="pct"/>
            <w:tcBorders>
              <w:tl2br w:val="nil"/>
              <w:tr2bl w:val="nil"/>
            </w:tcBorders>
            <w:shd w:val="clear" w:color="auto" w:fill="auto"/>
            <w:vAlign w:val="center"/>
          </w:tcPr>
          <w:p w14:paraId="0FF134F4">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132.83935</w:t>
            </w:r>
          </w:p>
        </w:tc>
        <w:tc>
          <w:tcPr>
            <w:tcW w:w="446" w:type="pct"/>
            <w:tcBorders>
              <w:tl2br w:val="nil"/>
              <w:tr2bl w:val="nil"/>
            </w:tcBorders>
            <w:shd w:val="clear" w:color="auto" w:fill="auto"/>
            <w:vAlign w:val="center"/>
          </w:tcPr>
          <w:p w14:paraId="2F08C242">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46.23368</w:t>
            </w:r>
          </w:p>
        </w:tc>
        <w:tc>
          <w:tcPr>
            <w:tcW w:w="379" w:type="pct"/>
            <w:tcBorders>
              <w:tl2br w:val="nil"/>
              <w:tr2bl w:val="nil"/>
            </w:tcBorders>
            <w:shd w:val="clear" w:color="auto" w:fill="auto"/>
            <w:vAlign w:val="center"/>
          </w:tcPr>
          <w:p w14:paraId="09989223">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sz w:val="21"/>
                <w:szCs w:val="21"/>
              </w:rPr>
              <w:t>居住区</w:t>
            </w:r>
          </w:p>
        </w:tc>
        <w:tc>
          <w:tcPr>
            <w:tcW w:w="593" w:type="pct"/>
            <w:tcBorders>
              <w:tl2br w:val="nil"/>
              <w:tr2bl w:val="nil"/>
            </w:tcBorders>
            <w:shd w:val="clear" w:color="auto" w:fill="auto"/>
            <w:vAlign w:val="center"/>
          </w:tcPr>
          <w:p w14:paraId="11CE7CC8">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人群</w:t>
            </w:r>
          </w:p>
        </w:tc>
        <w:tc>
          <w:tcPr>
            <w:tcW w:w="685" w:type="pct"/>
            <w:vMerge w:val="continue"/>
            <w:tcBorders>
              <w:tl2br w:val="nil"/>
              <w:tr2bl w:val="nil"/>
            </w:tcBorders>
            <w:vAlign w:val="center"/>
          </w:tcPr>
          <w:p w14:paraId="30C49784">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99" w:type="pct"/>
            <w:tcBorders>
              <w:tl2br w:val="nil"/>
              <w:tr2bl w:val="nil"/>
            </w:tcBorders>
            <w:shd w:val="clear" w:color="auto" w:fill="auto"/>
            <w:vAlign w:val="center"/>
          </w:tcPr>
          <w:p w14:paraId="37AFACF4">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NE</w:t>
            </w:r>
          </w:p>
        </w:tc>
        <w:tc>
          <w:tcPr>
            <w:tcW w:w="646" w:type="pct"/>
            <w:tcBorders>
              <w:tl2br w:val="nil"/>
              <w:tr2bl w:val="nil"/>
            </w:tcBorders>
            <w:shd w:val="clear" w:color="auto" w:fill="auto"/>
            <w:vAlign w:val="center"/>
          </w:tcPr>
          <w:p w14:paraId="26C2DCC7">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5480</w:t>
            </w:r>
          </w:p>
        </w:tc>
      </w:tr>
      <w:tr w14:paraId="02CF9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vMerge w:val="continue"/>
            <w:tcBorders>
              <w:tl2br w:val="nil"/>
              <w:tr2bl w:val="nil"/>
            </w:tcBorders>
            <w:vAlign w:val="center"/>
          </w:tcPr>
          <w:p w14:paraId="27665994">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246" w:type="pct"/>
            <w:tcBorders>
              <w:tl2br w:val="nil"/>
              <w:tr2bl w:val="nil"/>
            </w:tcBorders>
            <w:vAlign w:val="center"/>
          </w:tcPr>
          <w:p w14:paraId="33C4591E">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7</w:t>
            </w:r>
          </w:p>
        </w:tc>
        <w:tc>
          <w:tcPr>
            <w:tcW w:w="875" w:type="pct"/>
            <w:tcBorders>
              <w:tl2br w:val="nil"/>
              <w:tr2bl w:val="nil"/>
            </w:tcBorders>
            <w:shd w:val="clear" w:color="auto" w:fill="auto"/>
            <w:vAlign w:val="center"/>
          </w:tcPr>
          <w:p w14:paraId="53E3E1B2">
            <w:pPr>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b w:val="0"/>
                <w:bCs w:val="0"/>
                <w:color w:val="auto"/>
                <w:kern w:val="2"/>
                <w:sz w:val="21"/>
                <w:szCs w:val="21"/>
                <w:lang w:val="en-US" w:eastAsia="zh-CN" w:bidi="ar-SA"/>
              </w:rPr>
            </w:pPr>
            <w:r>
              <w:rPr>
                <w:rFonts w:hint="eastAsia" w:ascii="Times New Roman" w:hAnsi="Times New Roman" w:eastAsia="宋体" w:cs="Times New Roman"/>
                <w:b w:val="0"/>
                <w:bCs w:val="0"/>
                <w:color w:val="auto"/>
                <w:sz w:val="21"/>
                <w:szCs w:val="21"/>
                <w:lang w:val="en-US" w:eastAsia="zh-CN"/>
              </w:rPr>
              <w:t>虎宝工厂南林工段</w:t>
            </w:r>
          </w:p>
        </w:tc>
        <w:tc>
          <w:tcPr>
            <w:tcW w:w="497" w:type="pct"/>
            <w:tcBorders>
              <w:tl2br w:val="nil"/>
              <w:tr2bl w:val="nil"/>
            </w:tcBorders>
            <w:shd w:val="clear" w:color="auto" w:fill="auto"/>
            <w:vAlign w:val="center"/>
          </w:tcPr>
          <w:p w14:paraId="47011181">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132.82714</w:t>
            </w:r>
          </w:p>
        </w:tc>
        <w:tc>
          <w:tcPr>
            <w:tcW w:w="446" w:type="pct"/>
            <w:tcBorders>
              <w:tl2br w:val="nil"/>
              <w:tr2bl w:val="nil"/>
            </w:tcBorders>
            <w:shd w:val="clear" w:color="auto" w:fill="auto"/>
            <w:vAlign w:val="center"/>
          </w:tcPr>
          <w:p w14:paraId="00A8EC89">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46.17916</w:t>
            </w:r>
          </w:p>
        </w:tc>
        <w:tc>
          <w:tcPr>
            <w:tcW w:w="379" w:type="pct"/>
            <w:tcBorders>
              <w:tl2br w:val="nil"/>
              <w:tr2bl w:val="nil"/>
            </w:tcBorders>
            <w:shd w:val="clear" w:color="auto" w:fill="auto"/>
            <w:vAlign w:val="center"/>
          </w:tcPr>
          <w:p w14:paraId="210ABD9C">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sz w:val="21"/>
                <w:szCs w:val="21"/>
              </w:rPr>
              <w:t>居住区</w:t>
            </w:r>
          </w:p>
        </w:tc>
        <w:tc>
          <w:tcPr>
            <w:tcW w:w="593" w:type="pct"/>
            <w:tcBorders>
              <w:tl2br w:val="nil"/>
              <w:tr2bl w:val="nil"/>
            </w:tcBorders>
            <w:shd w:val="clear" w:color="auto" w:fill="auto"/>
            <w:vAlign w:val="center"/>
          </w:tcPr>
          <w:p w14:paraId="5380D192">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人群</w:t>
            </w:r>
          </w:p>
        </w:tc>
        <w:tc>
          <w:tcPr>
            <w:tcW w:w="685" w:type="pct"/>
            <w:vMerge w:val="continue"/>
            <w:tcBorders>
              <w:tl2br w:val="nil"/>
              <w:tr2bl w:val="nil"/>
            </w:tcBorders>
            <w:vAlign w:val="center"/>
          </w:tcPr>
          <w:p w14:paraId="6D9AD730">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p>
        </w:tc>
        <w:tc>
          <w:tcPr>
            <w:tcW w:w="299" w:type="pct"/>
            <w:tcBorders>
              <w:tl2br w:val="nil"/>
              <w:tr2bl w:val="nil"/>
            </w:tcBorders>
            <w:shd w:val="clear" w:color="auto" w:fill="auto"/>
            <w:vAlign w:val="center"/>
          </w:tcPr>
          <w:p w14:paraId="3F3A5C57">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SE</w:t>
            </w:r>
          </w:p>
        </w:tc>
        <w:tc>
          <w:tcPr>
            <w:tcW w:w="646" w:type="pct"/>
            <w:tcBorders>
              <w:tl2br w:val="nil"/>
              <w:tr2bl w:val="nil"/>
            </w:tcBorders>
            <w:shd w:val="clear" w:color="auto" w:fill="auto"/>
            <w:vAlign w:val="center"/>
          </w:tcPr>
          <w:p w14:paraId="736BE405">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eastAsia="宋体" w:cs="Times New Roman"/>
                <w:color w:val="auto"/>
                <w:sz w:val="21"/>
                <w:szCs w:val="21"/>
                <w:lang w:val="en-US" w:eastAsia="zh-CN"/>
              </w:rPr>
              <w:t>5300</w:t>
            </w:r>
          </w:p>
        </w:tc>
      </w:tr>
      <w:tr w14:paraId="474F7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tcBorders>
              <w:tl2br w:val="nil"/>
              <w:tr2bl w:val="nil"/>
            </w:tcBorders>
            <w:vAlign w:val="center"/>
          </w:tcPr>
          <w:p w14:paraId="1D43A1D4">
            <w:pPr>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声环境</w:t>
            </w:r>
          </w:p>
        </w:tc>
        <w:tc>
          <w:tcPr>
            <w:tcW w:w="246" w:type="pct"/>
            <w:tcBorders>
              <w:tl2br w:val="nil"/>
              <w:tr2bl w:val="nil"/>
            </w:tcBorders>
            <w:vAlign w:val="center"/>
          </w:tcPr>
          <w:p w14:paraId="59E408C6">
            <w:pPr>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875" w:type="pct"/>
            <w:tcBorders>
              <w:tl2br w:val="nil"/>
              <w:tr2bl w:val="nil"/>
            </w:tcBorders>
            <w:vAlign w:val="center"/>
          </w:tcPr>
          <w:p w14:paraId="4E42BFE0">
            <w:pPr>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b w:val="0"/>
                <w:bCs w:val="0"/>
                <w:color w:val="auto"/>
                <w:sz w:val="21"/>
                <w:szCs w:val="21"/>
                <w:lang w:val="en-US" w:eastAsia="zh-CN"/>
              </w:rPr>
              <w:t>八五二农场场部</w:t>
            </w:r>
          </w:p>
        </w:tc>
        <w:tc>
          <w:tcPr>
            <w:tcW w:w="497" w:type="pct"/>
            <w:tcBorders>
              <w:tl2br w:val="nil"/>
              <w:tr2bl w:val="nil"/>
            </w:tcBorders>
            <w:vAlign w:val="center"/>
          </w:tcPr>
          <w:p w14:paraId="69BAF597">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kern w:val="2"/>
                <w:sz w:val="21"/>
                <w:szCs w:val="21"/>
                <w:lang w:val="en-US" w:eastAsia="zh-CN"/>
              </w:rPr>
              <w:t>132.72478</w:t>
            </w:r>
          </w:p>
        </w:tc>
        <w:tc>
          <w:tcPr>
            <w:tcW w:w="446" w:type="pct"/>
            <w:tcBorders>
              <w:tl2br w:val="nil"/>
              <w:tr2bl w:val="nil"/>
            </w:tcBorders>
            <w:vAlign w:val="center"/>
          </w:tcPr>
          <w:p w14:paraId="595D863E">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kern w:val="2"/>
                <w:sz w:val="21"/>
                <w:szCs w:val="21"/>
                <w:lang w:val="en-US" w:eastAsia="zh-CN"/>
              </w:rPr>
              <w:t>46.25399</w:t>
            </w:r>
          </w:p>
        </w:tc>
        <w:tc>
          <w:tcPr>
            <w:tcW w:w="379" w:type="pct"/>
            <w:tcBorders>
              <w:tl2br w:val="nil"/>
              <w:tr2bl w:val="nil"/>
            </w:tcBorders>
            <w:vAlign w:val="center"/>
          </w:tcPr>
          <w:p w14:paraId="49FFD9CD">
            <w:pPr>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居住</w:t>
            </w:r>
            <w:r>
              <w:rPr>
                <w:rFonts w:hint="eastAsia" w:ascii="Times New Roman" w:hAnsi="Times New Roman" w:eastAsia="宋体" w:cs="Times New Roman"/>
                <w:color w:val="auto"/>
                <w:sz w:val="21"/>
                <w:szCs w:val="21"/>
              </w:rPr>
              <w:t>区</w:t>
            </w:r>
          </w:p>
        </w:tc>
        <w:tc>
          <w:tcPr>
            <w:tcW w:w="593" w:type="pct"/>
            <w:tcBorders>
              <w:tl2br w:val="nil"/>
              <w:tr2bl w:val="nil"/>
            </w:tcBorders>
            <w:vAlign w:val="center"/>
          </w:tcPr>
          <w:p w14:paraId="64C4A140">
            <w:pPr>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人群</w:t>
            </w:r>
          </w:p>
        </w:tc>
        <w:tc>
          <w:tcPr>
            <w:tcW w:w="685" w:type="pct"/>
            <w:tcBorders>
              <w:tl2br w:val="nil"/>
              <w:tr2bl w:val="nil"/>
            </w:tcBorders>
            <w:vAlign w:val="center"/>
          </w:tcPr>
          <w:p w14:paraId="7B28CF7F">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int="eastAsia" w:eastAsia="宋体" w:cs="Times New Roman"/>
                <w:color w:val="auto"/>
                <w:sz w:val="21"/>
                <w:szCs w:val="21"/>
              </w:rPr>
              <w:t>《声环境质量标准》（GB3096-2008）2类地区</w:t>
            </w:r>
          </w:p>
        </w:tc>
        <w:tc>
          <w:tcPr>
            <w:tcW w:w="299" w:type="pct"/>
            <w:tcBorders>
              <w:tl2br w:val="nil"/>
              <w:tr2bl w:val="nil"/>
            </w:tcBorders>
            <w:vAlign w:val="center"/>
          </w:tcPr>
          <w:p w14:paraId="76CECC1F">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p>
        </w:tc>
        <w:tc>
          <w:tcPr>
            <w:tcW w:w="646" w:type="pct"/>
            <w:tcBorders>
              <w:tl2br w:val="nil"/>
              <w:tr2bl w:val="nil"/>
            </w:tcBorders>
            <w:vAlign w:val="center"/>
          </w:tcPr>
          <w:p w14:paraId="5966E714">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30</w:t>
            </w:r>
          </w:p>
        </w:tc>
      </w:tr>
      <w:tr w14:paraId="7A221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tcBorders>
              <w:tl2br w:val="nil"/>
              <w:tr2bl w:val="nil"/>
            </w:tcBorders>
            <w:vAlign w:val="center"/>
          </w:tcPr>
          <w:p w14:paraId="75BADDAC">
            <w:pPr>
              <w:pStyle w:val="91"/>
              <w:keepNext w:val="0"/>
              <w:keepLines w:val="0"/>
              <w:pageBreakBefore w:val="0"/>
              <w:widowControl w:val="0"/>
              <w:kinsoku/>
              <w:wordWrap/>
              <w:overflowPunct/>
              <w:topLinePunct w:val="0"/>
              <w:autoSpaceDE w:val="0"/>
              <w:autoSpaceDN w:val="0"/>
              <w:bidi w:val="0"/>
              <w:adjustRightInd/>
              <w:snapToGrid/>
              <w:spacing w:line="320" w:lineRule="exact"/>
              <w:jc w:val="center"/>
              <w:textAlignment w:val="bottom"/>
              <w:rPr>
                <w:rFonts w:ascii="Times New Roman"/>
                <w:color w:val="auto"/>
                <w:sz w:val="21"/>
                <w:szCs w:val="21"/>
              </w:rPr>
            </w:pPr>
            <w:r>
              <w:rPr>
                <w:rFonts w:ascii="Times New Roman"/>
                <w:color w:val="auto"/>
                <w:sz w:val="21"/>
                <w:szCs w:val="21"/>
              </w:rPr>
              <w:t>地表水</w:t>
            </w:r>
          </w:p>
          <w:p w14:paraId="17DA7514">
            <w:pPr>
              <w:pStyle w:val="91"/>
              <w:keepNext w:val="0"/>
              <w:keepLines w:val="0"/>
              <w:pageBreakBefore w:val="0"/>
              <w:widowControl w:val="0"/>
              <w:kinsoku/>
              <w:wordWrap/>
              <w:overflowPunct/>
              <w:topLinePunct w:val="0"/>
              <w:autoSpaceDE w:val="0"/>
              <w:autoSpaceDN w:val="0"/>
              <w:bidi w:val="0"/>
              <w:adjustRightInd/>
              <w:snapToGrid/>
              <w:spacing w:line="320" w:lineRule="exact"/>
              <w:jc w:val="center"/>
              <w:textAlignment w:val="bottom"/>
              <w:rPr>
                <w:rFonts w:ascii="Times New Roman"/>
                <w:color w:val="auto"/>
                <w:sz w:val="21"/>
                <w:szCs w:val="21"/>
              </w:rPr>
            </w:pPr>
            <w:r>
              <w:rPr>
                <w:rFonts w:ascii="Times New Roman"/>
                <w:color w:val="auto"/>
                <w:sz w:val="21"/>
                <w:szCs w:val="21"/>
              </w:rPr>
              <w:t>环境</w:t>
            </w:r>
          </w:p>
        </w:tc>
        <w:tc>
          <w:tcPr>
            <w:tcW w:w="246" w:type="pct"/>
            <w:tcBorders>
              <w:tl2br w:val="nil"/>
              <w:tr2bl w:val="nil"/>
            </w:tcBorders>
            <w:vAlign w:val="center"/>
          </w:tcPr>
          <w:p w14:paraId="27D5868E">
            <w:pPr>
              <w:pStyle w:val="91"/>
              <w:keepNext w:val="0"/>
              <w:keepLines w:val="0"/>
              <w:pageBreakBefore w:val="0"/>
              <w:widowControl w:val="0"/>
              <w:kinsoku/>
              <w:wordWrap/>
              <w:overflowPunct/>
              <w:topLinePunct w:val="0"/>
              <w:autoSpaceDE w:val="0"/>
              <w:autoSpaceDN w:val="0"/>
              <w:bidi w:val="0"/>
              <w:adjustRightInd/>
              <w:snapToGrid/>
              <w:spacing w:line="320" w:lineRule="exact"/>
              <w:jc w:val="center"/>
              <w:textAlignment w:val="bottom"/>
              <w:rPr>
                <w:rFonts w:ascii="Times New Roman"/>
                <w:color w:val="auto"/>
                <w:sz w:val="21"/>
                <w:szCs w:val="21"/>
              </w:rPr>
            </w:pPr>
            <w:r>
              <w:rPr>
                <w:rFonts w:ascii="Times New Roman"/>
                <w:color w:val="auto"/>
                <w:sz w:val="21"/>
                <w:szCs w:val="21"/>
              </w:rPr>
              <w:t>1</w:t>
            </w:r>
          </w:p>
        </w:tc>
        <w:tc>
          <w:tcPr>
            <w:tcW w:w="875" w:type="pct"/>
            <w:tcBorders>
              <w:tl2br w:val="nil"/>
              <w:tr2bl w:val="nil"/>
            </w:tcBorders>
            <w:vAlign w:val="center"/>
          </w:tcPr>
          <w:p w14:paraId="1C0C0384">
            <w:pPr>
              <w:pStyle w:val="77"/>
              <w:keepNext w:val="0"/>
              <w:keepLines w:val="0"/>
              <w:pageBreakBefore w:val="0"/>
              <w:widowControl w:val="0"/>
              <w:kinsoku/>
              <w:wordWrap/>
              <w:overflowPunct/>
              <w:topLinePunct w:val="0"/>
              <w:bidi w:val="0"/>
              <w:adjustRightInd/>
              <w:snapToGrid/>
              <w:spacing w:line="320" w:lineRule="exact"/>
              <w:jc w:val="center"/>
              <w:rPr>
                <w:rFonts w:hint="eastAsia" w:hAnsi="Times New Roman" w:eastAsia="宋体"/>
                <w:color w:val="auto"/>
                <w:szCs w:val="21"/>
                <w:lang w:eastAsia="zh-CN"/>
              </w:rPr>
            </w:pPr>
            <w:r>
              <w:rPr>
                <w:rFonts w:hint="eastAsia" w:hAnsi="Times New Roman"/>
                <w:color w:val="auto"/>
                <w:szCs w:val="21"/>
                <w:lang w:val="en-US" w:eastAsia="zh-CN"/>
              </w:rPr>
              <w:t>蛤蟆通河</w:t>
            </w:r>
          </w:p>
        </w:tc>
        <w:tc>
          <w:tcPr>
            <w:tcW w:w="497" w:type="pct"/>
            <w:tcBorders>
              <w:tl2br w:val="nil"/>
              <w:tr2bl w:val="nil"/>
            </w:tcBorders>
            <w:vAlign w:val="center"/>
          </w:tcPr>
          <w:p w14:paraId="534DF90A">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w:t>
            </w:r>
          </w:p>
        </w:tc>
        <w:tc>
          <w:tcPr>
            <w:tcW w:w="446" w:type="pct"/>
            <w:tcBorders>
              <w:tl2br w:val="nil"/>
              <w:tr2bl w:val="nil"/>
            </w:tcBorders>
            <w:vAlign w:val="center"/>
          </w:tcPr>
          <w:p w14:paraId="4ABBF678">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w:t>
            </w:r>
          </w:p>
        </w:tc>
        <w:tc>
          <w:tcPr>
            <w:tcW w:w="972" w:type="pct"/>
            <w:gridSpan w:val="2"/>
            <w:tcBorders>
              <w:tl2br w:val="nil"/>
              <w:tr2bl w:val="nil"/>
            </w:tcBorders>
            <w:vAlign w:val="center"/>
          </w:tcPr>
          <w:p w14:paraId="718CABF1">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地表水</w:t>
            </w:r>
          </w:p>
          <w:p w14:paraId="79A49033">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环境质量</w:t>
            </w:r>
          </w:p>
        </w:tc>
        <w:tc>
          <w:tcPr>
            <w:tcW w:w="685" w:type="pct"/>
            <w:tcBorders>
              <w:tl2br w:val="nil"/>
              <w:tr2bl w:val="nil"/>
            </w:tcBorders>
            <w:vAlign w:val="center"/>
          </w:tcPr>
          <w:p w14:paraId="2B029421">
            <w:pPr>
              <w:pStyle w:val="3"/>
              <w:keepNext w:val="0"/>
              <w:keepLines w:val="0"/>
              <w:pageBreakBefore w:val="0"/>
              <w:widowControl w:val="0"/>
              <w:kinsoku/>
              <w:wordWrap/>
              <w:overflowPunct/>
              <w:topLinePunct w:val="0"/>
              <w:bidi w:val="0"/>
              <w:adjustRightInd/>
              <w:snapToGrid/>
              <w:spacing w:after="0" w:line="320" w:lineRule="exact"/>
              <w:ind w:left="0" w:firstLine="0" w:firstLineChars="0"/>
              <w:jc w:val="center"/>
              <w:rPr>
                <w:rFonts w:eastAsia="宋体" w:cs="Times New Roman"/>
                <w:color w:val="auto"/>
                <w:sz w:val="21"/>
                <w:szCs w:val="21"/>
              </w:rPr>
            </w:pPr>
            <w:r>
              <w:rPr>
                <w:rFonts w:eastAsia="宋体" w:cs="Times New Roman"/>
                <w:color w:val="auto"/>
                <w:sz w:val="21"/>
                <w:szCs w:val="21"/>
              </w:rPr>
              <w:t>《地表水环境质量标准》（GB3838-2002）表1地表水环境质量标准基本项目标准限值中Ⅲ类水体标准</w:t>
            </w:r>
          </w:p>
        </w:tc>
        <w:tc>
          <w:tcPr>
            <w:tcW w:w="299" w:type="pct"/>
            <w:tcBorders>
              <w:tl2br w:val="nil"/>
              <w:tr2bl w:val="nil"/>
            </w:tcBorders>
            <w:vAlign w:val="center"/>
          </w:tcPr>
          <w:p w14:paraId="4856B99E">
            <w:pPr>
              <w:pStyle w:val="77"/>
              <w:keepNext w:val="0"/>
              <w:keepLines w:val="0"/>
              <w:pageBreakBefore w:val="0"/>
              <w:widowControl w:val="0"/>
              <w:kinsoku/>
              <w:wordWrap/>
              <w:overflowPunct/>
              <w:topLinePunct w:val="0"/>
              <w:bidi w:val="0"/>
              <w:adjustRightInd/>
              <w:snapToGrid/>
              <w:spacing w:line="320" w:lineRule="exact"/>
              <w:jc w:val="center"/>
              <w:rPr>
                <w:rFonts w:hint="eastAsia" w:hAnsi="Times New Roman" w:eastAsia="宋体"/>
                <w:color w:val="auto"/>
                <w:szCs w:val="21"/>
                <w:lang w:eastAsia="zh-CN"/>
              </w:rPr>
            </w:pPr>
            <w:r>
              <w:rPr>
                <w:rFonts w:hint="eastAsia" w:hAnsi="Times New Roman"/>
                <w:color w:val="auto"/>
                <w:szCs w:val="21"/>
                <w:lang w:val="en-US" w:eastAsia="zh-CN"/>
              </w:rPr>
              <w:t>E</w:t>
            </w:r>
          </w:p>
        </w:tc>
        <w:tc>
          <w:tcPr>
            <w:tcW w:w="646" w:type="pct"/>
            <w:tcBorders>
              <w:tl2br w:val="nil"/>
              <w:tr2bl w:val="nil"/>
            </w:tcBorders>
            <w:vAlign w:val="center"/>
          </w:tcPr>
          <w:p w14:paraId="1E485B08">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int="eastAsia" w:hAnsi="Times New Roman"/>
                <w:color w:val="auto"/>
                <w:szCs w:val="21"/>
              </w:rPr>
              <w:t>3</w:t>
            </w:r>
            <w:r>
              <w:rPr>
                <w:rFonts w:hint="eastAsia" w:hAnsi="Times New Roman"/>
                <w:color w:val="auto"/>
                <w:szCs w:val="21"/>
                <w:lang w:val="en-US" w:eastAsia="zh-CN"/>
              </w:rPr>
              <w:t>2</w:t>
            </w:r>
            <w:r>
              <w:rPr>
                <w:rFonts w:hint="eastAsia" w:hAnsi="Times New Roman"/>
                <w:color w:val="auto"/>
                <w:szCs w:val="21"/>
              </w:rPr>
              <w:t>00</w:t>
            </w:r>
          </w:p>
        </w:tc>
      </w:tr>
      <w:tr w14:paraId="7F2B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30" w:type="pct"/>
            <w:tcBorders>
              <w:tl2br w:val="nil"/>
              <w:tr2bl w:val="nil"/>
            </w:tcBorders>
            <w:vAlign w:val="center"/>
          </w:tcPr>
          <w:p w14:paraId="37AC0EDF">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土壤</w:t>
            </w:r>
          </w:p>
          <w:p w14:paraId="19E7BB7B">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环境</w:t>
            </w:r>
          </w:p>
        </w:tc>
        <w:tc>
          <w:tcPr>
            <w:tcW w:w="246" w:type="pct"/>
            <w:tcBorders>
              <w:tl2br w:val="nil"/>
              <w:tr2bl w:val="nil"/>
            </w:tcBorders>
            <w:vAlign w:val="center"/>
          </w:tcPr>
          <w:p w14:paraId="0F55E3E6">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1</w:t>
            </w:r>
          </w:p>
        </w:tc>
        <w:tc>
          <w:tcPr>
            <w:tcW w:w="875" w:type="pct"/>
            <w:tcBorders>
              <w:tl2br w:val="nil"/>
              <w:tr2bl w:val="nil"/>
            </w:tcBorders>
            <w:vAlign w:val="center"/>
          </w:tcPr>
          <w:p w14:paraId="12387203">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cs="Times New Roman"/>
                <w:color w:val="auto"/>
                <w:sz w:val="21"/>
                <w:szCs w:val="21"/>
              </w:rPr>
              <w:t>厂址区域土壤</w:t>
            </w:r>
          </w:p>
        </w:tc>
        <w:tc>
          <w:tcPr>
            <w:tcW w:w="497" w:type="pct"/>
            <w:tcBorders>
              <w:tl2br w:val="nil"/>
              <w:tr2bl w:val="nil"/>
            </w:tcBorders>
            <w:vAlign w:val="center"/>
          </w:tcPr>
          <w:p w14:paraId="5C8FE117">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Ansi="Times New Roman"/>
                <w:color w:val="auto"/>
                <w:szCs w:val="21"/>
              </w:rPr>
              <w:t>/</w:t>
            </w:r>
          </w:p>
        </w:tc>
        <w:tc>
          <w:tcPr>
            <w:tcW w:w="446" w:type="pct"/>
            <w:tcBorders>
              <w:tl2br w:val="nil"/>
              <w:tr2bl w:val="nil"/>
            </w:tcBorders>
            <w:vAlign w:val="center"/>
          </w:tcPr>
          <w:p w14:paraId="0E1E111A">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Ansi="Times New Roman"/>
                <w:color w:val="auto"/>
                <w:szCs w:val="21"/>
              </w:rPr>
              <w:t>/</w:t>
            </w:r>
          </w:p>
        </w:tc>
        <w:tc>
          <w:tcPr>
            <w:tcW w:w="972" w:type="pct"/>
            <w:gridSpan w:val="2"/>
            <w:tcBorders>
              <w:tl2br w:val="nil"/>
              <w:tr2bl w:val="nil"/>
            </w:tcBorders>
            <w:vAlign w:val="center"/>
          </w:tcPr>
          <w:p w14:paraId="639D487A">
            <w:pPr>
              <w:keepNext w:val="0"/>
              <w:keepLines w:val="0"/>
              <w:pageBreakBefore w:val="0"/>
              <w:widowControl w:val="0"/>
              <w:kinsoku/>
              <w:wordWrap/>
              <w:overflowPunct/>
              <w:topLinePunct w:val="0"/>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Ansi="Times New Roman"/>
                <w:color w:val="auto"/>
                <w:szCs w:val="21"/>
              </w:rPr>
              <w:t>/</w:t>
            </w:r>
          </w:p>
        </w:tc>
        <w:tc>
          <w:tcPr>
            <w:tcW w:w="685" w:type="pct"/>
            <w:tcBorders>
              <w:tl2br w:val="nil"/>
              <w:tr2bl w:val="nil"/>
            </w:tcBorders>
            <w:vAlign w:val="center"/>
          </w:tcPr>
          <w:p w14:paraId="02BC5740">
            <w:pPr>
              <w:pStyle w:val="77"/>
              <w:keepNext w:val="0"/>
              <w:keepLines w:val="0"/>
              <w:pageBreakBefore w:val="0"/>
              <w:widowControl w:val="0"/>
              <w:kinsoku/>
              <w:wordWrap/>
              <w:overflowPunct/>
              <w:topLinePunct w:val="0"/>
              <w:bidi w:val="0"/>
              <w:adjustRightInd/>
              <w:snapToGrid/>
              <w:spacing w:line="320" w:lineRule="exact"/>
              <w:jc w:val="center"/>
              <w:rPr>
                <w:rFonts w:hAnsi="Times New Roman"/>
                <w:color w:val="auto"/>
                <w:szCs w:val="21"/>
              </w:rPr>
            </w:pPr>
            <w:r>
              <w:rPr>
                <w:rFonts w:hAnsi="Times New Roman"/>
                <w:color w:val="auto"/>
                <w:szCs w:val="21"/>
              </w:rPr>
              <w:t>《土壤环境质量 建设用地土壤污染风险管控标准（试行）》（GB36600-2018）中第二类用地筛选值要求</w:t>
            </w:r>
          </w:p>
        </w:tc>
        <w:tc>
          <w:tcPr>
            <w:tcW w:w="299" w:type="pct"/>
            <w:tcBorders>
              <w:tl2br w:val="nil"/>
              <w:tr2bl w:val="nil"/>
            </w:tcBorders>
            <w:vAlign w:val="center"/>
          </w:tcPr>
          <w:p w14:paraId="58C0957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Ansi="Times New Roman"/>
                <w:color w:val="auto"/>
                <w:szCs w:val="21"/>
              </w:rPr>
              <w:t>/</w:t>
            </w:r>
          </w:p>
        </w:tc>
        <w:tc>
          <w:tcPr>
            <w:tcW w:w="646" w:type="pct"/>
            <w:tcBorders>
              <w:tl2br w:val="nil"/>
              <w:tr2bl w:val="nil"/>
            </w:tcBorders>
            <w:vAlign w:val="center"/>
          </w:tcPr>
          <w:p w14:paraId="5A289542">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Ansi="Times New Roman"/>
                <w:color w:val="auto"/>
                <w:szCs w:val="21"/>
              </w:rPr>
              <w:t>/</w:t>
            </w:r>
          </w:p>
        </w:tc>
      </w:tr>
    </w:tbl>
    <w:p w14:paraId="48DD75F8">
      <w:pPr>
        <w:pStyle w:val="105"/>
        <w:spacing w:line="240" w:lineRule="auto"/>
        <w:ind w:firstLine="480"/>
        <w:rPr>
          <w:color w:val="auto"/>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color w:val="auto"/>
        </w:rPr>
        <mc:AlternateContent>
          <mc:Choice Requires="wps">
            <w:drawing>
              <wp:anchor distT="0" distB="0" distL="114300" distR="114300" simplePos="0" relativeHeight="251667456" behindDoc="0" locked="0" layoutInCell="1" allowOverlap="1">
                <wp:simplePos x="0" y="0"/>
                <wp:positionH relativeFrom="column">
                  <wp:posOffset>6949440</wp:posOffset>
                </wp:positionH>
                <wp:positionV relativeFrom="paragraph">
                  <wp:posOffset>4303395</wp:posOffset>
                </wp:positionV>
                <wp:extent cx="297815" cy="154940"/>
                <wp:effectExtent l="12700" t="12700" r="13335" b="22860"/>
                <wp:wrapNone/>
                <wp:docPr id="53" name="矩形 53"/>
                <wp:cNvGraphicFramePr/>
                <a:graphic xmlns:a="http://schemas.openxmlformats.org/drawingml/2006/main">
                  <a:graphicData uri="http://schemas.microsoft.com/office/word/2010/wordprocessingShape">
                    <wps:wsp>
                      <wps:cNvSpPr/>
                      <wps:spPr>
                        <a:xfrm>
                          <a:off x="8233410" y="5838825"/>
                          <a:ext cx="297815" cy="154940"/>
                        </a:xfrm>
                        <a:prstGeom prst="rect">
                          <a:avLst/>
                        </a:prstGeom>
                        <a:ln>
                          <a:solidFill>
                            <a:srgbClr val="FF0000"/>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47.2pt;margin-top:338.85pt;height:12.2pt;width:23.45pt;z-index:251667456;v-text-anchor:middle;mso-width-relative:page;mso-height-relative:page;" filled="f" stroked="t" coordsize="21600,21600" o:gfxdata="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UCk8k2wAAAA0BAAAPAAAAAAAAAAEAIAAAACIAAABkcnMvZG93bnJl&#10;di54bWxQSwECFAAUAAAACACHTuJA9Mdl8WwCAADBBAAADgAAAAAAAAABACAAAAAqAQAAZHJzL2Uy&#10;b0RvYy54bWxQSwUGAAAAAAYABgBZAQAACAYAAAAA&#10;">
                <v:fill on="f" focussize="0,0"/>
                <v:stroke weight="2pt" color="#FF0000 [3204]" joinstyle="round"/>
                <v:imagedata o:title=""/>
                <o:lock v:ext="edit" aspectratio="f"/>
              </v:rect>
            </w:pict>
          </mc:Fallback>
        </mc:AlternateContent>
      </w:r>
      <w:r>
        <w:rPr>
          <w:color w:val="auto"/>
        </w:rPr>
        <mc:AlternateContent>
          <mc:Choice Requires="wps">
            <w:drawing>
              <wp:anchor distT="0" distB="0" distL="114300" distR="114300" simplePos="0" relativeHeight="251666432" behindDoc="0" locked="0" layoutInCell="1" allowOverlap="1">
                <wp:simplePos x="0" y="0"/>
                <wp:positionH relativeFrom="column">
                  <wp:posOffset>6724015</wp:posOffset>
                </wp:positionH>
                <wp:positionV relativeFrom="paragraph">
                  <wp:posOffset>4041140</wp:posOffset>
                </wp:positionV>
                <wp:extent cx="1773555" cy="916940"/>
                <wp:effectExtent l="4445" t="4445" r="12700" b="12065"/>
                <wp:wrapNone/>
                <wp:docPr id="51" name="文本框 51"/>
                <wp:cNvGraphicFramePr/>
                <a:graphic xmlns:a="http://schemas.openxmlformats.org/drawingml/2006/main">
                  <a:graphicData uri="http://schemas.microsoft.com/office/word/2010/wordprocessingShape">
                    <wps:wsp>
                      <wps:cNvSpPr txBox="1"/>
                      <wps:spPr>
                        <a:xfrm>
                          <a:off x="8114665" y="5528945"/>
                          <a:ext cx="1773555" cy="9169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4691A16">
                            <w:pPr>
                              <w:spacing w:line="240" w:lineRule="auto"/>
                              <w:ind w:firstLine="0" w:firstLineChars="0"/>
                              <w:jc w:val="center"/>
                              <w:rPr>
                                <w:b/>
                                <w:bCs/>
                              </w:rPr>
                            </w:pPr>
                            <w:r>
                              <w:rPr>
                                <w:rFonts w:hint="eastAsia"/>
                                <w:b/>
                                <w:bCs/>
                              </w:rPr>
                              <w:t>图例</w:t>
                            </w:r>
                          </w:p>
                          <w:p w14:paraId="7EBA8BDC">
                            <w:pPr>
                              <w:pStyle w:val="16"/>
                              <w:spacing w:line="240" w:lineRule="auto"/>
                              <w:ind w:firstLine="960" w:firstLineChars="400"/>
                            </w:pPr>
                            <w:r>
                              <w:rPr>
                                <w:rFonts w:hint="eastAsia"/>
                              </w:rPr>
                              <w:t>厂区位置</w:t>
                            </w:r>
                          </w:p>
                          <w:p w14:paraId="1521FFBC">
                            <w:pPr>
                              <w:spacing w:line="240" w:lineRule="auto"/>
                              <w:ind w:firstLine="0" w:firstLineChars="0"/>
                            </w:pPr>
                            <w:r>
                              <w:rPr>
                                <w:rFonts w:hint="eastAsia"/>
                              </w:rPr>
                              <w:t xml:space="preserve">   </w:t>
                            </w:r>
                            <w:r>
                              <w:drawing>
                                <wp:inline distT="0" distB="0" distL="114300" distR="114300">
                                  <wp:extent cx="174625" cy="214630"/>
                                  <wp:effectExtent l="0" t="0" r="15875" b="13970"/>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28"/>
                                          <a:stretch>
                                            <a:fillRect/>
                                          </a:stretch>
                                        </pic:blipFill>
                                        <pic:spPr>
                                          <a:xfrm>
                                            <a:off x="0" y="0"/>
                                            <a:ext cx="174625" cy="214630"/>
                                          </a:xfrm>
                                          <a:prstGeom prst="rect">
                                            <a:avLst/>
                                          </a:prstGeom>
                                          <a:noFill/>
                                          <a:ln>
                                            <a:noFill/>
                                          </a:ln>
                                        </pic:spPr>
                                      </pic:pic>
                                    </a:graphicData>
                                  </a:graphic>
                                </wp:inline>
                              </w:drawing>
                            </w:r>
                            <w:r>
                              <w:rPr>
                                <w:rFonts w:hint="eastAsia"/>
                              </w:rPr>
                              <w:t xml:space="preserve"> 环境保护目标</w:t>
                            </w:r>
                          </w:p>
                          <w:p w14:paraId="141DF6C3">
                            <w:pPr>
                              <w:pStyle w:val="27"/>
                              <w:ind w:left="6000" w:firstLine="480"/>
                            </w:pPr>
                          </w:p>
                          <w:p w14:paraId="34A749D5">
                            <w:pPr>
                              <w:pStyle w:val="27"/>
                              <w:ind w:left="6000" w:firstLine="480"/>
                            </w:pPr>
                          </w:p>
                          <w:p w14:paraId="66CEDC05">
                            <w:pPr>
                              <w:ind w:firstLine="4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29.45pt;margin-top:318.2pt;height:72.2pt;width:139.65pt;z-index:251666432;mso-width-relative:page;mso-height-relative:page;" fillcolor="#FFFFFF [3201]" filled="t" stroked="t" coordsize="21600,21600" o:gfxdata="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Cv7DYtgAAAANAQAADwAAAAAAAAABACAAAAAiAAAAZHJzL2Rvd25yZXYueG1sUEsB&#10;AhQAFAAAAAgAh07iQESvQv5nAgAAxQQAAA4AAAAAAAAAAQAgAAAAJwEAAGRycy9lMm9Eb2MueG1s&#10;UEsFBgAAAAAGAAYAWQEAAAAGAAAAAA==&#10;">
                <v:fill on="t" focussize="0,0"/>
                <v:stroke weight="0.5pt" color="#000000 [3204]" joinstyle="round"/>
                <v:imagedata o:title=""/>
                <o:lock v:ext="edit" aspectratio="f"/>
                <v:textbox>
                  <w:txbxContent>
                    <w:p w14:paraId="14691A16">
                      <w:pPr>
                        <w:spacing w:line="240" w:lineRule="auto"/>
                        <w:ind w:firstLine="0" w:firstLineChars="0"/>
                        <w:jc w:val="center"/>
                        <w:rPr>
                          <w:b/>
                          <w:bCs/>
                        </w:rPr>
                      </w:pPr>
                      <w:r>
                        <w:rPr>
                          <w:rFonts w:hint="eastAsia"/>
                          <w:b/>
                          <w:bCs/>
                        </w:rPr>
                        <w:t>图例</w:t>
                      </w:r>
                    </w:p>
                    <w:p w14:paraId="7EBA8BDC">
                      <w:pPr>
                        <w:pStyle w:val="16"/>
                        <w:spacing w:line="240" w:lineRule="auto"/>
                        <w:ind w:firstLine="960" w:firstLineChars="400"/>
                      </w:pPr>
                      <w:r>
                        <w:rPr>
                          <w:rFonts w:hint="eastAsia"/>
                        </w:rPr>
                        <w:t>厂区位置</w:t>
                      </w:r>
                    </w:p>
                    <w:p w14:paraId="1521FFBC">
                      <w:pPr>
                        <w:spacing w:line="240" w:lineRule="auto"/>
                        <w:ind w:firstLine="0" w:firstLineChars="0"/>
                      </w:pPr>
                      <w:r>
                        <w:rPr>
                          <w:rFonts w:hint="eastAsia"/>
                        </w:rPr>
                        <w:t xml:space="preserve">   </w:t>
                      </w:r>
                      <w:r>
                        <w:drawing>
                          <wp:inline distT="0" distB="0" distL="114300" distR="114300">
                            <wp:extent cx="174625" cy="214630"/>
                            <wp:effectExtent l="0" t="0" r="15875" b="13970"/>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28"/>
                                    <a:stretch>
                                      <a:fillRect/>
                                    </a:stretch>
                                  </pic:blipFill>
                                  <pic:spPr>
                                    <a:xfrm>
                                      <a:off x="0" y="0"/>
                                      <a:ext cx="174625" cy="214630"/>
                                    </a:xfrm>
                                    <a:prstGeom prst="rect">
                                      <a:avLst/>
                                    </a:prstGeom>
                                    <a:noFill/>
                                    <a:ln>
                                      <a:noFill/>
                                    </a:ln>
                                  </pic:spPr>
                                </pic:pic>
                              </a:graphicData>
                            </a:graphic>
                          </wp:inline>
                        </w:drawing>
                      </w:r>
                      <w:r>
                        <w:rPr>
                          <w:rFonts w:hint="eastAsia"/>
                        </w:rPr>
                        <w:t xml:space="preserve"> 环境保护目标</w:t>
                      </w:r>
                    </w:p>
                    <w:p w14:paraId="141DF6C3">
                      <w:pPr>
                        <w:pStyle w:val="27"/>
                        <w:ind w:left="6000" w:firstLine="480"/>
                      </w:pPr>
                    </w:p>
                    <w:p w14:paraId="34A749D5">
                      <w:pPr>
                        <w:pStyle w:val="27"/>
                        <w:ind w:left="6000" w:firstLine="480"/>
                      </w:pPr>
                    </w:p>
                    <w:p w14:paraId="66CEDC05">
                      <w:pPr>
                        <w:ind w:firstLine="480"/>
                      </w:pPr>
                    </w:p>
                  </w:txbxContent>
                </v:textbox>
              </v:shape>
            </w:pict>
          </mc:Fallback>
        </mc:AlternateContent>
      </w:r>
    </w:p>
    <w:p w14:paraId="6134BE94">
      <w:pPr>
        <w:ind w:firstLine="0" w:firstLineChars="0"/>
        <w:jc w:val="center"/>
        <w:rPr>
          <w:rFonts w:hint="eastAsia" w:eastAsia="宋体"/>
          <w:color w:val="auto"/>
          <w:lang w:eastAsia="zh-CN"/>
        </w:rPr>
      </w:pPr>
      <w:r>
        <w:rPr>
          <w:rFonts w:hint="eastAsia" w:eastAsia="宋体"/>
          <w:color w:val="auto"/>
          <w:lang w:eastAsia="zh-CN"/>
        </w:rPr>
        <w:drawing>
          <wp:anchor distT="0" distB="0" distL="114300" distR="114300" simplePos="0" relativeHeight="251686912" behindDoc="0" locked="0" layoutInCell="1" allowOverlap="1">
            <wp:simplePos x="0" y="0"/>
            <wp:positionH relativeFrom="column">
              <wp:posOffset>6272530</wp:posOffset>
            </wp:positionH>
            <wp:positionV relativeFrom="paragraph">
              <wp:posOffset>3594100</wp:posOffset>
            </wp:positionV>
            <wp:extent cx="1033780" cy="930910"/>
            <wp:effectExtent l="0" t="0" r="0" b="0"/>
            <wp:wrapNone/>
            <wp:docPr id="88" name="图片 88" descr="28ee4a9bf18402f659ebc60a1ce4e5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28ee4a9bf18402f659ebc60a1ce4e59d"/>
                    <pic:cNvPicPr>
                      <a:picLocks noChangeAspect="1"/>
                    </pic:cNvPicPr>
                  </pic:nvPicPr>
                  <pic:blipFill>
                    <a:blip r:embed="rId29"/>
                    <a:srcRect b="55697"/>
                    <a:stretch>
                      <a:fillRect/>
                    </a:stretch>
                  </pic:blipFill>
                  <pic:spPr>
                    <a:xfrm>
                      <a:off x="0" y="0"/>
                      <a:ext cx="1033780" cy="930910"/>
                    </a:xfrm>
                    <a:prstGeom prst="rect">
                      <a:avLst/>
                    </a:prstGeom>
                  </pic:spPr>
                </pic:pic>
              </a:graphicData>
            </a:graphic>
          </wp:anchor>
        </w:drawing>
      </w:r>
      <w:r>
        <w:rPr>
          <w:color w:val="auto"/>
        </w:rPr>
        <w:drawing>
          <wp:anchor distT="0" distB="0" distL="0" distR="0" simplePos="0" relativeHeight="251669504" behindDoc="0" locked="0" layoutInCell="1" allowOverlap="1">
            <wp:simplePos x="0" y="0"/>
            <wp:positionH relativeFrom="column">
              <wp:posOffset>6891020</wp:posOffset>
            </wp:positionH>
            <wp:positionV relativeFrom="paragraph">
              <wp:posOffset>92710</wp:posOffset>
            </wp:positionV>
            <wp:extent cx="451485" cy="425450"/>
            <wp:effectExtent l="9525" t="9525" r="15240" b="2222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0"/>
                    <a:stretch>
                      <a:fillRect/>
                    </a:stretch>
                  </pic:blipFill>
                  <pic:spPr>
                    <a:xfrm>
                      <a:off x="0" y="0"/>
                      <a:ext cx="451485" cy="425450"/>
                    </a:xfrm>
                    <a:prstGeom prst="rect">
                      <a:avLst/>
                    </a:prstGeom>
                    <a:ln>
                      <a:solidFill>
                        <a:schemeClr val="tx1"/>
                      </a:solidFill>
                    </a:ln>
                  </pic:spPr>
                </pic:pic>
              </a:graphicData>
            </a:graphic>
          </wp:anchor>
        </w:drawing>
      </w:r>
      <w:r>
        <w:rPr>
          <w:rFonts w:ascii="宋体" w:hAnsi="宋体" w:eastAsia="宋体" w:cs="宋体"/>
          <w:color w:val="auto"/>
          <w:sz w:val="24"/>
          <w:szCs w:val="24"/>
        </w:rPr>
        <w:drawing>
          <wp:inline distT="0" distB="0" distL="114300" distR="114300">
            <wp:extent cx="5854700" cy="4751070"/>
            <wp:effectExtent l="0" t="0" r="12700" b="11430"/>
            <wp:docPr id="87"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1" descr="IMG_256"/>
                    <pic:cNvPicPr>
                      <a:picLocks noChangeAspect="1"/>
                    </pic:cNvPicPr>
                  </pic:nvPicPr>
                  <pic:blipFill>
                    <a:blip r:embed="rId31"/>
                    <a:stretch>
                      <a:fillRect/>
                    </a:stretch>
                  </pic:blipFill>
                  <pic:spPr>
                    <a:xfrm>
                      <a:off x="0" y="0"/>
                      <a:ext cx="5854700" cy="4751070"/>
                    </a:xfrm>
                    <a:prstGeom prst="rect">
                      <a:avLst/>
                    </a:prstGeom>
                    <a:noFill/>
                    <a:ln w="9525">
                      <a:noFill/>
                    </a:ln>
                  </pic:spPr>
                </pic:pic>
              </a:graphicData>
            </a:graphic>
          </wp:inline>
        </w:drawing>
      </w:r>
    </w:p>
    <w:p w14:paraId="0D65D61B">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图2.5-1  本项目</w:t>
      </w:r>
      <w:r>
        <w:rPr>
          <w:rFonts w:hint="eastAsia" w:eastAsia="宋体" w:cs="Times New Roman"/>
          <w:b/>
          <w:bCs/>
          <w:color w:val="auto"/>
          <w:sz w:val="24"/>
          <w:szCs w:val="24"/>
          <w:highlight w:val="none"/>
          <w:lang w:val="en-US" w:eastAsia="zh-CN"/>
        </w:rPr>
        <w:t>大气评价范围及</w:t>
      </w:r>
      <w:r>
        <w:rPr>
          <w:rFonts w:hint="eastAsia" w:ascii="Times New Roman" w:hAnsi="Times New Roman" w:eastAsia="宋体" w:cs="Times New Roman"/>
          <w:b/>
          <w:bCs/>
          <w:color w:val="auto"/>
          <w:sz w:val="24"/>
          <w:szCs w:val="24"/>
          <w:highlight w:val="none"/>
          <w:lang w:val="en-US" w:eastAsia="zh-CN"/>
        </w:rPr>
        <w:t>环境保护目标图</w:t>
      </w:r>
    </w:p>
    <w:p w14:paraId="6445350E">
      <w:pPr>
        <w:ind w:firstLine="0" w:firstLineChars="0"/>
        <w:jc w:val="center"/>
        <w:rPr>
          <w:rFonts w:hint="eastAsia" w:eastAsiaTheme="minorEastAsia"/>
          <w:color w:val="auto"/>
          <w:lang w:eastAsia="zh-CN"/>
        </w:rPr>
      </w:pPr>
      <w:r>
        <w:rPr>
          <w:color w:val="auto"/>
        </w:rPr>
        <w:drawing>
          <wp:anchor distT="0" distB="0" distL="0" distR="0" simplePos="0" relativeHeight="251670528" behindDoc="0" locked="0" layoutInCell="1" allowOverlap="1">
            <wp:simplePos x="0" y="0"/>
            <wp:positionH relativeFrom="column">
              <wp:posOffset>6328410</wp:posOffset>
            </wp:positionH>
            <wp:positionV relativeFrom="paragraph">
              <wp:posOffset>208280</wp:posOffset>
            </wp:positionV>
            <wp:extent cx="1257300" cy="1182370"/>
            <wp:effectExtent l="9525" t="9525" r="15875" b="14605"/>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
                    <a:stretch>
                      <a:fillRect/>
                    </a:stretch>
                  </pic:blipFill>
                  <pic:spPr>
                    <a:xfrm>
                      <a:off x="0" y="0"/>
                      <a:ext cx="1257300" cy="1182370"/>
                    </a:xfrm>
                    <a:prstGeom prst="rect">
                      <a:avLst/>
                    </a:prstGeom>
                    <a:ln>
                      <a:solidFill>
                        <a:schemeClr val="tx1"/>
                      </a:solidFill>
                    </a:ln>
                  </pic:spPr>
                </pic:pic>
              </a:graphicData>
            </a:graphic>
          </wp:anchor>
        </w:drawing>
      </w:r>
      <w:r>
        <w:rPr>
          <w:rFonts w:hint="eastAsia" w:eastAsiaTheme="minorEastAsia"/>
          <w:color w:val="auto"/>
          <w:lang w:eastAsia="zh-CN"/>
        </w:rPr>
        <w:drawing>
          <wp:inline distT="0" distB="0" distL="114300" distR="114300">
            <wp:extent cx="6480175" cy="4561840"/>
            <wp:effectExtent l="0" t="0" r="9525" b="10160"/>
            <wp:docPr id="60" name="图片 60" descr="声环境保护目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声环境保护目标"/>
                    <pic:cNvPicPr>
                      <a:picLocks noChangeAspect="1"/>
                    </pic:cNvPicPr>
                  </pic:nvPicPr>
                  <pic:blipFill>
                    <a:blip r:embed="rId32"/>
                    <a:stretch>
                      <a:fillRect/>
                    </a:stretch>
                  </pic:blipFill>
                  <pic:spPr>
                    <a:xfrm>
                      <a:off x="0" y="0"/>
                      <a:ext cx="6480175" cy="4561840"/>
                    </a:xfrm>
                    <a:prstGeom prst="rect">
                      <a:avLst/>
                    </a:prstGeom>
                  </pic:spPr>
                </pic:pic>
              </a:graphicData>
            </a:graphic>
          </wp:inline>
        </w:drawing>
      </w:r>
    </w:p>
    <w:p w14:paraId="17F15CD8">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图2.5</w:t>
      </w:r>
      <w:r>
        <w:rPr>
          <w:rFonts w:hint="eastAsia" w:eastAsia="宋体" w:cs="Times New Roman"/>
          <w:b/>
          <w:bCs/>
          <w:color w:val="auto"/>
          <w:sz w:val="24"/>
          <w:szCs w:val="24"/>
          <w:lang w:val="en-US" w:eastAsia="zh-CN"/>
        </w:rPr>
        <w:t>-2</w:t>
      </w:r>
      <w:r>
        <w:rPr>
          <w:rFonts w:hint="eastAsia" w:ascii="Times New Roman" w:hAnsi="Times New Roman" w:eastAsia="宋体" w:cs="Times New Roman"/>
          <w:b/>
          <w:bCs/>
          <w:color w:val="auto"/>
          <w:sz w:val="24"/>
          <w:szCs w:val="24"/>
          <w:lang w:val="en-US" w:eastAsia="zh-CN"/>
        </w:rPr>
        <w:t xml:space="preserve">  本项目</w:t>
      </w:r>
      <w:r>
        <w:rPr>
          <w:rFonts w:hint="eastAsia" w:eastAsia="宋体" w:cs="Times New Roman"/>
          <w:b/>
          <w:bCs/>
          <w:color w:val="auto"/>
          <w:sz w:val="24"/>
          <w:szCs w:val="24"/>
          <w:lang w:val="en-US" w:eastAsia="zh-CN"/>
        </w:rPr>
        <w:t>噪声评价范围及</w:t>
      </w:r>
      <w:r>
        <w:rPr>
          <w:rFonts w:hint="eastAsia" w:ascii="Times New Roman" w:hAnsi="Times New Roman" w:eastAsia="宋体" w:cs="Times New Roman"/>
          <w:b/>
          <w:bCs/>
          <w:color w:val="auto"/>
          <w:sz w:val="24"/>
          <w:szCs w:val="24"/>
          <w:lang w:val="en-US" w:eastAsia="zh-CN"/>
        </w:rPr>
        <w:t>环境保护目标图</w:t>
      </w:r>
    </w:p>
    <w:p w14:paraId="07E1606A">
      <w:pPr>
        <w:ind w:firstLine="0" w:firstLineChars="0"/>
        <w:jc w:val="center"/>
        <w:rPr>
          <w:rFonts w:hint="eastAsia" w:eastAsiaTheme="minorEastAsia"/>
          <w:color w:val="auto"/>
          <w:lang w:eastAsia="zh-CN"/>
        </w:rPr>
      </w:pPr>
      <w:r>
        <w:rPr>
          <w:color w:val="auto"/>
        </w:rPr>
        <w:drawing>
          <wp:anchor distT="0" distB="0" distL="0" distR="0" simplePos="0" relativeHeight="251671552" behindDoc="0" locked="0" layoutInCell="1" allowOverlap="1">
            <wp:simplePos x="0" y="0"/>
            <wp:positionH relativeFrom="column">
              <wp:posOffset>6328410</wp:posOffset>
            </wp:positionH>
            <wp:positionV relativeFrom="paragraph">
              <wp:posOffset>208280</wp:posOffset>
            </wp:positionV>
            <wp:extent cx="1257300" cy="1182370"/>
            <wp:effectExtent l="9525" t="9525" r="15875" b="14605"/>
            <wp:wrapNone/>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0"/>
                    <a:stretch>
                      <a:fillRect/>
                    </a:stretch>
                  </pic:blipFill>
                  <pic:spPr>
                    <a:xfrm>
                      <a:off x="0" y="0"/>
                      <a:ext cx="1257300" cy="1182370"/>
                    </a:xfrm>
                    <a:prstGeom prst="rect">
                      <a:avLst/>
                    </a:prstGeom>
                    <a:ln>
                      <a:solidFill>
                        <a:schemeClr val="tx1"/>
                      </a:solidFill>
                    </a:ln>
                  </pic:spPr>
                </pic:pic>
              </a:graphicData>
            </a:graphic>
          </wp:anchor>
        </w:drawing>
      </w:r>
      <w:r>
        <w:rPr>
          <w:rFonts w:hint="eastAsia" w:eastAsiaTheme="minorEastAsia"/>
          <w:color w:val="auto"/>
          <w:lang w:eastAsia="zh-CN"/>
        </w:rPr>
        <w:drawing>
          <wp:inline distT="0" distB="0" distL="114300" distR="114300">
            <wp:extent cx="6480175" cy="4561840"/>
            <wp:effectExtent l="0" t="0" r="9525" b="10160"/>
            <wp:docPr id="61" name="图片 61" descr="土壤环境评价范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土壤环境评价范围"/>
                    <pic:cNvPicPr>
                      <a:picLocks noChangeAspect="1"/>
                    </pic:cNvPicPr>
                  </pic:nvPicPr>
                  <pic:blipFill>
                    <a:blip r:embed="rId33"/>
                    <a:stretch>
                      <a:fillRect/>
                    </a:stretch>
                  </pic:blipFill>
                  <pic:spPr>
                    <a:xfrm>
                      <a:off x="0" y="0"/>
                      <a:ext cx="6480175" cy="4561840"/>
                    </a:xfrm>
                    <a:prstGeom prst="rect">
                      <a:avLst/>
                    </a:prstGeom>
                  </pic:spPr>
                </pic:pic>
              </a:graphicData>
            </a:graphic>
          </wp:inline>
        </w:drawing>
      </w:r>
    </w:p>
    <w:p w14:paraId="4915F2D5">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图2.5-</w:t>
      </w:r>
      <w:r>
        <w:rPr>
          <w:rFonts w:hint="eastAsia" w:eastAsia="宋体" w:cs="Times New Roman"/>
          <w:b/>
          <w:bCs/>
          <w:color w:val="auto"/>
          <w:sz w:val="24"/>
          <w:szCs w:val="24"/>
          <w:lang w:val="en-US" w:eastAsia="zh-CN"/>
        </w:rPr>
        <w:t>3</w:t>
      </w:r>
      <w:r>
        <w:rPr>
          <w:rFonts w:hint="eastAsia" w:ascii="Times New Roman" w:hAnsi="Times New Roman" w:eastAsia="宋体" w:cs="Times New Roman"/>
          <w:b/>
          <w:bCs/>
          <w:color w:val="auto"/>
          <w:sz w:val="24"/>
          <w:szCs w:val="24"/>
          <w:lang w:val="en-US" w:eastAsia="zh-CN"/>
        </w:rPr>
        <w:t xml:space="preserve">  本项目</w:t>
      </w:r>
      <w:r>
        <w:rPr>
          <w:rFonts w:hint="eastAsia" w:eastAsia="宋体" w:cs="Times New Roman"/>
          <w:b/>
          <w:bCs/>
          <w:color w:val="auto"/>
          <w:sz w:val="24"/>
          <w:szCs w:val="24"/>
          <w:lang w:val="en-US" w:eastAsia="zh-CN"/>
        </w:rPr>
        <w:t>土壤评价范围及</w:t>
      </w:r>
      <w:r>
        <w:rPr>
          <w:rFonts w:hint="eastAsia" w:ascii="Times New Roman" w:hAnsi="Times New Roman" w:eastAsia="宋体" w:cs="Times New Roman"/>
          <w:b/>
          <w:bCs/>
          <w:color w:val="auto"/>
          <w:sz w:val="24"/>
          <w:szCs w:val="24"/>
          <w:lang w:val="en-US" w:eastAsia="zh-CN"/>
        </w:rPr>
        <w:t>环境保护目标图</w:t>
      </w:r>
    </w:p>
    <w:p w14:paraId="1E46CE8D">
      <w:pPr>
        <w:ind w:firstLine="0" w:firstLineChars="0"/>
        <w:jc w:val="center"/>
        <w:rPr>
          <w:rFonts w:hint="eastAsia" w:eastAsia="黑体"/>
          <w:color w:val="auto"/>
          <w:lang w:eastAsia="zh-CN"/>
        </w:rPr>
      </w:pPr>
      <w:r>
        <w:rPr>
          <w:color w:val="auto"/>
        </w:rPr>
        <w:drawing>
          <wp:inline distT="0" distB="0" distL="114300" distR="114300">
            <wp:extent cx="6480175" cy="4561840"/>
            <wp:effectExtent l="0" t="0" r="9525" b="10160"/>
            <wp:docPr id="62" name="图片 62" descr="生态环境影响评价范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生态环境影响评价范围"/>
                    <pic:cNvPicPr>
                      <a:picLocks noChangeAspect="1"/>
                    </pic:cNvPicPr>
                  </pic:nvPicPr>
                  <pic:blipFill>
                    <a:blip r:embed="rId34"/>
                    <a:stretch>
                      <a:fillRect/>
                    </a:stretch>
                  </pic:blipFill>
                  <pic:spPr>
                    <a:xfrm>
                      <a:off x="0" y="0"/>
                      <a:ext cx="6480175" cy="4561840"/>
                    </a:xfrm>
                    <a:prstGeom prst="rect">
                      <a:avLst/>
                    </a:prstGeom>
                  </pic:spPr>
                </pic:pic>
              </a:graphicData>
            </a:graphic>
          </wp:inline>
        </w:drawing>
      </w:r>
      <w:r>
        <w:rPr>
          <w:color w:val="auto"/>
        </w:rPr>
        <w:drawing>
          <wp:anchor distT="0" distB="0" distL="0" distR="0" simplePos="0" relativeHeight="251672576" behindDoc="0" locked="0" layoutInCell="1" allowOverlap="1">
            <wp:simplePos x="0" y="0"/>
            <wp:positionH relativeFrom="column">
              <wp:posOffset>6328410</wp:posOffset>
            </wp:positionH>
            <wp:positionV relativeFrom="paragraph">
              <wp:posOffset>208280</wp:posOffset>
            </wp:positionV>
            <wp:extent cx="1257300" cy="1182370"/>
            <wp:effectExtent l="9525" t="9525" r="15875" b="14605"/>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30"/>
                    <a:stretch>
                      <a:fillRect/>
                    </a:stretch>
                  </pic:blipFill>
                  <pic:spPr>
                    <a:xfrm>
                      <a:off x="0" y="0"/>
                      <a:ext cx="1257300" cy="1182370"/>
                    </a:xfrm>
                    <a:prstGeom prst="rect">
                      <a:avLst/>
                    </a:prstGeom>
                    <a:ln>
                      <a:solidFill>
                        <a:schemeClr val="tx1"/>
                      </a:solidFill>
                    </a:ln>
                  </pic:spPr>
                </pic:pic>
              </a:graphicData>
            </a:graphic>
          </wp:anchor>
        </w:drawing>
      </w:r>
    </w:p>
    <w:p w14:paraId="3DDBF0C6">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图2.5-</w:t>
      </w:r>
      <w:r>
        <w:rPr>
          <w:rFonts w:hint="eastAsia" w:eastAsia="宋体" w:cs="Times New Roman"/>
          <w:b/>
          <w:bCs/>
          <w:color w:val="auto"/>
          <w:sz w:val="24"/>
          <w:szCs w:val="24"/>
          <w:lang w:val="en-US" w:eastAsia="zh-CN"/>
        </w:rPr>
        <w:t>4</w:t>
      </w:r>
      <w:r>
        <w:rPr>
          <w:rFonts w:hint="eastAsia" w:ascii="Times New Roman" w:hAnsi="Times New Roman" w:eastAsia="宋体" w:cs="Times New Roman"/>
          <w:b/>
          <w:bCs/>
          <w:color w:val="auto"/>
          <w:sz w:val="24"/>
          <w:szCs w:val="24"/>
          <w:lang w:val="en-US" w:eastAsia="zh-CN"/>
        </w:rPr>
        <w:t xml:space="preserve">  本项目</w:t>
      </w:r>
      <w:r>
        <w:rPr>
          <w:rFonts w:hint="eastAsia" w:eastAsia="宋体" w:cs="Times New Roman"/>
          <w:b/>
          <w:bCs/>
          <w:color w:val="auto"/>
          <w:sz w:val="24"/>
          <w:szCs w:val="24"/>
          <w:lang w:val="en-US" w:eastAsia="zh-CN"/>
        </w:rPr>
        <w:t>生态评价范围及</w:t>
      </w:r>
      <w:r>
        <w:rPr>
          <w:rFonts w:hint="eastAsia" w:ascii="Times New Roman" w:hAnsi="Times New Roman" w:eastAsia="宋体" w:cs="Times New Roman"/>
          <w:b/>
          <w:bCs/>
          <w:color w:val="auto"/>
          <w:sz w:val="24"/>
          <w:szCs w:val="24"/>
          <w:lang w:val="en-US" w:eastAsia="zh-CN"/>
        </w:rPr>
        <w:t>环境保护目标图</w:t>
      </w:r>
    </w:p>
    <w:p w14:paraId="3D4A81D6">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drawing>
          <wp:inline distT="0" distB="0" distL="114300" distR="114300">
            <wp:extent cx="7919720" cy="4457065"/>
            <wp:effectExtent l="9525" t="9525" r="20955" b="16510"/>
            <wp:docPr id="97" name="图片 97" descr="111111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111111副本"/>
                    <pic:cNvPicPr>
                      <a:picLocks noChangeAspect="1"/>
                    </pic:cNvPicPr>
                  </pic:nvPicPr>
                  <pic:blipFill>
                    <a:blip r:embed="rId35"/>
                    <a:stretch>
                      <a:fillRect/>
                    </a:stretch>
                  </pic:blipFill>
                  <pic:spPr>
                    <a:xfrm>
                      <a:off x="0" y="0"/>
                      <a:ext cx="7919720" cy="4457065"/>
                    </a:xfrm>
                    <a:prstGeom prst="rect">
                      <a:avLst/>
                    </a:prstGeom>
                    <a:ln>
                      <a:solidFill>
                        <a:schemeClr val="tx1"/>
                      </a:solidFill>
                    </a:ln>
                  </pic:spPr>
                </pic:pic>
              </a:graphicData>
            </a:graphic>
          </wp:inline>
        </w:drawing>
      </w:r>
    </w:p>
    <w:p w14:paraId="0FBF1281">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FF0000"/>
          <w:sz w:val="24"/>
          <w:szCs w:val="24"/>
          <w:lang w:val="en-US" w:eastAsia="zh-CN"/>
        </w:rPr>
      </w:pPr>
      <w:r>
        <w:rPr>
          <w:rFonts w:hint="eastAsia" w:ascii="Times New Roman" w:hAnsi="Times New Roman" w:eastAsia="宋体" w:cs="Times New Roman"/>
          <w:b/>
          <w:bCs/>
          <w:color w:val="FF0000"/>
          <w:sz w:val="24"/>
          <w:szCs w:val="24"/>
          <w:lang w:val="en-US" w:eastAsia="zh-CN"/>
        </w:rPr>
        <w:t>图2.5-</w:t>
      </w:r>
      <w:r>
        <w:rPr>
          <w:rFonts w:hint="eastAsia" w:eastAsia="宋体" w:cs="Times New Roman"/>
          <w:b/>
          <w:bCs/>
          <w:color w:val="FF0000"/>
          <w:sz w:val="24"/>
          <w:szCs w:val="24"/>
          <w:lang w:val="en-US" w:eastAsia="zh-CN"/>
        </w:rPr>
        <w:t>5</w:t>
      </w:r>
      <w:r>
        <w:rPr>
          <w:rFonts w:hint="eastAsia" w:ascii="Times New Roman" w:hAnsi="Times New Roman" w:eastAsia="宋体" w:cs="Times New Roman"/>
          <w:b/>
          <w:bCs/>
          <w:color w:val="FF0000"/>
          <w:sz w:val="24"/>
          <w:szCs w:val="24"/>
          <w:lang w:val="en-US" w:eastAsia="zh-CN"/>
        </w:rPr>
        <w:t xml:space="preserve">  本项目</w:t>
      </w:r>
      <w:r>
        <w:rPr>
          <w:rFonts w:hint="eastAsia" w:eastAsia="宋体" w:cs="Times New Roman"/>
          <w:b/>
          <w:bCs/>
          <w:color w:val="FF0000"/>
          <w:sz w:val="24"/>
          <w:szCs w:val="24"/>
          <w:lang w:val="en-US" w:eastAsia="zh-CN"/>
        </w:rPr>
        <w:t>维修管线周边</w:t>
      </w:r>
      <w:r>
        <w:rPr>
          <w:rFonts w:hint="eastAsia" w:ascii="Times New Roman" w:hAnsi="Times New Roman" w:eastAsia="宋体" w:cs="Times New Roman"/>
          <w:b/>
          <w:bCs/>
          <w:color w:val="FF0000"/>
          <w:sz w:val="24"/>
          <w:szCs w:val="24"/>
          <w:lang w:val="en-US" w:eastAsia="zh-CN"/>
        </w:rPr>
        <w:t>保护目标</w:t>
      </w:r>
      <w:r>
        <w:rPr>
          <w:rFonts w:hint="eastAsia" w:eastAsia="宋体" w:cs="Times New Roman"/>
          <w:b/>
          <w:bCs/>
          <w:color w:val="FF0000"/>
          <w:sz w:val="24"/>
          <w:szCs w:val="24"/>
          <w:lang w:val="en-US" w:eastAsia="zh-CN"/>
        </w:rPr>
        <w:t>分布</w:t>
      </w:r>
      <w:r>
        <w:rPr>
          <w:rFonts w:hint="eastAsia" w:ascii="Times New Roman" w:hAnsi="Times New Roman" w:eastAsia="宋体" w:cs="Times New Roman"/>
          <w:b/>
          <w:bCs/>
          <w:color w:val="FF0000"/>
          <w:sz w:val="24"/>
          <w:szCs w:val="24"/>
          <w:lang w:val="en-US" w:eastAsia="zh-CN"/>
        </w:rPr>
        <w:t>图</w:t>
      </w:r>
    </w:p>
    <w:p w14:paraId="5EEE82E1">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p>
    <w:p w14:paraId="3528AC8D">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14:paraId="4170FA6B">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default" w:ascii="Times New Roman" w:hAnsi="Times New Roman" w:eastAsia="宋体" w:cs="Times New Roman"/>
          <w:b/>
          <w:bCs/>
          <w:color w:val="auto"/>
          <w:kern w:val="2"/>
          <w:sz w:val="32"/>
          <w:szCs w:val="32"/>
        </w:rPr>
      </w:pPr>
      <w:bookmarkStart w:id="173" w:name="_Toc32605"/>
      <w:r>
        <w:rPr>
          <w:rStyle w:val="164"/>
          <w:rFonts w:hint="eastAsia" w:ascii="Times New Roman" w:hAnsi="Times New Roman" w:cs="Times New Roman"/>
          <w:b/>
          <w:bCs/>
          <w:color w:val="auto"/>
          <w:kern w:val="2"/>
          <w:sz w:val="32"/>
          <w:szCs w:val="32"/>
          <w:lang w:val="en-US" w:eastAsia="zh-CN"/>
        </w:rPr>
        <w:t>3、</w:t>
      </w:r>
      <w:r>
        <w:rPr>
          <w:rStyle w:val="164"/>
          <w:rFonts w:hint="eastAsia" w:ascii="Times New Roman" w:hAnsi="Times New Roman" w:eastAsia="宋体" w:cs="Times New Roman"/>
          <w:b/>
          <w:bCs/>
          <w:color w:val="auto"/>
          <w:kern w:val="2"/>
          <w:sz w:val="32"/>
          <w:szCs w:val="32"/>
          <w:lang w:val="en-US" w:eastAsia="zh-CN"/>
        </w:rPr>
        <w:t>工程概况</w:t>
      </w:r>
      <w:bookmarkEnd w:id="173"/>
    </w:p>
    <w:p w14:paraId="28C2B934">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174" w:name="_Toc9724"/>
      <w:bookmarkStart w:id="175" w:name="_Toc6298"/>
      <w:r>
        <w:rPr>
          <w:rFonts w:hint="eastAsia" w:ascii="Times New Roman" w:hAnsi="Times New Roman" w:cs="Times New Roman"/>
          <w:b/>
          <w:bCs/>
          <w:color w:val="auto"/>
          <w:lang w:val="en-US" w:eastAsia="zh-CN"/>
        </w:rPr>
        <w:t xml:space="preserve">3.1 </w:t>
      </w:r>
      <w:r>
        <w:rPr>
          <w:rFonts w:hint="default" w:ascii="Times New Roman" w:hAnsi="Times New Roman" w:eastAsia="宋体" w:cs="Times New Roman"/>
          <w:b/>
          <w:bCs/>
          <w:color w:val="auto"/>
        </w:rPr>
        <w:t>现有工程</w:t>
      </w:r>
      <w:bookmarkEnd w:id="174"/>
      <w:r>
        <w:rPr>
          <w:rFonts w:hint="eastAsia" w:ascii="Times New Roman" w:hAnsi="Times New Roman" w:eastAsia="宋体" w:cs="Times New Roman"/>
          <w:b/>
          <w:bCs/>
          <w:color w:val="auto"/>
        </w:rPr>
        <w:t>建设内容</w:t>
      </w:r>
      <w:bookmarkEnd w:id="175"/>
    </w:p>
    <w:p w14:paraId="030A5D97">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bookmarkStart w:id="176" w:name="_Toc29821"/>
      <w:bookmarkStart w:id="177" w:name="_Toc13307"/>
      <w:bookmarkStart w:id="178" w:name="_Toc32164"/>
      <w:bookmarkStart w:id="179" w:name="_Toc107238104"/>
      <w:bookmarkStart w:id="180" w:name="_Toc17794"/>
      <w:bookmarkStart w:id="181" w:name="_Toc105659887"/>
      <w:r>
        <w:rPr>
          <w:rFonts w:hint="eastAsia" w:ascii="Times New Roman" w:hAnsi="Times New Roman" w:cs="Times New Roman"/>
          <w:b/>
          <w:bCs/>
          <w:color w:val="auto"/>
          <w:sz w:val="28"/>
          <w:szCs w:val="28"/>
          <w:lang w:val="en-US" w:eastAsia="zh-CN"/>
        </w:rPr>
        <w:t xml:space="preserve">3.1.1 </w:t>
      </w:r>
      <w:bookmarkEnd w:id="176"/>
      <w:bookmarkEnd w:id="177"/>
      <w:bookmarkEnd w:id="178"/>
      <w:r>
        <w:rPr>
          <w:rFonts w:hint="eastAsia" w:ascii="Times New Roman" w:hAnsi="Times New Roman" w:cs="Times New Roman"/>
          <w:b/>
          <w:bCs/>
          <w:color w:val="auto"/>
          <w:sz w:val="28"/>
          <w:szCs w:val="28"/>
          <w:lang w:val="en-US" w:eastAsia="zh-CN"/>
        </w:rPr>
        <w:t>企业现有工程发展过程及环保审批情况</w:t>
      </w:r>
    </w:p>
    <w:p w14:paraId="24EB757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color w:val="auto"/>
          <w:sz w:val="24"/>
          <w:lang w:val="zh-CN"/>
        </w:rPr>
      </w:pPr>
      <w:r>
        <w:rPr>
          <w:rFonts w:hint="default" w:ascii="Times New Roman" w:hAnsi="Times New Roman"/>
          <w:color w:val="auto"/>
          <w:sz w:val="24"/>
          <w:lang w:val="zh-CN"/>
        </w:rPr>
        <w:t>北大荒集团黑龙江八五二农场有限公司于2013年8月委托中国气象科学研究院编制完成《黑龙江省八五二农场保障性安居工程基础设施配套供热建设项目环境影响报告书》，并于2014年4月18日取得《黑龙江省环境保护厅垦区环境保护局文件关于〈黑龙江省八五二农场保障性安居工程基础设施配套供热建设项目环境影响报告书审批意见的复函〉（黑垦环函﹝2014﹞22号）</w:t>
      </w:r>
      <w:r>
        <w:rPr>
          <w:rFonts w:hint="eastAsia" w:ascii="Times New Roman" w:hAnsi="Times New Roman"/>
          <w:color w:val="auto"/>
          <w:sz w:val="24"/>
          <w:lang w:val="zh-CN"/>
        </w:rPr>
        <w:t>。于2014年5月开工建设，2015年10月全部建设完成并投入使用。</w:t>
      </w:r>
    </w:p>
    <w:p w14:paraId="24917D6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olor w:val="auto"/>
          <w:sz w:val="24"/>
          <w:lang w:val="zh-CN"/>
        </w:rPr>
      </w:pPr>
      <w:r>
        <w:rPr>
          <w:rFonts w:hint="default" w:ascii="Times New Roman" w:hAnsi="Times New Roman"/>
          <w:color w:val="auto"/>
          <w:sz w:val="24"/>
          <w:lang w:val="zh-CN"/>
        </w:rPr>
        <w:t>由于2×46MW横梁式链条燃煤热水锅炉未安装脱硝设施及烟气在线监测系统，为满足当地环保要求，2021年北大荒集团黑龙江八五二农场有限公司对原有供热中心进行了环保措施改造，建设“黑龙江省八五二农场供热中心环保改造项目”，新建脱硝系统、除尘系统、脱硫系统、烟囱、空压站、引风机系统、烟气连续在线监测系统、循环池防腐、锅炉后烟道制作连接、1座55m高的烟囱（烟塔一体，其中底部脱硫塔高度18.4m，上部烟囱高度36.6m）、环保改造土建工程（循环池的修建、外跨泵间、引风机基础拆除+新建、新建脱硫塔的底座、在线监测设备彩钢房的建设等）。环保措施改造后锅炉烟气污染物治理措施为“SNCR脱硝+布袋除尘器+氧化镁法脱硫”，经处理后通过55m高烟囱排放，锅炉烟气污染物排放浓度满足《锅炉大气污染物排放标准》（GB13271-2014）表1在用锅炉大气污染物排放浓度限值要求；生活污水经排水管网排入八五二农场污水处理厂，脱硫废水经循环池沉淀处理后冲渣使用；锅炉灰渣及脱硫副产物定期外售综合利用。该项目于2021年10月14日填报了《黑龙江省八五二农场供热中心环保改造项目环境影响登记表》，并已完成备案，备案号为202123052300000045。</w:t>
      </w:r>
    </w:p>
    <w:p w14:paraId="1A6AFAF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2024年为满足超低排放环保要求，北大荒集团黑龙江八五二农场有限公司对</w:t>
      </w:r>
      <w:r>
        <w:rPr>
          <w:rFonts w:hint="default" w:ascii="Times New Roman" w:hAnsi="Times New Roman" w:cs="Times New Roman"/>
          <w:color w:val="auto"/>
          <w:sz w:val="24"/>
          <w:szCs w:val="24"/>
          <w:highlight w:val="none"/>
          <w:lang w:val="en-US" w:eastAsia="zh-CN"/>
        </w:rPr>
        <w:t>锅炉</w:t>
      </w:r>
      <w:r>
        <w:rPr>
          <w:rFonts w:hint="default" w:ascii="Times New Roman" w:hAnsi="Times New Roman" w:eastAsia="宋体" w:cs="Times New Roman"/>
          <w:color w:val="auto"/>
          <w:sz w:val="24"/>
          <w:szCs w:val="24"/>
          <w:highlight w:val="none"/>
          <w:lang w:val="en-US" w:eastAsia="zh-CN"/>
        </w:rPr>
        <w:t>现有环保措施进行改造，建设“北大荒集团黑龙江八五二农场农垦公用基础设施建设项目”，改造脱硫、脱硝、除尘等设备，改造场部供热管道16.5km（包含室外直埋敷设供暖管道及室内供暖管沟敷设供暖管道），场部排水管网、检查井及化粪池清理，铺设沥青路面2km及两侧人行道排水沟维修。改造后废气治理措施为“SNCR-SCR联合脱硝+布袋除尘器+氧化镁法脱硫”，其中改造后布袋除尘器有效过滤面积为4050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，处理风量为160000m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/h，在线过滤风速0.65m/min，烟气温度135-160℃，滤袋材质为PTFE基布+PPS超细面层，在线清灰方式；脱硫塔及内部元件采用316L不锈钢，拆除塔内原有的旋流板更换</w:t>
      </w:r>
      <w:r>
        <w:rPr>
          <w:rFonts w:hint="default" w:ascii="Times New Roman" w:hAnsi="Times New Roman" w:cs="Times New Roman"/>
          <w:color w:val="auto"/>
          <w:sz w:val="24"/>
          <w:szCs w:val="24"/>
          <w:highlight w:val="none"/>
          <w:lang w:val="en-US" w:eastAsia="zh-CN"/>
        </w:rPr>
        <w:t>为</w:t>
      </w:r>
      <w:r>
        <w:rPr>
          <w:rFonts w:hint="default" w:ascii="Times New Roman" w:hAnsi="Times New Roman" w:eastAsia="宋体" w:cs="Times New Roman"/>
          <w:color w:val="auto"/>
          <w:sz w:val="24"/>
          <w:szCs w:val="24"/>
          <w:highlight w:val="none"/>
          <w:lang w:val="en-US" w:eastAsia="zh-CN"/>
        </w:rPr>
        <w:t>高效的烟气均流增效器，对塔内喷淋层进行改造，增加一层喷淋层，增设高效除尘除雾器，增加后</w:t>
      </w:r>
      <w:r>
        <w:rPr>
          <w:rFonts w:hint="default" w:ascii="Times New Roman" w:hAnsi="Times New Roman" w:cs="Times New Roman"/>
          <w:color w:val="auto"/>
          <w:sz w:val="24"/>
          <w:szCs w:val="24"/>
          <w:highlight w:val="none"/>
          <w:lang w:val="en-US" w:eastAsia="zh-CN"/>
        </w:rPr>
        <w:t>烟囱</w:t>
      </w:r>
      <w:r>
        <w:rPr>
          <w:rFonts w:hint="default" w:ascii="Times New Roman" w:hAnsi="Times New Roman" w:eastAsia="宋体" w:cs="Times New Roman"/>
          <w:color w:val="auto"/>
          <w:sz w:val="24"/>
          <w:szCs w:val="24"/>
          <w:highlight w:val="none"/>
          <w:lang w:val="en-US" w:eastAsia="zh-CN"/>
        </w:rPr>
        <w:t>高度为58m；新建SNCR-SCR联合脱硝系统，锅炉烟气经治理后满</w:t>
      </w:r>
      <w:r>
        <w:rPr>
          <w:rFonts w:hint="default" w:ascii="Times New Roman" w:hAnsi="Times New Roman" w:cs="Times New Roman"/>
          <w:color w:val="auto"/>
          <w:sz w:val="24"/>
          <w:szCs w:val="24"/>
          <w:highlight w:val="none"/>
          <w:lang w:val="en-US" w:eastAsia="zh-CN"/>
        </w:rPr>
        <w:t>足</w:t>
      </w:r>
      <w:r>
        <w:rPr>
          <w:rFonts w:hint="default" w:ascii="Times New Roman" w:hAnsi="Times New Roman" w:eastAsia="宋体" w:cs="Times New Roman"/>
          <w:color w:val="auto"/>
          <w:sz w:val="24"/>
          <w:szCs w:val="24"/>
          <w:highlight w:val="none"/>
          <w:lang w:val="en-US" w:eastAsia="zh-CN"/>
        </w:rPr>
        <w:t>《关于印发〈全面实施燃煤电厂超低排放和节能改造工作方案〉的通知》（环发﹝</w:t>
      </w:r>
      <w:r>
        <w:rPr>
          <w:rFonts w:hint="default" w:ascii="Times New Roman" w:hAnsi="Times New Roman" w:cs="Times New Roman"/>
          <w:color w:val="auto"/>
          <w:sz w:val="24"/>
          <w:szCs w:val="24"/>
          <w:highlight w:val="none"/>
          <w:lang w:val="en-US" w:eastAsia="zh-CN"/>
        </w:rPr>
        <w:t>2015</w:t>
      </w:r>
      <w:r>
        <w:rPr>
          <w:rFonts w:hint="default" w:ascii="Times New Roman" w:hAnsi="Times New Roman" w:eastAsia="宋体" w:cs="Times New Roman"/>
          <w:color w:val="auto"/>
          <w:sz w:val="24"/>
          <w:szCs w:val="24"/>
          <w:highlight w:val="none"/>
          <w:lang w:val="en-US" w:eastAsia="zh-CN"/>
        </w:rPr>
        <w:t>﹞164号）要求</w:t>
      </w:r>
      <w:r>
        <w:rPr>
          <w:rFonts w:hint="default" w:ascii="Times New Roman" w:hAnsi="Times New Roman" w:cs="Times New Roman"/>
          <w:color w:val="auto"/>
          <w:sz w:val="24"/>
          <w:szCs w:val="24"/>
          <w:highlight w:val="none"/>
          <w:lang w:val="en-US" w:eastAsia="zh-CN"/>
        </w:rPr>
        <w:t>管控</w:t>
      </w:r>
      <w:r>
        <w:rPr>
          <w:rFonts w:hint="default" w:ascii="Times New Roman" w:hAnsi="Times New Roman" w:eastAsia="宋体" w:cs="Times New Roman"/>
          <w:color w:val="auto"/>
          <w:sz w:val="24"/>
          <w:szCs w:val="24"/>
          <w:highlight w:val="none"/>
          <w:lang w:val="en-US" w:eastAsia="zh-CN"/>
        </w:rPr>
        <w:t>，达到超低排放（在基准氧含量</w:t>
      </w:r>
      <w:r>
        <w:rPr>
          <w:rFonts w:hint="eastAsia" w:ascii="Times New Roman" w:hAnsi="Times New Roman" w:eastAsia="宋体" w:cs="Times New Roman"/>
          <w:color w:val="auto"/>
          <w:sz w:val="24"/>
          <w:szCs w:val="24"/>
          <w:highlight w:val="none"/>
          <w:lang w:val="en-US" w:eastAsia="zh-CN"/>
        </w:rPr>
        <w:t>9</w:t>
      </w:r>
      <w:r>
        <w:rPr>
          <w:rFonts w:hint="default" w:ascii="Times New Roman" w:hAnsi="Times New Roman" w:eastAsia="宋体" w:cs="Times New Roman"/>
          <w:color w:val="auto"/>
          <w:sz w:val="24"/>
          <w:szCs w:val="24"/>
          <w:highlight w:val="none"/>
          <w:lang w:val="en-US" w:eastAsia="zh-CN"/>
        </w:rPr>
        <w:t>%条件下，烟尘、SO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、NO</w:t>
      </w:r>
      <w:r>
        <w:rPr>
          <w:rFonts w:hint="default" w:ascii="Times New Roman" w:hAnsi="Times New Roman" w:eastAsia="宋体" w:cs="Times New Roman"/>
          <w:color w:val="auto"/>
          <w:sz w:val="24"/>
          <w:szCs w:val="24"/>
          <w:highlight w:val="none"/>
          <w:vertAlign w:val="subscript"/>
          <w:lang w:val="en-US" w:eastAsia="zh-CN"/>
        </w:rPr>
        <w:t>X</w:t>
      </w:r>
      <w:r>
        <w:rPr>
          <w:rFonts w:hint="default" w:ascii="Times New Roman" w:hAnsi="Times New Roman" w:eastAsia="宋体" w:cs="Times New Roman"/>
          <w:color w:val="auto"/>
          <w:sz w:val="24"/>
          <w:szCs w:val="24"/>
          <w:highlight w:val="none"/>
          <w:lang w:val="en-US" w:eastAsia="zh-CN"/>
        </w:rPr>
        <w:t>排放浓度分别不高于10mg/m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、35mg/m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、50mg/m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）。该项目于2024年9月4日</w:t>
      </w:r>
      <w:r>
        <w:rPr>
          <w:rFonts w:hint="eastAsia" w:ascii="Times New Roman" w:hAnsi="Times New Roman" w:cs="Times New Roman"/>
          <w:color w:val="auto"/>
          <w:sz w:val="24"/>
          <w:szCs w:val="24"/>
          <w:highlight w:val="none"/>
          <w:lang w:val="en-US" w:eastAsia="zh-CN"/>
        </w:rPr>
        <w:t>填报了</w:t>
      </w:r>
      <w:r>
        <w:rPr>
          <w:rFonts w:hint="default" w:ascii="Times New Roman" w:hAnsi="Times New Roman" w:eastAsia="宋体" w:cs="Times New Roman"/>
          <w:color w:val="auto"/>
          <w:sz w:val="24"/>
          <w:szCs w:val="24"/>
          <w:highlight w:val="none"/>
          <w:lang w:val="en-US" w:eastAsia="zh-CN"/>
        </w:rPr>
        <w:t>《北大荒集团黑龙江八五二农场农垦公用基础设施建设项目环境影响登记表》。并已完成备案，备案号为202423052300000033。</w:t>
      </w:r>
      <w:r>
        <w:rPr>
          <w:rFonts w:hint="eastAsia" w:ascii="Times New Roman" w:hAnsi="Times New Roman" w:eastAsia="宋体" w:cs="Times New Roman"/>
          <w:color w:val="FF0000"/>
          <w:sz w:val="24"/>
          <w:szCs w:val="24"/>
          <w:highlight w:val="none"/>
          <w:lang w:val="en-US" w:eastAsia="zh-CN"/>
        </w:rPr>
        <w:t>该项目改造完成后，锅炉烟气治理措施得到了升级，为今后执行超低排放要求预留了升级空间。目前按照排污许可管控要求，企业强制执行《锅炉大气污染物排放标准》（GB13271-2014）表1在用锅炉大气污染物排放浓度限值要求。</w:t>
      </w:r>
    </w:p>
    <w:p w14:paraId="227052F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2025</w:t>
      </w:r>
      <w:r>
        <w:rPr>
          <w:rFonts w:hint="default" w:ascii="Times New Roman" w:hAnsi="Times New Roman" w:eastAsia="宋体" w:cs="Times New Roman"/>
          <w:color w:val="auto"/>
          <w:sz w:val="24"/>
          <w:szCs w:val="24"/>
          <w:highlight w:val="none"/>
          <w:lang w:val="zh-CN" w:eastAsia="zh-CN"/>
        </w:rPr>
        <w:t>年</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val="zh-CN" w:eastAsia="zh-CN"/>
        </w:rPr>
        <w:t>月</w:t>
      </w:r>
      <w:r>
        <w:rPr>
          <w:rFonts w:hint="eastAsia" w:ascii="Times New Roman" w:hAnsi="Times New Roman" w:eastAsia="宋体" w:cs="Times New Roman"/>
          <w:color w:val="auto"/>
          <w:sz w:val="24"/>
          <w:szCs w:val="24"/>
          <w:highlight w:val="none"/>
          <w:lang w:val="zh-CN" w:eastAsia="zh-CN"/>
        </w:rPr>
        <w:t>，北大荒集团黑龙江八五二农场有限公司</w:t>
      </w:r>
      <w:r>
        <w:rPr>
          <w:rFonts w:hint="eastAsia" w:ascii="Times New Roman" w:hAnsi="Times New Roman" w:eastAsia="宋体" w:cs="Times New Roman"/>
          <w:color w:val="auto"/>
          <w:sz w:val="24"/>
          <w:szCs w:val="24"/>
          <w:highlight w:val="none"/>
          <w:lang w:val="en-US" w:eastAsia="zh-CN"/>
        </w:rPr>
        <w:t>委托哈尔滨博诚工大环保科技有限公司对“北大荒集团黑龙江八五二农场农垦公用基础设施建设项目”进行超低排放技术改造、烟囱高度降低后的环境影响进行分析论证，编制完成了《北大荒集团黑龙江八五二农场农垦公用基础设施建设项目超低排放技术改造环境影响分析论证报告》，并通过专家评审取得专家意见。</w:t>
      </w:r>
    </w:p>
    <w:p w14:paraId="409F3AB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2026年1月，</w:t>
      </w:r>
      <w:r>
        <w:rPr>
          <w:rFonts w:hint="eastAsia" w:ascii="Times New Roman" w:hAnsi="Times New Roman" w:eastAsia="宋体" w:cs="Times New Roman"/>
          <w:color w:val="auto"/>
          <w:sz w:val="24"/>
          <w:szCs w:val="24"/>
          <w:highlight w:val="none"/>
          <w:lang w:val="zh-CN" w:eastAsia="zh-CN"/>
        </w:rPr>
        <w:t>北大荒集团黑龙江八五二农场有限公司</w:t>
      </w:r>
      <w:r>
        <w:rPr>
          <w:rFonts w:hint="eastAsia" w:ascii="Times New Roman" w:hAnsi="Times New Roman" w:eastAsia="宋体" w:cs="Times New Roman"/>
          <w:color w:val="auto"/>
          <w:sz w:val="24"/>
          <w:szCs w:val="24"/>
          <w:highlight w:val="none"/>
          <w:lang w:val="en-US" w:eastAsia="zh-CN"/>
        </w:rPr>
        <w:t>对现有工程进行梳理。对</w:t>
      </w:r>
      <w:r>
        <w:rPr>
          <w:rFonts w:hint="default" w:ascii="Times New Roman" w:hAnsi="Times New Roman" w:eastAsia="宋体" w:cs="Times New Roman"/>
          <w:color w:val="auto"/>
          <w:sz w:val="24"/>
          <w:szCs w:val="24"/>
          <w:highlight w:val="none"/>
          <w:lang w:val="zh-CN" w:eastAsia="zh-CN"/>
        </w:rPr>
        <w:t>2×46MW</w:t>
      </w:r>
      <w:r>
        <w:rPr>
          <w:rFonts w:hint="eastAsia" w:ascii="Times New Roman" w:hAnsi="Times New Roman" w:eastAsia="宋体" w:cs="Times New Roman"/>
          <w:color w:val="auto"/>
          <w:sz w:val="24"/>
          <w:szCs w:val="24"/>
          <w:highlight w:val="none"/>
          <w:lang w:val="en-US" w:eastAsia="zh-CN"/>
        </w:rPr>
        <w:t>以及配套建设烟气污染防治措施等全厂现有工程进行进行验收，并取得专家同意验收通过意见。锅炉建设工程于2014年5月开始建设，2015年10月建设完成，2021年及2024年9月分别进行了烟气治理设施的改建。于2024年11月15日建设完成。排污许可制度执行以来，项目运营方分别为2019年6月委托黑龙江红兴隆农垦忠强供热有限公司，排污许可证为黑龙江红兴隆农垦忠强供热有限公司申报，证书编号：91233002MA19H7U77C001R，有效期限：2019年06月17日至2022年06月16日止。2022年06月委托宝清县衡兴秸能热力有限公司，排污许可证变更为宝清县衡兴秸能热力有限公司，有效期限：2022年06年17日至2027年06月16日止。目前运营单位为黑龙江省八五二农场横林供热供水管理站，2025年08月06日</w:t>
      </w:r>
      <w:r>
        <w:rPr>
          <w:rFonts w:hint="eastAsia" w:ascii="Times New Roman" w:hAnsi="Times New Roman" w:eastAsia="宋体" w:cs="Times New Roman"/>
          <w:color w:val="auto"/>
          <w:sz w:val="24"/>
          <w:szCs w:val="24"/>
          <w:highlight w:val="none"/>
          <w:lang w:val="zh-CN" w:eastAsia="zh-CN"/>
        </w:rPr>
        <w:t>取得了</w:t>
      </w:r>
      <w:r>
        <w:rPr>
          <w:rFonts w:hint="eastAsia" w:ascii="Times New Roman" w:hAnsi="Times New Roman" w:eastAsia="宋体" w:cs="Times New Roman"/>
          <w:color w:val="auto"/>
          <w:sz w:val="24"/>
          <w:szCs w:val="24"/>
          <w:highlight w:val="none"/>
          <w:lang w:val="en-US" w:eastAsia="zh-CN"/>
        </w:rPr>
        <w:t>双鸭山</w:t>
      </w:r>
      <w:r>
        <w:rPr>
          <w:rFonts w:hint="eastAsia" w:ascii="Times New Roman" w:hAnsi="Times New Roman" w:eastAsia="宋体" w:cs="Times New Roman"/>
          <w:color w:val="auto"/>
          <w:sz w:val="24"/>
          <w:szCs w:val="24"/>
          <w:highlight w:val="none"/>
          <w:lang w:val="zh-CN" w:eastAsia="zh-CN"/>
        </w:rPr>
        <w:t>市生态环境局核发的《排污许可证》，证书编号912</w:t>
      </w:r>
      <w:r>
        <w:rPr>
          <w:rFonts w:hint="eastAsia" w:ascii="Times New Roman" w:hAnsi="Times New Roman" w:eastAsia="宋体" w:cs="Times New Roman"/>
          <w:color w:val="auto"/>
          <w:sz w:val="24"/>
          <w:szCs w:val="24"/>
          <w:highlight w:val="none"/>
          <w:lang w:val="en-US" w:eastAsia="zh-CN"/>
        </w:rPr>
        <w:t>33002695209889W001V</w:t>
      </w:r>
      <w:r>
        <w:rPr>
          <w:rFonts w:hint="eastAsia" w:ascii="Times New Roman" w:hAnsi="Times New Roman" w:eastAsia="宋体" w:cs="Times New Roman"/>
          <w:color w:val="auto"/>
          <w:sz w:val="24"/>
          <w:szCs w:val="24"/>
          <w:highlight w:val="none"/>
          <w:lang w:val="zh-CN" w:eastAsia="zh-CN"/>
        </w:rPr>
        <w:t>，</w:t>
      </w:r>
      <w:r>
        <w:rPr>
          <w:rFonts w:hint="eastAsia" w:ascii="Times New Roman" w:hAnsi="Times New Roman" w:eastAsia="宋体" w:cs="Times New Roman"/>
          <w:color w:val="auto"/>
          <w:sz w:val="24"/>
          <w:szCs w:val="24"/>
          <w:highlight w:val="none"/>
          <w:lang w:val="en-US" w:eastAsia="zh-CN"/>
        </w:rPr>
        <w:t>有效期至2030年08月05日。</w:t>
      </w:r>
    </w:p>
    <w:p w14:paraId="12CF1DC7">
      <w:pPr>
        <w:pStyle w:val="14"/>
        <w:keepNext w:val="0"/>
        <w:keepLines w:val="0"/>
        <w:pageBreakBefore w:val="0"/>
        <w:widowControl w:val="0"/>
        <w:kinsoku/>
        <w:wordWrap/>
        <w:overflowPunct/>
        <w:topLinePunct/>
        <w:autoSpaceDE/>
        <w:autoSpaceDN/>
        <w:bidi w:val="0"/>
        <w:adjustRightInd/>
        <w:snapToGrid/>
        <w:spacing w:after="0" w:line="240" w:lineRule="auto"/>
        <w:ind w:firstLine="0" w:firstLineChars="0"/>
        <w:jc w:val="center"/>
        <w:textAlignment w:val="auto"/>
        <w:rPr>
          <w:rFonts w:hint="default" w:ascii="Times New Roman" w:hAnsi="Times New Roman" w:eastAsia="宋体" w:cs="Times New Roman"/>
          <w:b/>
          <w:bCs/>
          <w:snapToGrid/>
          <w:color w:val="FF0000"/>
          <w:kern w:val="2"/>
          <w:sz w:val="24"/>
          <w:szCs w:val="24"/>
          <w:lang w:val="en-US" w:eastAsia="zh-CN"/>
        </w:rPr>
      </w:pPr>
      <w:bookmarkStart w:id="182" w:name="_Toc1390"/>
      <w:bookmarkStart w:id="183" w:name="_Toc9247"/>
      <w:bookmarkStart w:id="184" w:name="_Toc27503"/>
      <w:r>
        <w:rPr>
          <w:rFonts w:hint="eastAsia" w:ascii="Times New Roman" w:hAnsi="Times New Roman" w:eastAsia="宋体" w:cs="Times New Roman"/>
          <w:b/>
          <w:bCs/>
          <w:snapToGrid/>
          <w:color w:val="FF0000"/>
          <w:kern w:val="2"/>
          <w:sz w:val="24"/>
          <w:szCs w:val="24"/>
          <w:lang w:val="en-US" w:eastAsia="zh-CN"/>
        </w:rPr>
        <w:t>表3.1-</w:t>
      </w:r>
      <w:r>
        <w:rPr>
          <w:rFonts w:hint="eastAsia" w:cs="Times New Roman"/>
          <w:b/>
          <w:bCs/>
          <w:snapToGrid/>
          <w:color w:val="FF0000"/>
          <w:kern w:val="2"/>
          <w:sz w:val="24"/>
          <w:szCs w:val="24"/>
          <w:lang w:val="en-US" w:eastAsia="zh-CN"/>
        </w:rPr>
        <w:t>1</w:t>
      </w:r>
      <w:r>
        <w:rPr>
          <w:rFonts w:hint="eastAsia" w:ascii="Times New Roman" w:hAnsi="Times New Roman" w:eastAsia="宋体" w:cs="Times New Roman"/>
          <w:b/>
          <w:bCs/>
          <w:snapToGrid/>
          <w:color w:val="FF0000"/>
          <w:kern w:val="2"/>
          <w:sz w:val="24"/>
          <w:szCs w:val="24"/>
          <w:lang w:val="en-US" w:eastAsia="zh-CN"/>
        </w:rPr>
        <w:t xml:space="preserve">  环保手续履行情况</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39"/>
        <w:gridCol w:w="4645"/>
      </w:tblGrid>
      <w:tr w14:paraId="75B94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2498" w:type="pct"/>
            <w:tcBorders>
              <w:tl2br w:val="nil"/>
              <w:tr2bl w:val="nil"/>
            </w:tcBorders>
            <w:noWrap w:val="0"/>
            <w:vAlign w:val="center"/>
          </w:tcPr>
          <w:p w14:paraId="6D1265F3">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项目履行情况</w:t>
            </w:r>
          </w:p>
        </w:tc>
        <w:tc>
          <w:tcPr>
            <w:tcW w:w="2501" w:type="pct"/>
            <w:tcBorders>
              <w:tl2br w:val="nil"/>
              <w:tr2bl w:val="nil"/>
            </w:tcBorders>
            <w:noWrap w:val="0"/>
            <w:vAlign w:val="center"/>
          </w:tcPr>
          <w:p w14:paraId="1B38CEE6">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批复情况</w:t>
            </w:r>
          </w:p>
        </w:tc>
      </w:tr>
      <w:tr w14:paraId="4DF31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6E91BB83">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2013年8月由中国气象科学研究院编制了《黑龙江省八五二农场保障性安居工程基础设施配套供热建设项目环境影响报告书》</w:t>
            </w:r>
          </w:p>
        </w:tc>
        <w:tc>
          <w:tcPr>
            <w:tcW w:w="2501" w:type="pct"/>
            <w:tcBorders>
              <w:tl2br w:val="nil"/>
              <w:tr2bl w:val="nil"/>
            </w:tcBorders>
            <w:noWrap w:val="0"/>
            <w:vAlign w:val="center"/>
          </w:tcPr>
          <w:p w14:paraId="309138DD">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2014.4.18，黑龙江省环境保护厅垦区环境保护局批复《黑龙江省环境保护厅垦区环境保护局文件关于〈黑龙江省八五二农场保障性安居工程基础设施配套供热建设项目环境影响报告书审批意见的复函〉（黑垦环函﹝2014﹞22号）</w:t>
            </w:r>
          </w:p>
        </w:tc>
      </w:tr>
      <w:tr w14:paraId="60B78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04DDF8AE">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2021年10月，填报《黑龙江省八五二农场供热中心环保改造项目环境影响登记表》</w:t>
            </w:r>
          </w:p>
        </w:tc>
        <w:tc>
          <w:tcPr>
            <w:tcW w:w="2501" w:type="pct"/>
            <w:tcBorders>
              <w:tl2br w:val="nil"/>
              <w:tr2bl w:val="nil"/>
            </w:tcBorders>
            <w:noWrap w:val="0"/>
            <w:vAlign w:val="center"/>
          </w:tcPr>
          <w:p w14:paraId="33BAC5BF">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备案号为202123052300000045</w:t>
            </w:r>
          </w:p>
        </w:tc>
      </w:tr>
      <w:tr w14:paraId="64F97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4B7C41A2">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2024年9月，填报《北大荒集团黑龙江八五二农场农垦公用基础设施建设项目环境影响登记表》</w:t>
            </w:r>
          </w:p>
        </w:tc>
        <w:tc>
          <w:tcPr>
            <w:tcW w:w="2501" w:type="pct"/>
            <w:tcBorders>
              <w:tl2br w:val="nil"/>
              <w:tr2bl w:val="nil"/>
            </w:tcBorders>
            <w:noWrap w:val="0"/>
            <w:vAlign w:val="center"/>
          </w:tcPr>
          <w:p w14:paraId="6593D7B5">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备案号为202423052300000033</w:t>
            </w:r>
          </w:p>
        </w:tc>
      </w:tr>
      <w:tr w14:paraId="490D9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16AE388B">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2025年3月，委托哈尔滨博诚工大环保科技有限公司编制了《北大荒集团黑龙江八五二农场农垦公用基础设施建设项目超低排放技术改造环境影响分析论证报告》</w:t>
            </w:r>
          </w:p>
        </w:tc>
        <w:tc>
          <w:tcPr>
            <w:tcW w:w="2501" w:type="pct"/>
            <w:tcBorders>
              <w:tl2br w:val="nil"/>
              <w:tr2bl w:val="nil"/>
            </w:tcBorders>
            <w:noWrap w:val="0"/>
            <w:vAlign w:val="center"/>
          </w:tcPr>
          <w:p w14:paraId="3E8E7B39">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同月通过专家评审取得专家意见</w:t>
            </w:r>
          </w:p>
        </w:tc>
      </w:tr>
      <w:tr w14:paraId="2B0A1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6C2E9E6B">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2026年1月，对现有工程进行梳理，编制了《黑龙江省八五二农场保障性安居工程基础设施配套供热建设项目竣工环境保护验收监测报告》</w:t>
            </w:r>
          </w:p>
        </w:tc>
        <w:tc>
          <w:tcPr>
            <w:tcW w:w="2501" w:type="pct"/>
            <w:tcBorders>
              <w:tl2br w:val="nil"/>
              <w:tr2bl w:val="nil"/>
            </w:tcBorders>
            <w:noWrap w:val="0"/>
            <w:vAlign w:val="center"/>
          </w:tcPr>
          <w:p w14:paraId="0AD5F84B">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同月自主验收通过专家评审取得专家意见，通过验收</w:t>
            </w:r>
          </w:p>
        </w:tc>
      </w:tr>
      <w:tr w14:paraId="31865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0FCAB2A5">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2019年6月，项目运营方黑龙江红兴隆农垦忠强供热有限公司完成排污许可申报</w:t>
            </w:r>
          </w:p>
        </w:tc>
        <w:tc>
          <w:tcPr>
            <w:tcW w:w="2501" w:type="pct"/>
            <w:tcBorders>
              <w:tl2br w:val="nil"/>
              <w:tr2bl w:val="nil"/>
            </w:tcBorders>
            <w:noWrap w:val="0"/>
            <w:vAlign w:val="center"/>
          </w:tcPr>
          <w:p w14:paraId="05C485B7">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证书编号：91233002MA19H7U77C001R，有效期限：2019年06月17日至2022年06月16日止。</w:t>
            </w:r>
          </w:p>
        </w:tc>
      </w:tr>
      <w:tr w14:paraId="6F9CF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4379E860">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2022年6月，项目运营方变更为宝清县衡兴秸能热力有限公司，排污许可证变更为宝清县衡兴秸能热力有限公司</w:t>
            </w:r>
          </w:p>
        </w:tc>
        <w:tc>
          <w:tcPr>
            <w:tcW w:w="2501" w:type="pct"/>
            <w:tcBorders>
              <w:tl2br w:val="nil"/>
              <w:tr2bl w:val="nil"/>
            </w:tcBorders>
            <w:noWrap w:val="0"/>
            <w:vAlign w:val="center"/>
          </w:tcPr>
          <w:p w14:paraId="54264A87">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eastAsia"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有效期限：2022年06年17日至2027年06月16日止。</w:t>
            </w:r>
          </w:p>
        </w:tc>
      </w:tr>
      <w:tr w14:paraId="2F3FF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2757B56A">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eastAsia"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2025年，运营单位变更为为黑龙江省八五二农场横林供热供水管理站</w:t>
            </w:r>
          </w:p>
        </w:tc>
        <w:tc>
          <w:tcPr>
            <w:tcW w:w="2501" w:type="pct"/>
            <w:tcBorders>
              <w:tl2br w:val="nil"/>
              <w:tr2bl w:val="nil"/>
            </w:tcBorders>
            <w:noWrap w:val="0"/>
            <w:vAlign w:val="center"/>
          </w:tcPr>
          <w:p w14:paraId="13DC2E54">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eastAsia"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证书编号91233002695209889W001V，有效期至2030年08月05日。</w:t>
            </w:r>
          </w:p>
        </w:tc>
      </w:tr>
      <w:tr w14:paraId="7891D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498" w:type="pct"/>
            <w:tcBorders>
              <w:tl2br w:val="nil"/>
              <w:tr2bl w:val="nil"/>
            </w:tcBorders>
            <w:noWrap w:val="0"/>
            <w:vAlign w:val="center"/>
          </w:tcPr>
          <w:p w14:paraId="6D0476CD">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2023年6月，编制了突发环境事件应急预案，并进行了备案</w:t>
            </w:r>
          </w:p>
        </w:tc>
        <w:tc>
          <w:tcPr>
            <w:tcW w:w="2501" w:type="pct"/>
            <w:tcBorders>
              <w:tl2br w:val="nil"/>
              <w:tr2bl w:val="nil"/>
            </w:tcBorders>
            <w:noWrap w:val="0"/>
            <w:vAlign w:val="center"/>
          </w:tcPr>
          <w:p w14:paraId="708836AF">
            <w:pPr>
              <w:keepNext w:val="0"/>
              <w:keepLines w:val="0"/>
              <w:pageBreakBefore w:val="0"/>
              <w:widowControl w:val="0"/>
              <w:kinsoku/>
              <w:wordWrap/>
              <w:overflowPunct/>
              <w:topLinePunct/>
              <w:autoSpaceDE/>
              <w:autoSpaceDN/>
              <w:bidi w:val="0"/>
              <w:adjustRightInd w:val="0"/>
              <w:snapToGrid w:val="0"/>
              <w:spacing w:line="320" w:lineRule="exact"/>
              <w:jc w:val="center"/>
              <w:textAlignment w:val="center"/>
              <w:rPr>
                <w:rFonts w:hint="default" w:ascii="Times New Roman" w:hAnsi="Times New Roman" w:eastAsia="宋体" w:cs="Times New Roman"/>
                <w:snapToGrid/>
                <w:color w:val="FF0000"/>
                <w:kern w:val="2"/>
                <w:sz w:val="21"/>
                <w:szCs w:val="21"/>
                <w:lang w:val="en-US" w:eastAsia="zh-CN"/>
              </w:rPr>
            </w:pPr>
            <w:r>
              <w:rPr>
                <w:rFonts w:hint="eastAsia" w:ascii="Times New Roman" w:hAnsi="Times New Roman" w:eastAsia="宋体" w:cs="Times New Roman"/>
                <w:snapToGrid/>
                <w:color w:val="FF0000"/>
                <w:kern w:val="2"/>
                <w:sz w:val="21"/>
                <w:szCs w:val="21"/>
                <w:lang w:val="en-US" w:eastAsia="zh-CN"/>
              </w:rPr>
              <w:t>备案编号：230523-2023-006-L</w:t>
            </w:r>
          </w:p>
        </w:tc>
      </w:tr>
    </w:tbl>
    <w:p w14:paraId="2262E9F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3.1.2 现有工程</w:t>
      </w:r>
      <w:bookmarkEnd w:id="179"/>
      <w:bookmarkEnd w:id="180"/>
      <w:bookmarkEnd w:id="181"/>
      <w:r>
        <w:rPr>
          <w:rFonts w:hint="eastAsia" w:ascii="Times New Roman" w:hAnsi="Times New Roman" w:eastAsia="宋体" w:cs="Times New Roman"/>
          <w:b/>
          <w:bCs/>
          <w:color w:val="auto"/>
          <w:sz w:val="28"/>
          <w:szCs w:val="28"/>
          <w:lang w:val="en-US" w:eastAsia="zh-CN"/>
        </w:rPr>
        <w:t>组成</w:t>
      </w:r>
      <w:bookmarkEnd w:id="182"/>
      <w:bookmarkEnd w:id="183"/>
      <w:bookmarkEnd w:id="184"/>
    </w:p>
    <w:p w14:paraId="4E2BC11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3.1.2.1 项目组成</w:t>
      </w:r>
    </w:p>
    <w:p w14:paraId="69F83BA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厂区占地面积34356.69m</w:t>
      </w:r>
      <w:r>
        <w:rPr>
          <w:rFonts w:hint="eastAsia" w:ascii="Times New Roman" w:hAnsi="Times New Roman" w:eastAsia="宋体" w:cs="Times New Roman"/>
          <w:color w:val="auto"/>
          <w:sz w:val="24"/>
          <w:szCs w:val="24"/>
          <w:highlight w:val="none"/>
          <w:vertAlign w:val="superscript"/>
          <w:lang w:val="en-US" w:eastAsia="zh-CN"/>
        </w:rPr>
        <w:t>2</w:t>
      </w:r>
      <w:r>
        <w:rPr>
          <w:rFonts w:hint="eastAsia" w:ascii="Times New Roman" w:hAnsi="Times New Roman" w:eastAsia="宋体" w:cs="Times New Roman"/>
          <w:color w:val="auto"/>
          <w:sz w:val="24"/>
          <w:szCs w:val="24"/>
          <w:highlight w:val="none"/>
          <w:lang w:val="en-US" w:eastAsia="zh-CN"/>
        </w:rPr>
        <w:t>，建设内容包括新建</w:t>
      </w:r>
      <w:r>
        <w:rPr>
          <w:rFonts w:hint="default" w:ascii="Times New Roman" w:hAnsi="Times New Roman" w:eastAsia="宋体" w:cs="Times New Roman"/>
          <w:color w:val="auto"/>
          <w:sz w:val="24"/>
          <w:szCs w:val="24"/>
          <w:highlight w:val="none"/>
          <w:lang w:val="en-US" w:eastAsia="zh-CN"/>
        </w:rPr>
        <w:t>1座集中供热锅炉房，安装2×46MW燃煤热水锅炉及相应配套辅机设备与电气设备，锅炉房面积4419.1m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1座现使用高58m、内径2.4m烟囱（烟塔一体），1座闲置高100m、内径3.2m砖结构烟囱（本次改造后拟使用）</w:t>
      </w:r>
      <w:r>
        <w:rPr>
          <w:rFonts w:hint="default" w:ascii="Times New Roman" w:hAnsi="Times New Roman" w:eastAsia="宋体" w:cs="Times New Roman"/>
          <w:color w:val="auto"/>
          <w:sz w:val="24"/>
          <w:szCs w:val="24"/>
          <w:highlight w:val="none"/>
          <w:lang w:val="en-US" w:eastAsia="zh-CN"/>
        </w:rPr>
        <w:t>，附属用房包括除渣间、上煤间、脱硫间、车库、门卫室、工具棚360m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，灰渣仓、脱硫副产物储存间、输煤廊100m、道路210m。</w:t>
      </w:r>
    </w:p>
    <w:p w14:paraId="4EE0CF9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现有工程组成一览表见下表3.1-2。</w:t>
      </w:r>
    </w:p>
    <w:p w14:paraId="0E6B606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表3.1-</w:t>
      </w:r>
      <w:r>
        <w:rPr>
          <w:rFonts w:hint="eastAsia" w:cs="Times New Roman"/>
          <w:b/>
          <w:bCs/>
          <w:color w:val="auto"/>
          <w:sz w:val="24"/>
          <w:szCs w:val="24"/>
          <w:lang w:val="en-US" w:eastAsia="zh-CN"/>
        </w:rPr>
        <w:t>2</w:t>
      </w:r>
      <w:r>
        <w:rPr>
          <w:rFonts w:hint="default"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现有主要建设内容一览表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6"/>
        <w:gridCol w:w="896"/>
        <w:gridCol w:w="1276"/>
        <w:gridCol w:w="6200"/>
      </w:tblGrid>
      <w:tr w14:paraId="65BEF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2" w:type="pct"/>
            <w:gridSpan w:val="3"/>
            <w:tcBorders>
              <w:tl2br w:val="nil"/>
              <w:tr2bl w:val="nil"/>
            </w:tcBorders>
            <w:noWrap w:val="0"/>
            <w:vAlign w:val="center"/>
          </w:tcPr>
          <w:p w14:paraId="2D5D45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bookmarkStart w:id="185" w:name="_Toc22137"/>
            <w:bookmarkStart w:id="186" w:name="_Toc11304"/>
            <w:bookmarkStart w:id="187" w:name="_Toc32238"/>
            <w:r>
              <w:rPr>
                <w:rFonts w:hint="default" w:ascii="Times New Roman" w:hAnsi="Times New Roman" w:cs="Times New Roman"/>
                <w:color w:val="auto"/>
                <w:sz w:val="21"/>
                <w:szCs w:val="21"/>
                <w:highlight w:val="none"/>
              </w:rPr>
              <w:t>内容</w:t>
            </w:r>
          </w:p>
        </w:tc>
        <w:tc>
          <w:tcPr>
            <w:tcW w:w="3337" w:type="pct"/>
            <w:tcBorders>
              <w:tl2br w:val="nil"/>
              <w:tr2bl w:val="nil"/>
            </w:tcBorders>
            <w:noWrap w:val="0"/>
            <w:vAlign w:val="center"/>
          </w:tcPr>
          <w:p w14:paraId="16E9DE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内容规模</w:t>
            </w:r>
          </w:p>
        </w:tc>
      </w:tr>
      <w:tr w14:paraId="7EBAE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restart"/>
            <w:tcBorders>
              <w:tl2br w:val="nil"/>
              <w:tr2bl w:val="nil"/>
            </w:tcBorders>
            <w:noWrap w:val="0"/>
            <w:vAlign w:val="center"/>
          </w:tcPr>
          <w:p w14:paraId="7D25E1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供</w:t>
            </w:r>
          </w:p>
          <w:p w14:paraId="5A67BC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热</w:t>
            </w:r>
          </w:p>
          <w:p w14:paraId="215D13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中</w:t>
            </w:r>
          </w:p>
          <w:p w14:paraId="4BD07D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心</w:t>
            </w:r>
          </w:p>
        </w:tc>
        <w:tc>
          <w:tcPr>
            <w:tcW w:w="482" w:type="pct"/>
            <w:vMerge w:val="restart"/>
            <w:tcBorders>
              <w:tl2br w:val="nil"/>
              <w:tr2bl w:val="nil"/>
            </w:tcBorders>
            <w:noWrap w:val="0"/>
            <w:vAlign w:val="center"/>
          </w:tcPr>
          <w:p w14:paraId="40F8EC1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主体</w:t>
            </w:r>
          </w:p>
          <w:p w14:paraId="49116AB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工程</w:t>
            </w:r>
          </w:p>
        </w:tc>
        <w:tc>
          <w:tcPr>
            <w:tcW w:w="686" w:type="pct"/>
            <w:tcBorders>
              <w:tl2br w:val="nil"/>
              <w:tr2bl w:val="nil"/>
            </w:tcBorders>
            <w:noWrap w:val="0"/>
            <w:vAlign w:val="center"/>
          </w:tcPr>
          <w:p w14:paraId="117614A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锅炉房</w:t>
            </w:r>
          </w:p>
        </w:tc>
        <w:tc>
          <w:tcPr>
            <w:tcW w:w="3337" w:type="pct"/>
            <w:tcBorders>
              <w:tl2br w:val="nil"/>
              <w:tr2bl w:val="nil"/>
            </w:tcBorders>
            <w:noWrap w:val="0"/>
            <w:vAlign w:val="center"/>
          </w:tcPr>
          <w:p w14:paraId="23A91E6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锅炉车间4419.1m</w:t>
            </w:r>
            <w:r>
              <w:rPr>
                <w:rFonts w:hint="default" w:ascii="Times New Roman" w:hAnsi="Times New Roman" w:cs="Times New Roman"/>
                <w:color w:val="auto"/>
                <w:sz w:val="21"/>
                <w:szCs w:val="21"/>
                <w:highlight w:val="none"/>
                <w:vertAlign w:val="superscript"/>
              </w:rPr>
              <w:t>2</w:t>
            </w:r>
            <w:r>
              <w:rPr>
                <w:rFonts w:hint="default" w:ascii="Times New Roman" w:hAnsi="Times New Roman" w:cs="Times New Roman"/>
                <w:color w:val="auto"/>
                <w:sz w:val="21"/>
                <w:szCs w:val="21"/>
                <w:highlight w:val="none"/>
              </w:rPr>
              <w:t>，内置2台46MW正转炉排链条热水锅炉</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rPr>
              <w:t>型号DZL46-1.25/130/70-AⅡ，</w:t>
            </w:r>
            <w:r>
              <w:rPr>
                <w:rFonts w:hint="eastAsia" w:ascii="Times New Roman" w:hAnsi="Times New Roman" w:cs="Times New Roman"/>
                <w:color w:val="auto"/>
                <w:sz w:val="21"/>
                <w:szCs w:val="21"/>
                <w:highlight w:val="none"/>
                <w:lang w:val="en-US" w:eastAsia="zh-CN"/>
              </w:rPr>
              <w:t>烟塔一体</w:t>
            </w:r>
            <w:r>
              <w:rPr>
                <w:rFonts w:hint="default" w:ascii="Times New Roman" w:hAnsi="Times New Roman" w:cs="Times New Roman"/>
                <w:color w:val="auto"/>
                <w:sz w:val="21"/>
                <w:szCs w:val="21"/>
                <w:highlight w:val="none"/>
              </w:rPr>
              <w:t>烟囱高</w:t>
            </w:r>
            <w:r>
              <w:rPr>
                <w:rFonts w:hint="default" w:ascii="Times New Roman" w:hAnsi="Times New Roman" w:cs="Times New Roman"/>
                <w:color w:val="auto"/>
                <w:sz w:val="21"/>
                <w:szCs w:val="21"/>
                <w:highlight w:val="none"/>
                <w:lang w:val="en-US" w:eastAsia="zh-CN"/>
              </w:rPr>
              <w:t>58</w:t>
            </w:r>
            <w:r>
              <w:rPr>
                <w:rFonts w:hint="default" w:ascii="Times New Roman" w:hAnsi="Times New Roman" w:cs="Times New Roman"/>
                <w:color w:val="auto"/>
                <w:sz w:val="21"/>
                <w:szCs w:val="21"/>
                <w:highlight w:val="none"/>
              </w:rPr>
              <w:t>m，内径</w:t>
            </w:r>
            <w:r>
              <w:rPr>
                <w:rFonts w:hint="default" w:ascii="Times New Roman" w:hAnsi="Times New Roman" w:cs="Times New Roman"/>
                <w:color w:val="auto"/>
                <w:sz w:val="21"/>
                <w:szCs w:val="21"/>
                <w:highlight w:val="none"/>
                <w:lang w:val="en-US" w:eastAsia="zh-CN"/>
              </w:rPr>
              <w:t>2.4</w:t>
            </w:r>
            <w:r>
              <w:rPr>
                <w:rFonts w:hint="default" w:ascii="Times New Roman" w:hAnsi="Times New Roman" w:cs="Times New Roman"/>
                <w:color w:val="auto"/>
                <w:sz w:val="21"/>
                <w:szCs w:val="21"/>
                <w:highlight w:val="none"/>
              </w:rPr>
              <w:t>m，</w:t>
            </w:r>
            <w:r>
              <w:rPr>
                <w:rFonts w:hint="default" w:ascii="Times New Roman" w:hAnsi="Times New Roman" w:cs="Times New Roman"/>
                <w:color w:val="auto"/>
                <w:sz w:val="21"/>
                <w:szCs w:val="21"/>
                <w:highlight w:val="none"/>
                <w:lang w:val="en-US" w:eastAsia="zh-CN"/>
              </w:rPr>
              <w:t>锅炉房高度25m，</w:t>
            </w:r>
            <w:r>
              <w:rPr>
                <w:rFonts w:hint="default" w:ascii="Times New Roman" w:hAnsi="Times New Roman" w:cs="Times New Roman"/>
                <w:color w:val="auto"/>
                <w:sz w:val="21"/>
                <w:szCs w:val="21"/>
                <w:highlight w:val="none"/>
              </w:rPr>
              <w:t>设置在线监测系统</w:t>
            </w:r>
            <w:r>
              <w:rPr>
                <w:rFonts w:hint="default" w:ascii="Times New Roman" w:hAnsi="Times New Roman" w:cs="Times New Roman"/>
                <w:color w:val="auto"/>
                <w:sz w:val="21"/>
                <w:szCs w:val="21"/>
                <w:highlight w:val="none"/>
                <w:lang w:eastAsia="zh-CN"/>
              </w:rPr>
              <w:t>。</w:t>
            </w:r>
          </w:p>
        </w:tc>
      </w:tr>
      <w:tr w14:paraId="781E7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5ABF49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continue"/>
            <w:tcBorders>
              <w:tl2br w:val="nil"/>
              <w:tr2bl w:val="nil"/>
            </w:tcBorders>
            <w:noWrap w:val="0"/>
            <w:vAlign w:val="center"/>
          </w:tcPr>
          <w:p w14:paraId="455239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686" w:type="pct"/>
            <w:tcBorders>
              <w:tl2br w:val="nil"/>
              <w:tr2bl w:val="nil"/>
            </w:tcBorders>
            <w:noWrap w:val="0"/>
            <w:vAlign w:val="center"/>
          </w:tcPr>
          <w:p w14:paraId="5E1A4CC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给煤系统</w:t>
            </w:r>
          </w:p>
        </w:tc>
        <w:tc>
          <w:tcPr>
            <w:tcW w:w="3337" w:type="pct"/>
            <w:tcBorders>
              <w:tl2br w:val="nil"/>
              <w:tr2bl w:val="nil"/>
            </w:tcBorders>
            <w:noWrap w:val="0"/>
            <w:vAlign w:val="center"/>
          </w:tcPr>
          <w:p w14:paraId="20C140E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燃料由汽车运至厂区贮</w:t>
            </w:r>
            <w:r>
              <w:rPr>
                <w:rFonts w:hint="default" w:ascii="Times New Roman" w:hAnsi="Times New Roman" w:cs="Times New Roman"/>
                <w:color w:val="auto"/>
                <w:sz w:val="21"/>
                <w:szCs w:val="21"/>
                <w:highlight w:val="none"/>
                <w:lang w:val="en-US" w:eastAsia="zh-CN"/>
              </w:rPr>
              <w:t>煤场，</w:t>
            </w:r>
            <w:r>
              <w:rPr>
                <w:rFonts w:hint="default" w:ascii="Times New Roman" w:hAnsi="Times New Roman" w:cs="Times New Roman"/>
                <w:color w:val="auto"/>
                <w:sz w:val="21"/>
                <w:szCs w:val="21"/>
                <w:highlight w:val="none"/>
              </w:rPr>
              <w:t>原煤经100m输煤廊运至各炉前</w:t>
            </w:r>
            <w:r>
              <w:rPr>
                <w:rFonts w:hint="default" w:ascii="Times New Roman" w:hAnsi="Times New Roman" w:cs="Times New Roman"/>
                <w:color w:val="auto"/>
                <w:sz w:val="21"/>
                <w:szCs w:val="21"/>
                <w:highlight w:val="none"/>
                <w:lang w:val="en-US" w:eastAsia="zh-CN"/>
              </w:rPr>
              <w:t>密闭</w:t>
            </w:r>
            <w:r>
              <w:rPr>
                <w:rFonts w:hint="default" w:ascii="Times New Roman" w:hAnsi="Times New Roman" w:cs="Times New Roman"/>
                <w:color w:val="auto"/>
                <w:sz w:val="21"/>
                <w:szCs w:val="21"/>
                <w:highlight w:val="none"/>
              </w:rPr>
              <w:t>煤仓。锅炉设有有效容积200m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的</w:t>
            </w:r>
            <w:r>
              <w:rPr>
                <w:rFonts w:hint="default" w:ascii="Times New Roman" w:hAnsi="Times New Roman" w:cs="Times New Roman"/>
                <w:color w:val="auto"/>
                <w:sz w:val="21"/>
                <w:szCs w:val="21"/>
                <w:highlight w:val="none"/>
                <w:lang w:val="en-US" w:eastAsia="zh-CN"/>
              </w:rPr>
              <w:t>密闭</w:t>
            </w:r>
            <w:r>
              <w:rPr>
                <w:rFonts w:hint="default" w:ascii="Times New Roman" w:hAnsi="Times New Roman" w:cs="Times New Roman"/>
                <w:color w:val="auto"/>
                <w:sz w:val="21"/>
                <w:szCs w:val="21"/>
                <w:highlight w:val="none"/>
              </w:rPr>
              <w:t>钢煤仓，可供单台锅炉8～10小时的燃烧煤量。煤场内配一台推土机，用于上煤、运煤、倒煤之用</w:t>
            </w:r>
            <w:r>
              <w:rPr>
                <w:rFonts w:hint="default" w:ascii="Times New Roman" w:hAnsi="Times New Roman" w:cs="Times New Roman"/>
                <w:color w:val="auto"/>
                <w:sz w:val="21"/>
                <w:szCs w:val="21"/>
                <w:highlight w:val="none"/>
                <w:lang w:eastAsia="zh-CN"/>
              </w:rPr>
              <w:t>。</w:t>
            </w:r>
          </w:p>
        </w:tc>
      </w:tr>
      <w:tr w14:paraId="22C84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280EA2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continue"/>
            <w:tcBorders>
              <w:tl2br w:val="nil"/>
              <w:tr2bl w:val="nil"/>
            </w:tcBorders>
            <w:noWrap w:val="0"/>
            <w:vAlign w:val="center"/>
          </w:tcPr>
          <w:p w14:paraId="2B6F0B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686" w:type="pct"/>
            <w:tcBorders>
              <w:tl2br w:val="nil"/>
              <w:tr2bl w:val="nil"/>
            </w:tcBorders>
            <w:noWrap w:val="0"/>
            <w:vAlign w:val="center"/>
          </w:tcPr>
          <w:p w14:paraId="0B500E7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除灰渣</w:t>
            </w:r>
          </w:p>
          <w:p w14:paraId="7501D30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系统</w:t>
            </w:r>
          </w:p>
        </w:tc>
        <w:tc>
          <w:tcPr>
            <w:tcW w:w="3337" w:type="pct"/>
            <w:tcBorders>
              <w:tl2br w:val="nil"/>
              <w:tr2bl w:val="nil"/>
            </w:tcBorders>
            <w:noWrap w:val="0"/>
            <w:vAlign w:val="center"/>
          </w:tcPr>
          <w:p w14:paraId="27C7AD3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炉下布置1#重型板链除渣机，炉下渣斗及落灰管直接插入刮板捞渣机水封槽内，除尘器下细灰经落灰管直接落入2#刮板除渣机内，两台除渣机将渣运至3#重型板链除渣机内，再由3#重型板链除渣机运至灰渣楼内，渣楼内设有渣斗，渣斗单个有效容积约为40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，可存炉渣8小时左右</w:t>
            </w:r>
            <w:r>
              <w:rPr>
                <w:rFonts w:hint="default" w:ascii="Times New Roman" w:hAnsi="Times New Roman" w:cs="Times New Roman"/>
                <w:color w:val="auto"/>
                <w:sz w:val="21"/>
                <w:szCs w:val="21"/>
                <w:highlight w:val="none"/>
                <w:lang w:eastAsia="zh-CN"/>
              </w:rPr>
              <w:t>。</w:t>
            </w:r>
          </w:p>
        </w:tc>
      </w:tr>
      <w:tr w14:paraId="3ABC4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6208F7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restart"/>
            <w:tcBorders>
              <w:tl2br w:val="nil"/>
              <w:tr2bl w:val="nil"/>
            </w:tcBorders>
            <w:noWrap w:val="0"/>
            <w:vAlign w:val="center"/>
          </w:tcPr>
          <w:p w14:paraId="17C6619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辅助</w:t>
            </w:r>
          </w:p>
          <w:p w14:paraId="5860181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工程</w:t>
            </w:r>
          </w:p>
        </w:tc>
        <w:tc>
          <w:tcPr>
            <w:tcW w:w="686" w:type="pct"/>
            <w:tcBorders>
              <w:tl2br w:val="nil"/>
              <w:tr2bl w:val="nil"/>
            </w:tcBorders>
            <w:noWrap w:val="0"/>
            <w:vAlign w:val="center"/>
          </w:tcPr>
          <w:p w14:paraId="7629532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灰渣仓</w:t>
            </w:r>
          </w:p>
        </w:tc>
        <w:tc>
          <w:tcPr>
            <w:tcW w:w="3337" w:type="pct"/>
            <w:tcBorders>
              <w:tl2br w:val="nil"/>
              <w:tr2bl w:val="nil"/>
            </w:tcBorders>
            <w:noWrap w:val="0"/>
            <w:vAlign w:val="center"/>
          </w:tcPr>
          <w:p w14:paraId="7F331EC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厂区设</w:t>
            </w:r>
            <w:r>
              <w:rPr>
                <w:rFonts w:hint="default" w:ascii="Times New Roman" w:hAnsi="Times New Roman" w:cs="Times New Roman"/>
                <w:color w:val="auto"/>
                <w:sz w:val="21"/>
                <w:szCs w:val="21"/>
                <w:highlight w:val="none"/>
                <w:lang w:val="en-US" w:eastAsia="zh-CN"/>
              </w:rPr>
              <w:t>1座全封闭</w:t>
            </w:r>
            <w:r>
              <w:rPr>
                <w:rFonts w:hint="default" w:ascii="Times New Roman" w:hAnsi="Times New Roman" w:cs="Times New Roman"/>
                <w:color w:val="auto"/>
                <w:sz w:val="21"/>
                <w:szCs w:val="21"/>
                <w:highlight w:val="none"/>
              </w:rPr>
              <w:t>灰渣仓，灰渣仓长10m、宽7m、高</w:t>
            </w:r>
            <w:r>
              <w:rPr>
                <w:rFonts w:hint="default" w:ascii="Times New Roman" w:hAnsi="Times New Roman" w:cs="Times New Roman"/>
                <w:color w:val="auto"/>
                <w:sz w:val="21"/>
                <w:szCs w:val="21"/>
                <w:highlight w:val="none"/>
                <w:lang w:val="en-US" w:eastAsia="zh-CN"/>
              </w:rPr>
              <w:t>10</w:t>
            </w:r>
            <w:r>
              <w:rPr>
                <w:rFonts w:hint="default" w:ascii="Times New Roman" w:hAnsi="Times New Roman" w:cs="Times New Roman"/>
                <w:color w:val="auto"/>
                <w:sz w:val="21"/>
                <w:szCs w:val="21"/>
                <w:highlight w:val="none"/>
              </w:rPr>
              <w:t>m</w:t>
            </w:r>
            <w:r>
              <w:rPr>
                <w:rFonts w:hint="default" w:ascii="Times New Roman" w:hAnsi="Times New Roman" w:cs="Times New Roman"/>
                <w:color w:val="auto"/>
                <w:sz w:val="21"/>
                <w:szCs w:val="21"/>
                <w:highlight w:val="none"/>
                <w:lang w:eastAsia="zh-CN"/>
              </w:rPr>
              <w:t>。</w:t>
            </w:r>
          </w:p>
        </w:tc>
      </w:tr>
      <w:tr w14:paraId="54CC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278F65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continue"/>
            <w:tcBorders>
              <w:tl2br w:val="nil"/>
              <w:tr2bl w:val="nil"/>
            </w:tcBorders>
            <w:noWrap w:val="0"/>
            <w:vAlign w:val="center"/>
          </w:tcPr>
          <w:p w14:paraId="0191EE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686" w:type="pct"/>
            <w:tcBorders>
              <w:tl2br w:val="nil"/>
              <w:tr2bl w:val="nil"/>
            </w:tcBorders>
            <w:noWrap w:val="0"/>
            <w:vAlign w:val="center"/>
          </w:tcPr>
          <w:p w14:paraId="18B7162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eastAsiaTheme="minorEastAsia"/>
                <w:color w:val="FF0000"/>
                <w:sz w:val="21"/>
                <w:szCs w:val="21"/>
                <w:highlight w:val="none"/>
                <w:lang w:eastAsia="zh-CN"/>
              </w:rPr>
            </w:pPr>
            <w:r>
              <w:rPr>
                <w:rFonts w:hint="eastAsia" w:cs="Times New Roman"/>
                <w:color w:val="FF0000"/>
                <w:sz w:val="21"/>
                <w:szCs w:val="21"/>
                <w:highlight w:val="none"/>
                <w:lang w:val="en-US" w:eastAsia="zh-CN"/>
              </w:rPr>
              <w:t>煤库</w:t>
            </w:r>
          </w:p>
        </w:tc>
        <w:tc>
          <w:tcPr>
            <w:tcW w:w="3337" w:type="pct"/>
            <w:tcBorders>
              <w:tl2br w:val="nil"/>
              <w:tr2bl w:val="nil"/>
            </w:tcBorders>
            <w:noWrap w:val="0"/>
            <w:vAlign w:val="center"/>
          </w:tcPr>
          <w:p w14:paraId="1D1B5FB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FF0000"/>
                <w:sz w:val="21"/>
                <w:szCs w:val="21"/>
                <w:highlight w:val="none"/>
              </w:rPr>
            </w:pPr>
            <w:r>
              <w:rPr>
                <w:rFonts w:hint="eastAsia" w:cs="Times New Roman"/>
                <w:color w:val="FF0000"/>
                <w:sz w:val="21"/>
                <w:szCs w:val="21"/>
                <w:highlight w:val="none"/>
                <w:lang w:val="en-US" w:eastAsia="zh-CN"/>
              </w:rPr>
              <w:t>煤库</w:t>
            </w:r>
            <w:r>
              <w:rPr>
                <w:rFonts w:hint="default" w:ascii="Times New Roman" w:hAnsi="Times New Roman" w:cs="Times New Roman"/>
                <w:color w:val="FF0000"/>
                <w:sz w:val="21"/>
                <w:szCs w:val="21"/>
                <w:highlight w:val="none"/>
                <w:lang w:val="en-US" w:eastAsia="zh-CN"/>
              </w:rPr>
              <w:t>长</w:t>
            </w:r>
            <w:r>
              <w:rPr>
                <w:rFonts w:hint="eastAsia" w:cs="Times New Roman"/>
                <w:color w:val="FF0000"/>
                <w:sz w:val="21"/>
                <w:szCs w:val="21"/>
                <w:highlight w:val="none"/>
                <w:lang w:val="en-US" w:eastAsia="zh-CN"/>
              </w:rPr>
              <w:t>72</w:t>
            </w:r>
            <w:r>
              <w:rPr>
                <w:rFonts w:hint="default" w:ascii="Times New Roman" w:hAnsi="Times New Roman" w:cs="Times New Roman"/>
                <w:color w:val="FF0000"/>
                <w:sz w:val="21"/>
                <w:szCs w:val="21"/>
                <w:highlight w:val="none"/>
                <w:lang w:val="en-US" w:eastAsia="zh-CN"/>
              </w:rPr>
              <w:t>m、宽3</w:t>
            </w:r>
            <w:r>
              <w:rPr>
                <w:rFonts w:hint="eastAsia" w:cs="Times New Roman"/>
                <w:color w:val="FF0000"/>
                <w:sz w:val="21"/>
                <w:szCs w:val="21"/>
                <w:highlight w:val="none"/>
                <w:lang w:val="en-US" w:eastAsia="zh-CN"/>
              </w:rPr>
              <w:t>2</w:t>
            </w:r>
            <w:r>
              <w:rPr>
                <w:rFonts w:hint="default" w:ascii="Times New Roman" w:hAnsi="Times New Roman" w:cs="Times New Roman"/>
                <w:color w:val="FF0000"/>
                <w:sz w:val="21"/>
                <w:szCs w:val="21"/>
                <w:highlight w:val="none"/>
                <w:lang w:val="en-US" w:eastAsia="zh-CN"/>
              </w:rPr>
              <w:t>m，</w:t>
            </w:r>
            <w:r>
              <w:rPr>
                <w:rFonts w:hint="eastAsia" w:cs="Times New Roman"/>
                <w:color w:val="FF0000"/>
                <w:sz w:val="21"/>
                <w:szCs w:val="21"/>
                <w:highlight w:val="none"/>
                <w:lang w:val="en-US" w:eastAsia="zh-CN"/>
              </w:rPr>
              <w:t>煤库</w:t>
            </w:r>
            <w:r>
              <w:rPr>
                <w:rFonts w:hint="default" w:ascii="Times New Roman" w:hAnsi="Times New Roman" w:cs="Times New Roman"/>
                <w:color w:val="FF0000"/>
                <w:sz w:val="21"/>
                <w:szCs w:val="21"/>
                <w:highlight w:val="none"/>
              </w:rPr>
              <w:t>建成封闭形式，</w:t>
            </w:r>
            <w:r>
              <w:rPr>
                <w:rFonts w:hint="eastAsia" w:cs="Times New Roman"/>
                <w:color w:val="FF0000"/>
                <w:sz w:val="21"/>
                <w:szCs w:val="21"/>
                <w:highlight w:val="none"/>
                <w:lang w:val="en-US" w:eastAsia="zh-CN"/>
              </w:rPr>
              <w:t>周边</w:t>
            </w:r>
            <w:r>
              <w:rPr>
                <w:rFonts w:hint="default" w:ascii="Times New Roman" w:hAnsi="Times New Roman" w:cs="Times New Roman"/>
                <w:color w:val="FF0000"/>
                <w:sz w:val="21"/>
                <w:szCs w:val="21"/>
                <w:highlight w:val="none"/>
                <w:lang w:val="en-US" w:eastAsia="zh-CN"/>
              </w:rPr>
              <w:t>设有防风抑尘网</w:t>
            </w:r>
            <w:r>
              <w:rPr>
                <w:rFonts w:hint="default" w:ascii="Times New Roman" w:hAnsi="Times New Roman" w:cs="Times New Roman"/>
                <w:color w:val="FF0000"/>
                <w:sz w:val="21"/>
                <w:szCs w:val="21"/>
                <w:highlight w:val="none"/>
              </w:rPr>
              <w:t>，地面做防渗处理。</w:t>
            </w:r>
          </w:p>
        </w:tc>
      </w:tr>
      <w:tr w14:paraId="66856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331050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continue"/>
            <w:tcBorders>
              <w:tl2br w:val="nil"/>
              <w:tr2bl w:val="nil"/>
            </w:tcBorders>
            <w:noWrap w:val="0"/>
            <w:vAlign w:val="center"/>
          </w:tcPr>
          <w:p w14:paraId="2A55EE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686" w:type="pct"/>
            <w:tcBorders>
              <w:tl2br w:val="nil"/>
              <w:tr2bl w:val="nil"/>
            </w:tcBorders>
            <w:noWrap w:val="0"/>
            <w:vAlign w:val="center"/>
          </w:tcPr>
          <w:p w14:paraId="32DD1A1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eastAsiaTheme="minorEastAsia"/>
                <w:color w:val="auto"/>
                <w:sz w:val="21"/>
                <w:szCs w:val="21"/>
                <w:highlight w:val="none"/>
                <w:lang w:val="en-US" w:eastAsia="zh-CN"/>
              </w:rPr>
            </w:pPr>
            <w:r>
              <w:rPr>
                <w:rFonts w:hint="eastAsia" w:cs="Times New Roman"/>
                <w:color w:val="auto"/>
                <w:sz w:val="21"/>
                <w:szCs w:val="21"/>
                <w:highlight w:val="none"/>
                <w:lang w:val="en-US" w:eastAsia="zh-CN"/>
              </w:rPr>
              <w:t>烟囱</w:t>
            </w:r>
          </w:p>
        </w:tc>
        <w:tc>
          <w:tcPr>
            <w:tcW w:w="3337" w:type="pct"/>
            <w:tcBorders>
              <w:tl2br w:val="nil"/>
              <w:tr2bl w:val="nil"/>
            </w:tcBorders>
            <w:noWrap w:val="0"/>
            <w:vAlign w:val="center"/>
          </w:tcPr>
          <w:p w14:paraId="6EFFF43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1座闲置高100m、内径3.2m砖结构烟囱</w:t>
            </w:r>
          </w:p>
        </w:tc>
      </w:tr>
      <w:tr w14:paraId="6D5FF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48B1CC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restart"/>
            <w:tcBorders>
              <w:tl2br w:val="nil"/>
              <w:tr2bl w:val="nil"/>
            </w:tcBorders>
            <w:noWrap w:val="0"/>
            <w:vAlign w:val="center"/>
          </w:tcPr>
          <w:p w14:paraId="7DE06E9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公用</w:t>
            </w:r>
          </w:p>
          <w:p w14:paraId="3CC0823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rPr>
              <w:t>工程</w:t>
            </w:r>
          </w:p>
        </w:tc>
        <w:tc>
          <w:tcPr>
            <w:tcW w:w="686" w:type="pct"/>
            <w:tcBorders>
              <w:tl2br w:val="nil"/>
              <w:tr2bl w:val="nil"/>
            </w:tcBorders>
            <w:noWrap w:val="0"/>
            <w:vAlign w:val="center"/>
          </w:tcPr>
          <w:p w14:paraId="71519BA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给水系统</w:t>
            </w:r>
          </w:p>
        </w:tc>
        <w:tc>
          <w:tcPr>
            <w:tcW w:w="3337" w:type="pct"/>
            <w:tcBorders>
              <w:tl2br w:val="nil"/>
              <w:tr2bl w:val="nil"/>
            </w:tcBorders>
            <w:noWrap w:val="0"/>
            <w:vAlign w:val="center"/>
          </w:tcPr>
          <w:p w14:paraId="08E5609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热源厂水源由八五二农场市政管网供给，供水管径100mm，供水量满足厂区生产、生活用水。厂区建设软化水系统，其出力能够满足工程的用水需求。</w:t>
            </w:r>
          </w:p>
        </w:tc>
      </w:tr>
      <w:tr w14:paraId="07080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782FA4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continue"/>
            <w:tcBorders>
              <w:tl2br w:val="nil"/>
              <w:tr2bl w:val="nil"/>
            </w:tcBorders>
            <w:noWrap w:val="0"/>
            <w:vAlign w:val="center"/>
          </w:tcPr>
          <w:p w14:paraId="293BFA4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p>
        </w:tc>
        <w:tc>
          <w:tcPr>
            <w:tcW w:w="686" w:type="pct"/>
            <w:tcBorders>
              <w:tl2br w:val="nil"/>
              <w:tr2bl w:val="nil"/>
            </w:tcBorders>
            <w:noWrap w:val="0"/>
            <w:vAlign w:val="center"/>
          </w:tcPr>
          <w:p w14:paraId="35D9101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rPr>
              <w:t>排水系统</w:t>
            </w:r>
          </w:p>
        </w:tc>
        <w:tc>
          <w:tcPr>
            <w:tcW w:w="3337" w:type="pct"/>
            <w:tcBorders>
              <w:tl2br w:val="nil"/>
              <w:tr2bl w:val="nil"/>
            </w:tcBorders>
            <w:noWrap w:val="0"/>
            <w:vAlign w:val="center"/>
          </w:tcPr>
          <w:p w14:paraId="6CDFF59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锅炉运行产生的废水为清净下水，全部回用于厂区给煤系统的洒水降尘、除灰渣系统的冷却降温，不外排，</w:t>
            </w:r>
            <w:r>
              <w:rPr>
                <w:rFonts w:hint="default" w:ascii="Times New Roman" w:hAnsi="Times New Roman" w:eastAsia="宋体" w:cs="Times New Roman"/>
                <w:color w:val="auto"/>
                <w:sz w:val="21"/>
                <w:szCs w:val="21"/>
                <w:highlight w:val="none"/>
                <w:lang w:eastAsia="zh-CN"/>
              </w:rPr>
              <w:t>生活污水污染物浓度满足</w:t>
            </w:r>
            <w:r>
              <w:rPr>
                <w:rFonts w:hint="default" w:ascii="Times New Roman" w:hAnsi="Times New Roman" w:eastAsia="宋体" w:cs="Times New Roman"/>
                <w:color w:val="auto"/>
                <w:sz w:val="21"/>
                <w:szCs w:val="21"/>
                <w:highlight w:val="none"/>
              </w:rPr>
              <w:t>《污水综合排放标准》（GB8978-1996）表4三级标准</w:t>
            </w:r>
            <w:r>
              <w:rPr>
                <w:rFonts w:hint="default" w:ascii="Times New Roman" w:hAnsi="Times New Roman" w:eastAsia="宋体" w:cs="Times New Roman"/>
                <w:color w:val="auto"/>
                <w:sz w:val="21"/>
                <w:szCs w:val="21"/>
                <w:highlight w:val="none"/>
                <w:lang w:val="en-US" w:eastAsia="zh-CN"/>
              </w:rPr>
              <w:t>，经市政污水管网排入八五二农场污水处理厂处理</w:t>
            </w:r>
            <w:r>
              <w:rPr>
                <w:rFonts w:hint="default" w:ascii="Times New Roman" w:hAnsi="Times New Roman" w:eastAsia="宋体" w:cs="Times New Roman"/>
                <w:color w:val="auto"/>
                <w:sz w:val="21"/>
                <w:szCs w:val="21"/>
                <w:highlight w:val="none"/>
                <w:lang w:eastAsia="zh-CN"/>
              </w:rPr>
              <w:t>，经处理后污水排放浓度达到《城镇污水处理厂污染物排放标准》（GB18918-2002）一级A标准后排入</w:t>
            </w:r>
            <w:r>
              <w:rPr>
                <w:rFonts w:hint="default" w:ascii="Times New Roman" w:hAnsi="Times New Roman" w:eastAsia="宋体" w:cs="Times New Roman"/>
                <w:color w:val="auto"/>
                <w:sz w:val="21"/>
                <w:szCs w:val="21"/>
                <w:highlight w:val="none"/>
                <w:lang w:val="en-US" w:eastAsia="zh-CN"/>
              </w:rPr>
              <w:t>蛤蟆通河。</w:t>
            </w:r>
          </w:p>
          <w:p w14:paraId="7553717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厂区采用雨污分流排水系统，初期雨水经初期雨水收集池处理后用于厂区洒水降尘，后期雨水靠重力作用经厂区内雨水排水沟收集后，经雨水排放口排放至蛤蟆通河。</w:t>
            </w:r>
          </w:p>
        </w:tc>
      </w:tr>
      <w:tr w14:paraId="0420F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7B46A1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82" w:type="pct"/>
            <w:vMerge w:val="continue"/>
            <w:tcBorders>
              <w:tl2br w:val="nil"/>
              <w:tr2bl w:val="nil"/>
            </w:tcBorders>
            <w:noWrap w:val="0"/>
            <w:vAlign w:val="center"/>
          </w:tcPr>
          <w:p w14:paraId="20D405D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rPr>
            </w:pPr>
          </w:p>
        </w:tc>
        <w:tc>
          <w:tcPr>
            <w:tcW w:w="686" w:type="pct"/>
            <w:tcBorders>
              <w:tl2br w:val="nil"/>
              <w:tr2bl w:val="nil"/>
            </w:tcBorders>
            <w:noWrap w:val="0"/>
            <w:vAlign w:val="center"/>
          </w:tcPr>
          <w:p w14:paraId="5F8B579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rPr>
              <w:t>供电系统</w:t>
            </w:r>
          </w:p>
        </w:tc>
        <w:tc>
          <w:tcPr>
            <w:tcW w:w="3337" w:type="pct"/>
            <w:tcBorders>
              <w:tl2br w:val="nil"/>
              <w:tr2bl w:val="nil"/>
            </w:tcBorders>
            <w:noWrap w:val="0"/>
            <w:vAlign w:val="center"/>
          </w:tcPr>
          <w:p w14:paraId="101FB21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rPr>
              <w:t>农场场部现有一座63KV枢纽变电所，变电所主变电压比63/35/10KV。负责向农场供电，电力充足，项目建设地点距离400V低压线路较近，可满足用电要求</w:t>
            </w:r>
            <w:r>
              <w:rPr>
                <w:rFonts w:hint="default" w:ascii="Times New Roman" w:hAnsi="Times New Roman" w:cs="Times New Roman"/>
                <w:color w:val="auto"/>
                <w:sz w:val="21"/>
                <w:szCs w:val="21"/>
                <w:lang w:eastAsia="zh-CN"/>
              </w:rPr>
              <w:t>。</w:t>
            </w:r>
          </w:p>
        </w:tc>
      </w:tr>
      <w:tr w14:paraId="42910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3CC00F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482" w:type="pct"/>
            <w:vMerge w:val="restart"/>
            <w:tcBorders>
              <w:tl2br w:val="nil"/>
              <w:tr2bl w:val="nil"/>
            </w:tcBorders>
            <w:noWrap w:val="0"/>
            <w:vAlign w:val="center"/>
          </w:tcPr>
          <w:p w14:paraId="02901CD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环保</w:t>
            </w:r>
          </w:p>
          <w:p w14:paraId="0BB9E91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工程</w:t>
            </w:r>
          </w:p>
        </w:tc>
        <w:tc>
          <w:tcPr>
            <w:tcW w:w="686" w:type="pct"/>
            <w:tcBorders>
              <w:tl2br w:val="nil"/>
              <w:tr2bl w:val="nil"/>
            </w:tcBorders>
            <w:noWrap w:val="0"/>
            <w:vAlign w:val="center"/>
          </w:tcPr>
          <w:p w14:paraId="652343B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废水</w:t>
            </w:r>
            <w:r>
              <w:rPr>
                <w:rFonts w:hint="default" w:ascii="Times New Roman" w:hAnsi="Times New Roman" w:cs="Times New Roman"/>
                <w:color w:val="auto"/>
                <w:sz w:val="21"/>
                <w:szCs w:val="21"/>
                <w:lang w:val="en-US" w:eastAsia="zh-CN"/>
              </w:rPr>
              <w:t>污染防治措施</w:t>
            </w:r>
          </w:p>
        </w:tc>
        <w:tc>
          <w:tcPr>
            <w:tcW w:w="3337" w:type="pct"/>
            <w:tcBorders>
              <w:tl2br w:val="nil"/>
              <w:tr2bl w:val="nil"/>
            </w:tcBorders>
            <w:noWrap w:val="0"/>
            <w:vAlign w:val="center"/>
          </w:tcPr>
          <w:p w14:paraId="78F3687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cs="Times New Roman"/>
                <w:color w:val="auto"/>
                <w:sz w:val="21"/>
                <w:szCs w:val="21"/>
              </w:rPr>
              <w:t>锅炉运行产生的废水为清净下水，全部回用于厂区给煤系统的洒水降尘、除灰渣系统的冷却降温，不外排，</w:t>
            </w:r>
            <w:r>
              <w:rPr>
                <w:rFonts w:hint="default" w:ascii="Times New Roman" w:hAnsi="Times New Roman" w:eastAsia="宋体" w:cs="Times New Roman"/>
                <w:b w:val="0"/>
                <w:bCs w:val="0"/>
                <w:color w:val="auto"/>
                <w:sz w:val="21"/>
                <w:szCs w:val="21"/>
                <w:highlight w:val="none"/>
                <w:lang w:eastAsia="zh-CN"/>
              </w:rPr>
              <w:t>生活污水污染物浓度满足</w:t>
            </w:r>
            <w:r>
              <w:rPr>
                <w:rFonts w:hint="default" w:ascii="Times New Roman" w:hAnsi="Times New Roman" w:eastAsia="宋体" w:cs="Times New Roman"/>
                <w:color w:val="auto"/>
                <w:spacing w:val="0"/>
                <w:w w:val="100"/>
                <w:sz w:val="21"/>
                <w:szCs w:val="21"/>
                <w:highlight w:val="none"/>
              </w:rPr>
              <w:t>《污水综合排放标准》（GB8978-1996）表4三级标准</w:t>
            </w:r>
            <w:r>
              <w:rPr>
                <w:rFonts w:hint="default" w:ascii="Times New Roman" w:hAnsi="Times New Roman" w:eastAsia="宋体" w:cs="Times New Roman"/>
                <w:b w:val="0"/>
                <w:bCs w:val="0"/>
                <w:color w:val="auto"/>
                <w:spacing w:val="0"/>
                <w:w w:val="100"/>
                <w:sz w:val="21"/>
                <w:szCs w:val="21"/>
                <w:highlight w:val="none"/>
                <w:lang w:val="en-US" w:eastAsia="zh-CN"/>
              </w:rPr>
              <w:t>，</w:t>
            </w:r>
            <w:r>
              <w:rPr>
                <w:rFonts w:hint="default" w:ascii="Times New Roman" w:hAnsi="Times New Roman" w:cs="Times New Roman"/>
                <w:b w:val="0"/>
                <w:bCs w:val="0"/>
                <w:color w:val="auto"/>
                <w:sz w:val="21"/>
                <w:szCs w:val="21"/>
                <w:highlight w:val="none"/>
                <w:lang w:val="en-US" w:eastAsia="zh-CN"/>
              </w:rPr>
              <w:t>经市政污水管网排入</w:t>
            </w:r>
            <w:r>
              <w:rPr>
                <w:rFonts w:hint="default" w:ascii="Times New Roman" w:hAnsi="Times New Roman" w:eastAsia="宋体" w:cs="Times New Roman"/>
                <w:color w:val="auto"/>
                <w:sz w:val="21"/>
                <w:szCs w:val="21"/>
                <w:highlight w:val="none"/>
                <w:lang w:val="en-US" w:eastAsia="zh-CN"/>
              </w:rPr>
              <w:t>八五二农场污水处理厂处理</w:t>
            </w:r>
            <w:r>
              <w:rPr>
                <w:rFonts w:hint="default" w:ascii="Times New Roman" w:hAnsi="Times New Roman" w:eastAsia="宋体" w:cs="Times New Roman"/>
                <w:b w:val="0"/>
                <w:bCs w:val="0"/>
                <w:color w:val="auto"/>
                <w:sz w:val="21"/>
                <w:szCs w:val="21"/>
                <w:highlight w:val="none"/>
                <w:lang w:eastAsia="zh-CN"/>
              </w:rPr>
              <w:t>，经处理后污水排放浓度达到《城镇污水处理厂污染物排放标准》（GB18918-2002）一级A标准后排入</w:t>
            </w:r>
            <w:r>
              <w:rPr>
                <w:rFonts w:hint="default" w:ascii="Times New Roman" w:hAnsi="Times New Roman" w:eastAsia="宋体" w:cs="Times New Roman"/>
                <w:color w:val="auto"/>
                <w:sz w:val="21"/>
                <w:szCs w:val="21"/>
                <w:highlight w:val="none"/>
                <w:lang w:val="en-US" w:eastAsia="zh-CN"/>
              </w:rPr>
              <w:t>蛤蟆通河</w:t>
            </w:r>
            <w:r>
              <w:rPr>
                <w:rFonts w:hint="default" w:ascii="Times New Roman" w:hAnsi="Times New Roman" w:eastAsia="宋体" w:cs="Times New Roman"/>
                <w:b w:val="0"/>
                <w:bCs w:val="0"/>
                <w:color w:val="auto"/>
                <w:sz w:val="21"/>
                <w:szCs w:val="21"/>
                <w:highlight w:val="none"/>
                <w:lang w:val="en-US" w:eastAsia="zh-CN"/>
              </w:rPr>
              <w:t>。</w:t>
            </w:r>
          </w:p>
          <w:p w14:paraId="2859A54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z w:val="21"/>
                <w:szCs w:val="21"/>
                <w:highlight w:val="none"/>
                <w:lang w:eastAsia="zh-CN"/>
              </w:rPr>
              <w:t>厂区采用雨污分流排水系统，初期雨水经初期雨水收集池处理后用于厂区洒水降尘，后期雨水靠重力作用经厂区内雨水排水沟收集后，经雨水排放口排放至蛤蟆通河。</w:t>
            </w:r>
          </w:p>
        </w:tc>
      </w:tr>
      <w:tr w14:paraId="557C5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77227C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482" w:type="pct"/>
            <w:vMerge w:val="continue"/>
            <w:tcBorders>
              <w:tl2br w:val="nil"/>
              <w:tr2bl w:val="nil"/>
            </w:tcBorders>
            <w:noWrap w:val="0"/>
            <w:vAlign w:val="center"/>
          </w:tcPr>
          <w:p w14:paraId="4165BD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686" w:type="pct"/>
            <w:tcBorders>
              <w:tl2br w:val="nil"/>
              <w:tr2bl w:val="nil"/>
            </w:tcBorders>
            <w:noWrap w:val="0"/>
            <w:vAlign w:val="center"/>
          </w:tcPr>
          <w:p w14:paraId="52C845F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废气</w:t>
            </w:r>
            <w:r>
              <w:rPr>
                <w:rFonts w:hint="default" w:ascii="Times New Roman" w:hAnsi="Times New Roman" w:cs="Times New Roman"/>
                <w:color w:val="auto"/>
                <w:sz w:val="21"/>
                <w:szCs w:val="21"/>
                <w:lang w:val="en-US" w:eastAsia="zh-CN"/>
              </w:rPr>
              <w:t>污染防治措施</w:t>
            </w:r>
          </w:p>
        </w:tc>
        <w:tc>
          <w:tcPr>
            <w:tcW w:w="3337" w:type="pct"/>
            <w:tcBorders>
              <w:tl2br w:val="nil"/>
              <w:tr2bl w:val="nil"/>
            </w:tcBorders>
            <w:noWrap w:val="0"/>
            <w:vAlign w:val="center"/>
          </w:tcPr>
          <w:p w14:paraId="32E0632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both"/>
              <w:textAlignment w:val="auto"/>
              <w:rPr>
                <w:rFonts w:hint="default" w:ascii="Times New Roman" w:hAnsi="Times New Roman" w:cs="Times New Roman"/>
                <w:color w:val="auto"/>
                <w:sz w:val="21"/>
                <w:szCs w:val="21"/>
                <w:lang w:val="en-US"/>
              </w:rPr>
            </w:pPr>
            <w:r>
              <w:rPr>
                <w:rFonts w:hint="default" w:ascii="Times New Roman" w:hAnsi="Times New Roman" w:eastAsia="宋体" w:cs="Times New Roman"/>
                <w:color w:val="auto"/>
                <w:sz w:val="21"/>
                <w:szCs w:val="21"/>
                <w:highlight w:val="none"/>
                <w:lang w:val="en-US" w:eastAsia="zh-CN"/>
              </w:rPr>
              <w:t>烟气治理采用“SNCR-SCR联合脱硝+布袋除尘器+氧化镁法脱硫”处理后由58m高烟囱排放。</w:t>
            </w:r>
          </w:p>
        </w:tc>
      </w:tr>
      <w:tr w14:paraId="386F9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3D2C91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482" w:type="pct"/>
            <w:vMerge w:val="continue"/>
            <w:tcBorders>
              <w:tl2br w:val="nil"/>
              <w:tr2bl w:val="nil"/>
            </w:tcBorders>
            <w:noWrap w:val="0"/>
            <w:vAlign w:val="center"/>
          </w:tcPr>
          <w:p w14:paraId="792131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686" w:type="pct"/>
            <w:tcBorders>
              <w:tl2br w:val="nil"/>
              <w:tr2bl w:val="nil"/>
            </w:tcBorders>
            <w:noWrap w:val="0"/>
            <w:vAlign w:val="center"/>
          </w:tcPr>
          <w:p w14:paraId="5A2206D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噪声</w:t>
            </w:r>
            <w:r>
              <w:rPr>
                <w:rFonts w:hint="default" w:ascii="Times New Roman" w:hAnsi="Times New Roman" w:cs="Times New Roman"/>
                <w:color w:val="auto"/>
                <w:sz w:val="21"/>
                <w:szCs w:val="21"/>
                <w:lang w:val="en-US" w:eastAsia="zh-CN"/>
              </w:rPr>
              <w:t>污染防治措施</w:t>
            </w:r>
          </w:p>
        </w:tc>
        <w:tc>
          <w:tcPr>
            <w:tcW w:w="3337" w:type="pct"/>
            <w:tcBorders>
              <w:tl2br w:val="nil"/>
              <w:tr2bl w:val="nil"/>
            </w:tcBorders>
            <w:noWrap w:val="0"/>
            <w:vAlign w:val="center"/>
          </w:tcPr>
          <w:p w14:paraId="44DF4276">
            <w:pPr>
              <w:keepNext w:val="0"/>
              <w:keepLines w:val="0"/>
              <w:pageBreakBefore w:val="0"/>
              <w:widowControl w:val="0"/>
              <w:kinsoku/>
              <w:wordWrap/>
              <w:overflowPunct/>
              <w:topLinePunct w:val="0"/>
              <w:autoSpaceDE/>
              <w:autoSpaceDN/>
              <w:bidi w:val="0"/>
              <w:adjustRightInd/>
              <w:snapToGrid/>
              <w:spacing w:line="320" w:lineRule="exact"/>
              <w:ind w:left="0" w:firstLine="0" w:firstLineChars="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对于噪声设备采用减震基础、隔声处理，选用低噪声设备</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厂房隔声</w:t>
            </w:r>
            <w:r>
              <w:rPr>
                <w:rFonts w:hint="default" w:ascii="Times New Roman" w:hAnsi="Times New Roman" w:cs="Times New Roman"/>
                <w:color w:val="auto"/>
                <w:sz w:val="21"/>
                <w:szCs w:val="21"/>
              </w:rPr>
              <w:t>。</w:t>
            </w:r>
          </w:p>
        </w:tc>
      </w:tr>
      <w:tr w14:paraId="160BD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671C40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482" w:type="pct"/>
            <w:vMerge w:val="continue"/>
            <w:tcBorders>
              <w:tl2br w:val="nil"/>
              <w:tr2bl w:val="nil"/>
            </w:tcBorders>
            <w:noWrap w:val="0"/>
            <w:vAlign w:val="center"/>
          </w:tcPr>
          <w:p w14:paraId="191EEC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686" w:type="pct"/>
            <w:tcBorders>
              <w:tl2br w:val="nil"/>
              <w:tr2bl w:val="nil"/>
            </w:tcBorders>
            <w:noWrap w:val="0"/>
            <w:vAlign w:val="center"/>
          </w:tcPr>
          <w:p w14:paraId="15A4609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固体废物</w:t>
            </w:r>
            <w:r>
              <w:rPr>
                <w:rFonts w:hint="default" w:ascii="Times New Roman" w:hAnsi="Times New Roman" w:cs="Times New Roman"/>
                <w:color w:val="auto"/>
                <w:sz w:val="21"/>
                <w:szCs w:val="21"/>
                <w:lang w:val="en-US" w:eastAsia="zh-CN"/>
              </w:rPr>
              <w:t>污染防治措施</w:t>
            </w:r>
          </w:p>
        </w:tc>
        <w:tc>
          <w:tcPr>
            <w:tcW w:w="3337" w:type="pct"/>
            <w:tcBorders>
              <w:tl2br w:val="nil"/>
              <w:tr2bl w:val="nil"/>
            </w:tcBorders>
            <w:noWrap w:val="0"/>
            <w:vAlign w:val="center"/>
          </w:tcPr>
          <w:p w14:paraId="01FD5ACC">
            <w:pPr>
              <w:keepNext w:val="0"/>
              <w:keepLines w:val="0"/>
              <w:pageBreakBefore w:val="0"/>
              <w:widowControl w:val="0"/>
              <w:kinsoku/>
              <w:wordWrap/>
              <w:overflowPunct/>
              <w:topLinePunct w:val="0"/>
              <w:autoSpaceDE w:val="0"/>
              <w:autoSpaceDN w:val="0"/>
              <w:bidi w:val="0"/>
              <w:adjustRightInd/>
              <w:snapToGrid w:val="0"/>
              <w:spacing w:line="320" w:lineRule="exact"/>
              <w:ind w:firstLine="0" w:firstLineChars="0"/>
              <w:textAlignment w:val="center"/>
              <w:outlineLvl w:val="9"/>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锅炉</w:t>
            </w:r>
            <w:r>
              <w:rPr>
                <w:rFonts w:hint="default" w:ascii="Times New Roman" w:hAnsi="Times New Roman" w:cs="Times New Roman"/>
                <w:color w:val="auto"/>
                <w:sz w:val="21"/>
                <w:szCs w:val="21"/>
              </w:rPr>
              <w:t>灰渣</w:t>
            </w:r>
            <w:r>
              <w:rPr>
                <w:rFonts w:hint="default" w:ascii="Times New Roman" w:hAnsi="Times New Roman" w:cs="Times New Roman"/>
                <w:color w:val="auto"/>
                <w:sz w:val="21"/>
                <w:szCs w:val="21"/>
                <w:lang w:val="en-US" w:eastAsia="zh-CN"/>
              </w:rPr>
              <w:t>运至</w:t>
            </w:r>
            <w:r>
              <w:rPr>
                <w:rFonts w:hint="eastAsia" w:ascii="Times New Roman" w:hAnsi="Times New Roman" w:cs="Times New Roman"/>
                <w:color w:val="auto"/>
                <w:sz w:val="21"/>
                <w:szCs w:val="21"/>
                <w:lang w:val="en-US" w:eastAsia="zh-CN"/>
              </w:rPr>
              <w:t>虎林市源泽永固水泥制品销售有限公司</w:t>
            </w:r>
            <w:r>
              <w:rPr>
                <w:rFonts w:hint="default" w:ascii="Times New Roman" w:hAnsi="Times New Roman" w:cs="Times New Roman"/>
                <w:color w:val="auto"/>
                <w:sz w:val="21"/>
                <w:szCs w:val="21"/>
              </w:rPr>
              <w:t>，灰渣力争随排随运，尽量减少储存时间及储存量</w:t>
            </w:r>
            <w:r>
              <w:rPr>
                <w:rFonts w:hint="eastAsia" w:ascii="Times New Roman" w:hAnsi="Times New Roman" w:cs="Times New Roman"/>
                <w:color w:val="auto"/>
                <w:sz w:val="21"/>
                <w:szCs w:val="21"/>
                <w:lang w:eastAsia="zh-CN"/>
              </w:rPr>
              <w:t>。</w:t>
            </w:r>
            <w:r>
              <w:rPr>
                <w:rFonts w:hint="eastAsia" w:ascii="Times New Roman" w:hAnsi="Times New Roman" w:cs="Times New Roman"/>
                <w:color w:val="FF0000"/>
                <w:sz w:val="21"/>
                <w:szCs w:val="21"/>
                <w:lang w:val="en-US" w:eastAsia="zh-CN"/>
              </w:rPr>
              <w:t>同时，建设单位与宝清县焱顺煤炭经销有限公司作签订协议，锅炉灰渣处置行程综合利用双保险</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脱硫副产物运至黑龙江春农生物科技有限公司作为生产原料使用；生活垃圾</w:t>
            </w:r>
            <w:r>
              <w:rPr>
                <w:rFonts w:hint="default" w:ascii="Times New Roman" w:hAnsi="Times New Roman" w:cs="Times New Roman"/>
                <w:color w:val="auto"/>
                <w:sz w:val="21"/>
                <w:szCs w:val="21"/>
              </w:rPr>
              <w:t>集中收集</w:t>
            </w:r>
            <w:r>
              <w:rPr>
                <w:rFonts w:hint="default" w:ascii="Times New Roman" w:hAnsi="Times New Roman" w:cs="Times New Roman"/>
                <w:color w:val="auto"/>
                <w:sz w:val="21"/>
                <w:szCs w:val="21"/>
                <w:lang w:val="en-US" w:eastAsia="zh-CN"/>
              </w:rPr>
              <w:t>由市政部门处理。</w:t>
            </w:r>
            <w:r>
              <w:rPr>
                <w:rFonts w:hint="default" w:ascii="Times New Roman" w:hAnsi="Times New Roman" w:cs="Times New Roman"/>
                <w:color w:val="auto"/>
                <w:sz w:val="21"/>
                <w:szCs w:val="21"/>
                <w:highlight w:val="none"/>
              </w:rPr>
              <w:t>脱硝系统产生的</w:t>
            </w:r>
            <w:r>
              <w:rPr>
                <w:rFonts w:hint="default" w:ascii="Times New Roman" w:hAnsi="Times New Roman" w:cs="Times New Roman"/>
                <w:color w:val="auto"/>
                <w:sz w:val="21"/>
                <w:szCs w:val="21"/>
                <w:highlight w:val="none"/>
                <w:lang w:val="en-US" w:eastAsia="zh-CN"/>
              </w:rPr>
              <w:t>废脱硝催化剂（</w:t>
            </w:r>
            <w:r>
              <w:rPr>
                <w:rFonts w:hint="default" w:ascii="Times New Roman" w:hAnsi="Times New Roman" w:cs="Times New Roman"/>
                <w:color w:val="auto"/>
                <w:spacing w:val="0"/>
                <w:sz w:val="21"/>
                <w:szCs w:val="21"/>
                <w:highlight w:val="none"/>
              </w:rPr>
              <w:t>772-007-50</w:t>
            </w:r>
            <w:r>
              <w:rPr>
                <w:rFonts w:hint="default" w:ascii="Times New Roman" w:hAnsi="Times New Roman" w:cs="Times New Roman"/>
                <w:color w:val="auto"/>
                <w:sz w:val="21"/>
                <w:szCs w:val="21"/>
                <w:highlight w:val="none"/>
                <w:lang w:val="en-US" w:eastAsia="zh-CN"/>
              </w:rPr>
              <w:t>）、机械维修过程中产生的</w:t>
            </w:r>
            <w:r>
              <w:rPr>
                <w:rFonts w:hint="default" w:ascii="Times New Roman" w:hAnsi="Times New Roman" w:cs="Times New Roman"/>
                <w:color w:val="auto"/>
                <w:sz w:val="21"/>
                <w:szCs w:val="21"/>
                <w:highlight w:val="none"/>
              </w:rPr>
              <w:t>废矿物油</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lang w:val="en-US" w:eastAsia="zh-CN"/>
              </w:rPr>
              <w:t>900-214-08</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lang w:val="en-US" w:eastAsia="zh-CN"/>
              </w:rPr>
              <w:t>均</w:t>
            </w:r>
            <w:r>
              <w:rPr>
                <w:rFonts w:hint="default" w:ascii="Times New Roman" w:hAnsi="Times New Roman" w:cs="Times New Roman"/>
                <w:color w:val="auto"/>
                <w:sz w:val="21"/>
                <w:szCs w:val="21"/>
                <w:highlight w:val="none"/>
              </w:rPr>
              <w:t>属于危险废物</w:t>
            </w:r>
            <w:r>
              <w:rPr>
                <w:rFonts w:hint="default"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rPr>
              <w:t>在厂区危险废物</w:t>
            </w:r>
            <w:r>
              <w:rPr>
                <w:rFonts w:hint="default" w:ascii="Times New Roman" w:hAnsi="Times New Roman" w:cs="Times New Roman"/>
                <w:color w:val="auto"/>
                <w:sz w:val="21"/>
                <w:szCs w:val="21"/>
                <w:highlight w:val="none"/>
                <w:lang w:val="en-US" w:eastAsia="zh-CN"/>
              </w:rPr>
              <w:t>贮存</w:t>
            </w:r>
            <w:r>
              <w:rPr>
                <w:rFonts w:hint="eastAsia" w:ascii="Times New Roman" w:hAnsi="Times New Roman" w:cs="Times New Roman"/>
                <w:color w:val="auto"/>
                <w:sz w:val="21"/>
                <w:szCs w:val="21"/>
                <w:highlight w:val="none"/>
                <w:lang w:val="en-US" w:eastAsia="zh-CN"/>
              </w:rPr>
              <w:t>点</w:t>
            </w:r>
            <w:r>
              <w:rPr>
                <w:rFonts w:hint="default" w:ascii="Times New Roman" w:hAnsi="Times New Roman" w:cs="Times New Roman"/>
                <w:color w:val="auto"/>
                <w:sz w:val="21"/>
                <w:szCs w:val="21"/>
                <w:highlight w:val="none"/>
                <w:lang w:val="en-US" w:eastAsia="zh-CN"/>
              </w:rPr>
              <w:t>委托有危险废物处理资质的单位</w:t>
            </w:r>
            <w:r>
              <w:rPr>
                <w:rFonts w:hint="default" w:ascii="Times New Roman" w:hAnsi="Times New Roman" w:cs="Times New Roman"/>
                <w:color w:val="auto"/>
                <w:sz w:val="21"/>
                <w:szCs w:val="21"/>
              </w:rPr>
              <w:t>统一处理</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highlight w:val="none"/>
                <w:lang w:eastAsia="zh-CN"/>
              </w:rPr>
              <w:t>废</w:t>
            </w:r>
            <w:r>
              <w:rPr>
                <w:rFonts w:hint="default" w:ascii="Times New Roman" w:hAnsi="Times New Roman" w:cs="Times New Roman"/>
                <w:color w:val="auto"/>
                <w:sz w:val="21"/>
                <w:szCs w:val="21"/>
                <w:highlight w:val="none"/>
                <w:lang w:val="en-US" w:eastAsia="zh-CN"/>
              </w:rPr>
              <w:t>离子交换树脂</w:t>
            </w:r>
            <w:r>
              <w:rPr>
                <w:rFonts w:hint="default" w:ascii="Times New Roman" w:hAnsi="Times New Roman" w:eastAsia="宋体" w:cs="Times New Roman"/>
                <w:color w:val="auto"/>
                <w:sz w:val="21"/>
                <w:szCs w:val="21"/>
                <w:highlight w:val="none"/>
              </w:rPr>
              <w:t>由化学水处理设备厂家定期</w:t>
            </w:r>
            <w:r>
              <w:rPr>
                <w:rFonts w:hint="default" w:ascii="Times New Roman" w:hAnsi="Times New Roman" w:cs="Times New Roman"/>
                <w:color w:val="auto"/>
                <w:sz w:val="21"/>
                <w:szCs w:val="21"/>
                <w:highlight w:val="none"/>
                <w:lang w:val="en-US" w:eastAsia="zh-CN"/>
              </w:rPr>
              <w:t>更换</w:t>
            </w:r>
            <w:r>
              <w:rPr>
                <w:rFonts w:hint="default" w:ascii="Times New Roman" w:hAnsi="Times New Roman" w:eastAsia="宋体" w:cs="Times New Roman"/>
                <w:color w:val="auto"/>
                <w:sz w:val="21"/>
                <w:szCs w:val="21"/>
                <w:highlight w:val="none"/>
              </w:rPr>
              <w:t>回收，不在厂区内堆存</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废布袋由厂家定期更换回收，不在厂区堆存。</w:t>
            </w:r>
          </w:p>
        </w:tc>
      </w:tr>
      <w:tr w14:paraId="78CB9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3" w:type="pct"/>
            <w:vMerge w:val="continue"/>
            <w:tcBorders>
              <w:tl2br w:val="nil"/>
              <w:tr2bl w:val="nil"/>
            </w:tcBorders>
            <w:noWrap w:val="0"/>
            <w:vAlign w:val="center"/>
          </w:tcPr>
          <w:p w14:paraId="79C872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482" w:type="pct"/>
            <w:vMerge w:val="continue"/>
            <w:tcBorders>
              <w:tl2br w:val="nil"/>
              <w:tr2bl w:val="nil"/>
            </w:tcBorders>
            <w:noWrap w:val="0"/>
            <w:vAlign w:val="center"/>
          </w:tcPr>
          <w:p w14:paraId="52EAA6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rPr>
            </w:pPr>
          </w:p>
        </w:tc>
        <w:tc>
          <w:tcPr>
            <w:tcW w:w="686" w:type="pct"/>
            <w:tcBorders>
              <w:tl2br w:val="nil"/>
              <w:tr2bl w:val="nil"/>
            </w:tcBorders>
            <w:noWrap w:val="0"/>
            <w:vAlign w:val="center"/>
          </w:tcPr>
          <w:p w14:paraId="31BEC12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sz w:val="21"/>
                <w:szCs w:val="21"/>
                <w:lang w:val="en-US" w:eastAsia="zh-CN"/>
              </w:rPr>
            </w:pPr>
            <w:r>
              <w:rPr>
                <w:rFonts w:hint="eastAsia" w:cs="Times New Roman"/>
                <w:color w:val="auto"/>
                <w:sz w:val="21"/>
                <w:szCs w:val="21"/>
                <w:lang w:val="en-US" w:eastAsia="zh-CN"/>
              </w:rPr>
              <w:t>地下水防渗措施</w:t>
            </w:r>
          </w:p>
        </w:tc>
        <w:tc>
          <w:tcPr>
            <w:tcW w:w="3337" w:type="pct"/>
            <w:tcBorders>
              <w:tl2br w:val="nil"/>
              <w:tr2bl w:val="nil"/>
            </w:tcBorders>
            <w:noWrap w:val="0"/>
            <w:vAlign w:val="center"/>
          </w:tcPr>
          <w:p w14:paraId="65757C0D">
            <w:pPr>
              <w:keepNext w:val="0"/>
              <w:keepLines w:val="0"/>
              <w:pageBreakBefore w:val="0"/>
              <w:widowControl w:val="0"/>
              <w:kinsoku/>
              <w:wordWrap/>
              <w:overflowPunct/>
              <w:topLinePunct w:val="0"/>
              <w:autoSpaceDE w:val="0"/>
              <w:autoSpaceDN w:val="0"/>
              <w:bidi w:val="0"/>
              <w:adjustRightInd/>
              <w:snapToGrid w:val="0"/>
              <w:spacing w:line="320" w:lineRule="exact"/>
              <w:ind w:firstLine="0" w:firstLineChars="0"/>
              <w:textAlignment w:val="center"/>
              <w:outlineLvl w:val="9"/>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储煤场及其他生产区地面进行固化及防渗处理，符合《一般工业固体废物贮存、处置场污染控制标准》（GB18599－2001）。同时校核符合《一般工业固体废物贮存和填埋污染控制标准》（GB18599-2020）</w:t>
            </w:r>
            <w:r>
              <w:rPr>
                <w:rFonts w:hint="eastAsia" w:ascii="Times New Roman" w:hAnsi="Times New Roman" w:cs="Times New Roman"/>
                <w:color w:val="auto"/>
                <w:sz w:val="21"/>
                <w:szCs w:val="21"/>
                <w:lang w:val="en-US" w:eastAsia="zh-CN"/>
              </w:rPr>
              <w:t>。</w:t>
            </w:r>
          </w:p>
          <w:p w14:paraId="4F136F86">
            <w:pPr>
              <w:keepNext w:val="0"/>
              <w:keepLines w:val="0"/>
              <w:pageBreakBefore w:val="0"/>
              <w:widowControl w:val="0"/>
              <w:kinsoku/>
              <w:wordWrap/>
              <w:overflowPunct/>
              <w:topLinePunct w:val="0"/>
              <w:autoSpaceDE w:val="0"/>
              <w:autoSpaceDN w:val="0"/>
              <w:bidi w:val="0"/>
              <w:adjustRightInd/>
              <w:snapToGrid w:val="0"/>
              <w:spacing w:line="320" w:lineRule="exact"/>
              <w:ind w:firstLine="0" w:firstLineChars="0"/>
              <w:textAlignment w:val="center"/>
              <w:outlineLvl w:val="9"/>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危险废物贮存点符合《危险废物贮存污染控制标准》（GB18597-2023）</w:t>
            </w:r>
          </w:p>
        </w:tc>
      </w:tr>
    </w:tbl>
    <w:p w14:paraId="1BA32BA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现有工程锅炉房已运行多年，现有煤库、锅炉房、碎煤机室（上煤间）、输煤栈桥、灰渣仓、危废贮存点等设施均已建设。且现有工程已完成验收工作，本次改造基本建构筑物均可利旧。项目烟气治理措施完善，厂内除室外地面外，建构筑物完成防渗措施，具体详见厂区现有工程污染防治措施照片所示。</w:t>
      </w:r>
    </w:p>
    <w:p w14:paraId="6725BA5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3.1.2.2 机组选型</w:t>
      </w:r>
    </w:p>
    <w:p w14:paraId="28483CC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现有</w:t>
      </w:r>
      <w:r>
        <w:rPr>
          <w:rFonts w:hint="default" w:ascii="Times New Roman" w:hAnsi="Times New Roman" w:eastAsia="宋体" w:cs="Times New Roman"/>
          <w:color w:val="auto"/>
          <w:sz w:val="24"/>
          <w:szCs w:val="24"/>
          <w:highlight w:val="none"/>
          <w:lang w:val="en-US" w:eastAsia="zh-CN"/>
        </w:rPr>
        <w:t>2×46MW燃煤热水锅炉主机设备的工艺参数见表3</w:t>
      </w:r>
      <w:r>
        <w:rPr>
          <w:rFonts w:hint="eastAsia" w:ascii="Times New Roman" w:hAnsi="Times New Roman" w:eastAsia="宋体" w:cs="Times New Roman"/>
          <w:color w:val="auto"/>
          <w:sz w:val="24"/>
          <w:szCs w:val="24"/>
          <w:highlight w:val="none"/>
          <w:lang w:val="en-US" w:eastAsia="zh-CN"/>
        </w:rPr>
        <w:t>.1-3</w:t>
      </w:r>
      <w:r>
        <w:rPr>
          <w:rFonts w:hint="default" w:ascii="Times New Roman" w:hAnsi="Times New Roman" w:eastAsia="宋体" w:cs="Times New Roman"/>
          <w:color w:val="auto"/>
          <w:sz w:val="24"/>
          <w:szCs w:val="24"/>
          <w:highlight w:val="none"/>
          <w:lang w:val="en-US" w:eastAsia="zh-CN"/>
        </w:rPr>
        <w:t>。</w:t>
      </w:r>
    </w:p>
    <w:p w14:paraId="1122AEAC">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w:t>
      </w:r>
      <w:r>
        <w:rPr>
          <w:rFonts w:hint="default" w:ascii="Times New Roman" w:hAnsi="Times New Roman" w:eastAsia="宋体" w:cs="Times New Roman"/>
          <w:b/>
          <w:bCs/>
          <w:color w:val="auto"/>
          <w:sz w:val="24"/>
          <w:szCs w:val="24"/>
          <w:lang w:val="en-US" w:eastAsia="zh-CN"/>
        </w:rPr>
        <w:t>3</w:t>
      </w:r>
      <w:r>
        <w:rPr>
          <w:rFonts w:hint="eastAsia" w:ascii="Times New Roman" w:hAnsi="Times New Roman" w:eastAsia="宋体" w:cs="Times New Roman"/>
          <w:b/>
          <w:bCs/>
          <w:color w:val="auto"/>
          <w:sz w:val="24"/>
          <w:szCs w:val="24"/>
          <w:lang w:val="en-US" w:eastAsia="zh-CN"/>
        </w:rPr>
        <w:t>.1-</w:t>
      </w:r>
      <w:r>
        <w:rPr>
          <w:rFonts w:hint="eastAsia" w:cs="Times New Roman"/>
          <w:b/>
          <w:bCs/>
          <w:color w:val="auto"/>
          <w:sz w:val="24"/>
          <w:szCs w:val="24"/>
          <w:lang w:val="en-US" w:eastAsia="zh-CN"/>
        </w:rPr>
        <w:t>3</w:t>
      </w:r>
      <w:r>
        <w:rPr>
          <w:rFonts w:hint="default" w:ascii="Times New Roman" w:hAnsi="Times New Roman" w:eastAsia="宋体" w:cs="Times New Roman"/>
          <w:b/>
          <w:bCs/>
          <w:color w:val="auto"/>
          <w:sz w:val="24"/>
          <w:szCs w:val="24"/>
          <w:lang w:eastAsia="zh-CN"/>
        </w:rPr>
        <w:t xml:space="preserve">  本项目主机设备工艺参数</w:t>
      </w:r>
    </w:p>
    <w:tbl>
      <w:tblPr>
        <w:tblStyle w:val="41"/>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745"/>
        <w:gridCol w:w="5541"/>
      </w:tblGrid>
      <w:tr w14:paraId="03F61E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top w:val="single" w:color="auto" w:sz="4" w:space="0"/>
              <w:left w:val="single" w:color="auto" w:sz="4" w:space="0"/>
            </w:tcBorders>
            <w:noWrap w:val="0"/>
            <w:vAlign w:val="center"/>
          </w:tcPr>
          <w:p w14:paraId="3B028B2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项目</w:t>
            </w:r>
          </w:p>
        </w:tc>
        <w:tc>
          <w:tcPr>
            <w:tcW w:w="2983" w:type="pct"/>
            <w:tcBorders>
              <w:top w:val="single" w:color="auto" w:sz="4" w:space="0"/>
              <w:right w:val="single" w:color="auto" w:sz="4" w:space="0"/>
            </w:tcBorders>
            <w:noWrap w:val="0"/>
            <w:vAlign w:val="center"/>
          </w:tcPr>
          <w:p w14:paraId="6000361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参数</w:t>
            </w:r>
          </w:p>
        </w:tc>
      </w:tr>
      <w:tr w14:paraId="2FCBD2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left w:val="single" w:color="auto" w:sz="4" w:space="0"/>
            </w:tcBorders>
            <w:noWrap w:val="0"/>
            <w:vAlign w:val="center"/>
          </w:tcPr>
          <w:p w14:paraId="73CD0A4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锅炉型号</w:t>
            </w:r>
          </w:p>
        </w:tc>
        <w:tc>
          <w:tcPr>
            <w:tcW w:w="2983" w:type="pct"/>
            <w:tcBorders>
              <w:right w:val="single" w:color="auto" w:sz="4" w:space="0"/>
            </w:tcBorders>
            <w:noWrap w:val="0"/>
            <w:vAlign w:val="center"/>
          </w:tcPr>
          <w:p w14:paraId="05CC959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DZL46-1.25/130/70-AⅡ</w:t>
            </w:r>
          </w:p>
        </w:tc>
      </w:tr>
      <w:tr w14:paraId="59572F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left w:val="single" w:color="auto" w:sz="4" w:space="0"/>
            </w:tcBorders>
            <w:noWrap w:val="0"/>
            <w:vAlign w:val="center"/>
          </w:tcPr>
          <w:p w14:paraId="1DA659A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单台锅炉额定热功率</w:t>
            </w:r>
          </w:p>
        </w:tc>
        <w:tc>
          <w:tcPr>
            <w:tcW w:w="2983" w:type="pct"/>
            <w:tcBorders>
              <w:right w:val="single" w:color="auto" w:sz="4" w:space="0"/>
            </w:tcBorders>
            <w:noWrap w:val="0"/>
            <w:vAlign w:val="center"/>
          </w:tcPr>
          <w:p w14:paraId="4245F8A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46MW</w:t>
            </w:r>
          </w:p>
        </w:tc>
      </w:tr>
      <w:tr w14:paraId="4F1AC6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left w:val="single" w:color="auto" w:sz="4" w:space="0"/>
            </w:tcBorders>
            <w:noWrap w:val="0"/>
            <w:vAlign w:val="center"/>
          </w:tcPr>
          <w:p w14:paraId="2589571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额定工作压力</w:t>
            </w:r>
          </w:p>
        </w:tc>
        <w:tc>
          <w:tcPr>
            <w:tcW w:w="2983" w:type="pct"/>
            <w:tcBorders>
              <w:right w:val="single" w:color="auto" w:sz="4" w:space="0"/>
            </w:tcBorders>
            <w:noWrap w:val="0"/>
            <w:vAlign w:val="center"/>
          </w:tcPr>
          <w:p w14:paraId="0C34AEB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1.25MPa</w:t>
            </w:r>
          </w:p>
        </w:tc>
      </w:tr>
      <w:tr w14:paraId="145078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left w:val="single" w:color="auto" w:sz="4" w:space="0"/>
            </w:tcBorders>
            <w:noWrap w:val="0"/>
            <w:vAlign w:val="center"/>
          </w:tcPr>
          <w:p w14:paraId="261172A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额定进水温度</w:t>
            </w:r>
          </w:p>
        </w:tc>
        <w:tc>
          <w:tcPr>
            <w:tcW w:w="2983" w:type="pct"/>
            <w:tcBorders>
              <w:right w:val="single" w:color="auto" w:sz="4" w:space="0"/>
            </w:tcBorders>
            <w:noWrap w:val="0"/>
            <w:vAlign w:val="center"/>
          </w:tcPr>
          <w:p w14:paraId="7F146F4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130℃</w:t>
            </w:r>
          </w:p>
        </w:tc>
      </w:tr>
      <w:tr w14:paraId="091BF1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left w:val="single" w:color="auto" w:sz="4" w:space="0"/>
            </w:tcBorders>
            <w:noWrap w:val="0"/>
            <w:vAlign w:val="center"/>
          </w:tcPr>
          <w:p w14:paraId="20403E4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锅炉出水温度</w:t>
            </w:r>
          </w:p>
        </w:tc>
        <w:tc>
          <w:tcPr>
            <w:tcW w:w="2983" w:type="pct"/>
            <w:tcBorders>
              <w:right w:val="single" w:color="auto" w:sz="4" w:space="0"/>
            </w:tcBorders>
            <w:noWrap w:val="0"/>
            <w:vAlign w:val="center"/>
          </w:tcPr>
          <w:p w14:paraId="709D832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70℃</w:t>
            </w:r>
          </w:p>
        </w:tc>
      </w:tr>
      <w:tr w14:paraId="5FDDAF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left w:val="single" w:color="auto" w:sz="4" w:space="0"/>
            </w:tcBorders>
            <w:noWrap w:val="0"/>
            <w:vAlign w:val="center"/>
          </w:tcPr>
          <w:p w14:paraId="1D965BB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锅炉排烟温度</w:t>
            </w:r>
          </w:p>
        </w:tc>
        <w:tc>
          <w:tcPr>
            <w:tcW w:w="2983" w:type="pct"/>
            <w:tcBorders>
              <w:right w:val="single" w:color="auto" w:sz="4" w:space="0"/>
            </w:tcBorders>
            <w:noWrap w:val="0"/>
            <w:vAlign w:val="center"/>
          </w:tcPr>
          <w:p w14:paraId="6E07903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50℃</w:t>
            </w:r>
          </w:p>
        </w:tc>
      </w:tr>
      <w:tr w14:paraId="4F7947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6" w:type="pct"/>
            <w:tcBorders>
              <w:left w:val="single" w:color="auto" w:sz="4" w:space="0"/>
              <w:bottom w:val="single" w:color="auto" w:sz="4" w:space="0"/>
            </w:tcBorders>
            <w:noWrap w:val="0"/>
            <w:vAlign w:val="center"/>
          </w:tcPr>
          <w:p w14:paraId="6DD8E8C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台数</w:t>
            </w:r>
          </w:p>
        </w:tc>
        <w:tc>
          <w:tcPr>
            <w:tcW w:w="2983" w:type="pct"/>
            <w:tcBorders>
              <w:bottom w:val="single" w:color="auto" w:sz="4" w:space="0"/>
              <w:right w:val="single" w:color="auto" w:sz="4" w:space="0"/>
            </w:tcBorders>
            <w:noWrap w:val="0"/>
            <w:vAlign w:val="center"/>
          </w:tcPr>
          <w:p w14:paraId="419E738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2台</w:t>
            </w:r>
          </w:p>
        </w:tc>
      </w:tr>
    </w:tbl>
    <w:p w14:paraId="680C2D3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3.1.2.3 燃料消耗情况</w:t>
      </w:r>
    </w:p>
    <w:p w14:paraId="252D644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厂区现有2×46MW燃煤热水锅炉年运行时间为4320小时，锅炉满负荷年利用小时数2880小时，日利用小时数16小时，供暖期为每年10月15日—4月15日。锅炉燃料消耗情况见表3</w:t>
      </w:r>
      <w:r>
        <w:rPr>
          <w:rFonts w:hint="eastAsia" w:ascii="Times New Roman" w:hAnsi="Times New Roman" w:eastAsia="宋体" w:cs="Times New Roman"/>
          <w:color w:val="auto"/>
          <w:sz w:val="24"/>
          <w:szCs w:val="24"/>
          <w:highlight w:val="none"/>
          <w:lang w:val="en-US" w:eastAsia="zh-CN"/>
        </w:rPr>
        <w:t>.1-4。</w:t>
      </w:r>
    </w:p>
    <w:p w14:paraId="54E54DA4">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FF0000"/>
          <w:sz w:val="24"/>
          <w:szCs w:val="24"/>
          <w:lang w:val="en-US" w:eastAsia="zh-CN"/>
        </w:rPr>
      </w:pPr>
      <w:r>
        <w:rPr>
          <w:rFonts w:hint="default" w:ascii="Times New Roman" w:hAnsi="Times New Roman" w:eastAsia="宋体" w:cs="Times New Roman"/>
          <w:b/>
          <w:bCs/>
          <w:color w:val="FF0000"/>
          <w:sz w:val="24"/>
          <w:szCs w:val="24"/>
          <w:lang w:eastAsia="zh-CN"/>
        </w:rPr>
        <w:t>表</w:t>
      </w:r>
      <w:r>
        <w:rPr>
          <w:rFonts w:hint="default" w:ascii="Times New Roman" w:hAnsi="Times New Roman" w:eastAsia="宋体" w:cs="Times New Roman"/>
          <w:b/>
          <w:bCs/>
          <w:color w:val="FF0000"/>
          <w:sz w:val="24"/>
          <w:szCs w:val="24"/>
          <w:lang w:val="en-US" w:eastAsia="zh-CN"/>
        </w:rPr>
        <w:t>3</w:t>
      </w:r>
      <w:r>
        <w:rPr>
          <w:rFonts w:hint="eastAsia" w:ascii="Times New Roman" w:hAnsi="Times New Roman" w:eastAsia="宋体" w:cs="Times New Roman"/>
          <w:b/>
          <w:bCs/>
          <w:color w:val="FF0000"/>
          <w:sz w:val="24"/>
          <w:szCs w:val="24"/>
          <w:lang w:val="en-US" w:eastAsia="zh-CN"/>
        </w:rPr>
        <w:t>.1-</w:t>
      </w:r>
      <w:r>
        <w:rPr>
          <w:rFonts w:hint="eastAsia" w:cs="Times New Roman"/>
          <w:b/>
          <w:bCs/>
          <w:color w:val="FF0000"/>
          <w:sz w:val="24"/>
          <w:szCs w:val="24"/>
          <w:lang w:val="en-US" w:eastAsia="zh-CN"/>
        </w:rPr>
        <w:t>4</w:t>
      </w:r>
      <w:r>
        <w:rPr>
          <w:rFonts w:hint="default" w:ascii="Times New Roman" w:hAnsi="Times New Roman" w:eastAsia="宋体" w:cs="Times New Roman"/>
          <w:b/>
          <w:bCs/>
          <w:color w:val="FF0000"/>
          <w:sz w:val="24"/>
          <w:szCs w:val="24"/>
          <w:lang w:val="en-US" w:eastAsia="zh-CN"/>
        </w:rPr>
        <w:t xml:space="preserve">  </w:t>
      </w:r>
      <w:r>
        <w:rPr>
          <w:rFonts w:hint="default" w:ascii="Times New Roman" w:hAnsi="Times New Roman" w:eastAsia="宋体" w:cs="Times New Roman"/>
          <w:b/>
          <w:bCs/>
          <w:color w:val="FF0000"/>
          <w:sz w:val="24"/>
          <w:szCs w:val="24"/>
          <w:lang w:eastAsia="zh-CN"/>
        </w:rPr>
        <w:t>2×46MW</w:t>
      </w:r>
      <w:r>
        <w:rPr>
          <w:rFonts w:hint="default" w:ascii="Times New Roman" w:hAnsi="Times New Roman" w:eastAsia="宋体" w:cs="Times New Roman"/>
          <w:b/>
          <w:bCs/>
          <w:color w:val="FF0000"/>
          <w:sz w:val="24"/>
          <w:szCs w:val="24"/>
          <w:lang w:val="en-US" w:eastAsia="zh-CN"/>
        </w:rPr>
        <w:t>燃煤</w:t>
      </w:r>
      <w:r>
        <w:rPr>
          <w:rFonts w:hint="default" w:ascii="Times New Roman" w:hAnsi="Times New Roman" w:eastAsia="宋体" w:cs="Times New Roman"/>
          <w:b/>
          <w:bCs/>
          <w:color w:val="FF0000"/>
          <w:sz w:val="24"/>
          <w:szCs w:val="24"/>
          <w:lang w:eastAsia="zh-CN"/>
        </w:rPr>
        <w:t>锅炉燃料消耗量表</w:t>
      </w:r>
      <w:r>
        <w:rPr>
          <w:rFonts w:hint="default" w:ascii="Times New Roman" w:hAnsi="Times New Roman" w:eastAsia="宋体" w:cs="Times New Roman"/>
          <w:b/>
          <w:bCs/>
          <w:color w:val="FF0000"/>
          <w:sz w:val="24"/>
          <w:szCs w:val="24"/>
          <w:lang w:val="en-US" w:eastAsia="zh-CN"/>
        </w:rPr>
        <w:t xml:space="preserve">  单位：t/a</w:t>
      </w:r>
    </w:p>
    <w:tbl>
      <w:tblPr>
        <w:tblStyle w:val="4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3"/>
        <w:gridCol w:w="2144"/>
        <w:gridCol w:w="2008"/>
        <w:gridCol w:w="2339"/>
      </w:tblGrid>
      <w:tr w14:paraId="0489A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504" w:type="pct"/>
            <w:tcBorders>
              <w:tl2br w:val="nil"/>
              <w:tr2bl w:val="nil"/>
            </w:tcBorders>
            <w:shd w:val="clear" w:color="auto" w:fill="FFFFFF"/>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14:paraId="6EF24E99">
            <w:pPr>
              <w:pStyle w:val="3"/>
              <w:keepNext w:val="0"/>
              <w:keepLines w:val="0"/>
              <w:pageBreakBefore w:val="0"/>
              <w:widowControl w:val="0"/>
              <w:kinsoku/>
              <w:wordWrap/>
              <w:overflowPunct/>
              <w:topLinePunct w:val="0"/>
              <w:autoSpaceDE/>
              <w:autoSpaceDN/>
              <w:bidi w:val="0"/>
              <w:adjustRightInd/>
              <w:snapToGrid w:val="0"/>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p>
          <w:p w14:paraId="29B5A835">
            <w:pPr>
              <w:pStyle w:val="3"/>
              <w:keepNext w:val="0"/>
              <w:keepLines w:val="0"/>
              <w:pageBreakBefore w:val="0"/>
              <w:widowControl w:val="0"/>
              <w:kinsoku/>
              <w:wordWrap/>
              <w:overflowPunct/>
              <w:topLinePunct w:val="0"/>
              <w:autoSpaceDE/>
              <w:autoSpaceDN/>
              <w:bidi w:val="0"/>
              <w:adjustRightInd/>
              <w:snapToGrid w:val="0"/>
              <w:spacing w:after="0" w:line="320" w:lineRule="exact"/>
              <w:ind w:left="0" w:leftChars="0" w:firstLine="0" w:firstLineChars="0"/>
              <w:jc w:val="center"/>
              <w:textAlignment w:val="auto"/>
              <mc:AlternateContent>
                <mc:Choice Requires="wpsCustomData">
                  <wpsCustomData:diagonalParaType/>
                </mc:Choice>
              </mc:AlternateContent>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锅炉台数</w:t>
            </w:r>
          </w:p>
          <w:p w14:paraId="7DFFD6E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燃煤量</w:t>
            </w:r>
          </w:p>
        </w:tc>
        <w:tc>
          <w:tcPr>
            <w:tcW w:w="1154" w:type="pct"/>
            <w:tcBorders>
              <w:tl2br w:val="nil"/>
              <w:tr2bl w:val="nil"/>
            </w:tcBorders>
            <w:shd w:val="clear" w:color="auto" w:fill="FFFFFF"/>
            <w:noWrap w:val="0"/>
            <w:vAlign w:val="center"/>
          </w:tcPr>
          <w:p w14:paraId="2B9BE72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小时燃煤量</w:t>
            </w:r>
          </w:p>
          <w:p w14:paraId="5482F25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（吨）</w:t>
            </w:r>
          </w:p>
        </w:tc>
        <w:tc>
          <w:tcPr>
            <w:tcW w:w="1081" w:type="pct"/>
            <w:tcBorders>
              <w:tl2br w:val="nil"/>
              <w:tr2bl w:val="nil"/>
            </w:tcBorders>
            <w:shd w:val="clear" w:color="auto" w:fill="FFFFFF"/>
            <w:noWrap w:val="0"/>
            <w:vAlign w:val="center"/>
          </w:tcPr>
          <w:p w14:paraId="3A1BF09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日最大燃煤量</w:t>
            </w:r>
          </w:p>
          <w:p w14:paraId="616A61C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（吨）</w:t>
            </w:r>
          </w:p>
        </w:tc>
        <w:tc>
          <w:tcPr>
            <w:tcW w:w="1259" w:type="pct"/>
            <w:tcBorders>
              <w:tl2br w:val="nil"/>
              <w:tr2bl w:val="nil"/>
            </w:tcBorders>
            <w:shd w:val="clear" w:color="auto" w:fill="FFFFFF"/>
            <w:noWrap w:val="0"/>
            <w:vAlign w:val="center"/>
          </w:tcPr>
          <w:p w14:paraId="40AF18A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年最大燃煤量</w:t>
            </w:r>
          </w:p>
          <w:p w14:paraId="7094B1E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（吨）</w:t>
            </w:r>
          </w:p>
        </w:tc>
      </w:tr>
      <w:tr w14:paraId="6D8AC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04" w:type="pct"/>
            <w:tcBorders>
              <w:tl2br w:val="nil"/>
              <w:tr2bl w:val="nil"/>
            </w:tcBorders>
            <w:shd w:val="clear" w:color="auto" w:fill="FFFFFF"/>
            <w:noWrap w:val="0"/>
            <w:vAlign w:val="center"/>
          </w:tcPr>
          <w:p w14:paraId="109738D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default" w:ascii="Times New Roman" w:hAnsi="Times New Roman" w:cs="Times New Roman"/>
                <w:color w:val="FF0000"/>
                <w:sz w:val="21"/>
                <w:szCs w:val="21"/>
                <w:lang w:val="en-US" w:eastAsia="zh-CN"/>
              </w:rPr>
              <w:t>2×46MW燃煤热水锅炉</w:t>
            </w:r>
          </w:p>
        </w:tc>
        <w:tc>
          <w:tcPr>
            <w:tcW w:w="1154" w:type="pct"/>
            <w:tcBorders>
              <w:tl2br w:val="nil"/>
              <w:tr2bl w:val="nil"/>
            </w:tcBorders>
            <w:shd w:val="clear" w:color="auto" w:fill="FFFFFF"/>
            <w:noWrap w:val="0"/>
            <w:vAlign w:val="center"/>
          </w:tcPr>
          <w:p w14:paraId="1FD12BF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eastAsia" w:cs="Times New Roman"/>
                <w:color w:val="FF0000"/>
                <w:sz w:val="21"/>
                <w:szCs w:val="21"/>
                <w:lang w:val="en-US" w:eastAsia="zh-CN"/>
              </w:rPr>
              <w:t>19.17</w:t>
            </w:r>
          </w:p>
        </w:tc>
        <w:tc>
          <w:tcPr>
            <w:tcW w:w="1081" w:type="pct"/>
            <w:tcBorders>
              <w:tl2br w:val="nil"/>
              <w:tr2bl w:val="nil"/>
            </w:tcBorders>
            <w:shd w:val="clear" w:color="auto" w:fill="FFFFFF"/>
            <w:noWrap w:val="0"/>
            <w:vAlign w:val="center"/>
          </w:tcPr>
          <w:p w14:paraId="7AB8C5C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eastAsia" w:cs="Times New Roman"/>
                <w:color w:val="FF0000"/>
                <w:sz w:val="21"/>
                <w:szCs w:val="21"/>
                <w:lang w:val="en-US" w:eastAsia="zh-CN"/>
              </w:rPr>
              <w:t>306.72</w:t>
            </w:r>
          </w:p>
        </w:tc>
        <w:tc>
          <w:tcPr>
            <w:tcW w:w="1259" w:type="pct"/>
            <w:tcBorders>
              <w:tl2br w:val="nil"/>
              <w:tr2bl w:val="nil"/>
            </w:tcBorders>
            <w:shd w:val="clear" w:color="auto" w:fill="FFFFFF"/>
            <w:noWrap w:val="0"/>
            <w:vAlign w:val="center"/>
          </w:tcPr>
          <w:p w14:paraId="624DBC7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lang w:val="en-US" w:eastAsia="zh-CN"/>
              </w:rPr>
            </w:pPr>
            <w:r>
              <w:rPr>
                <w:rFonts w:hint="eastAsia" w:cs="Times New Roman"/>
                <w:color w:val="FF0000"/>
                <w:sz w:val="21"/>
                <w:szCs w:val="21"/>
                <w:lang w:val="en-US" w:eastAsia="zh-CN"/>
              </w:rPr>
              <w:t>55209.6</w:t>
            </w:r>
          </w:p>
        </w:tc>
      </w:tr>
    </w:tbl>
    <w:p w14:paraId="2C14CAB1">
      <w:pPr>
        <w:pStyle w:val="165"/>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FF0000"/>
          <w:sz w:val="21"/>
          <w:szCs w:val="21"/>
          <w:lang w:val="en-US" w:eastAsia="zh-CN"/>
        </w:rPr>
      </w:pPr>
      <w:r>
        <w:rPr>
          <w:rFonts w:hint="eastAsia" w:ascii="Times New Roman" w:hAnsi="Times New Roman" w:eastAsia="宋体" w:cs="Times New Roman"/>
          <w:b/>
          <w:bCs/>
          <w:color w:val="FF0000"/>
          <w:sz w:val="21"/>
          <w:szCs w:val="21"/>
          <w:lang w:val="en-US" w:eastAsia="zh-CN"/>
        </w:rPr>
        <w:t>注：以每小时消耗量=60万大卡*锅炉吨位/燃料热值/锅炉燃烧效率。现有锅炉46MW（以65t计），燃料热值根据燃料分析报告为4904kcal/kg，现有锅炉效率为82.95%。</w:t>
      </w:r>
    </w:p>
    <w:p w14:paraId="76CA693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3.1.3 现有工程环保审批情况</w:t>
      </w:r>
      <w:bookmarkEnd w:id="185"/>
      <w:bookmarkEnd w:id="186"/>
      <w:bookmarkEnd w:id="187"/>
    </w:p>
    <w:p w14:paraId="1C465F4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sectPr>
          <w:pgSz w:w="11906" w:h="16838"/>
          <w:pgMar w:top="1417" w:right="1417" w:bottom="1417" w:left="1417" w:header="1134" w:footer="1191" w:gutter="0"/>
          <w:pgBorders>
            <w:top w:val="none" w:sz="0" w:space="0"/>
            <w:left w:val="none" w:sz="0" w:space="0"/>
            <w:bottom w:val="none" w:sz="0" w:space="0"/>
            <w:right w:val="none" w:sz="0" w:space="0"/>
          </w:pgBorders>
          <w:cols w:space="720" w:num="1"/>
          <w:docGrid w:linePitch="312" w:charSpace="0"/>
        </w:sectPr>
      </w:pPr>
      <w:r>
        <w:rPr>
          <w:rFonts w:hint="eastAsia" w:ascii="Times New Roman" w:hAnsi="Times New Roman" w:eastAsia="宋体" w:cs="Times New Roman"/>
          <w:color w:val="auto"/>
          <w:sz w:val="24"/>
          <w:szCs w:val="24"/>
          <w:highlight w:val="none"/>
          <w:lang w:val="en-US" w:eastAsia="zh-CN"/>
        </w:rPr>
        <w:t>企业现有环保手续已齐全，详见前文3.1.1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项目运营单位为黑龙江省八五二农场横林供热供水管理站，已</w:t>
      </w:r>
      <w:r>
        <w:rPr>
          <w:rFonts w:hint="default" w:ascii="Times New Roman" w:hAnsi="Times New Roman" w:eastAsia="宋体" w:cs="Times New Roman"/>
          <w:color w:val="auto"/>
          <w:sz w:val="24"/>
          <w:szCs w:val="24"/>
          <w:highlight w:val="none"/>
          <w:lang w:val="en-US" w:eastAsia="zh-CN"/>
        </w:rPr>
        <w:t>按照《排污许可证申请与核发技术规范 锅炉》（HJ953-2018）要求填报了排污许可证执行报告，执行报告截图见图3.1-1</w:t>
      </w:r>
    </w:p>
    <w:p w14:paraId="3EDABC95">
      <w:pPr>
        <w:pStyle w:val="16"/>
        <w:ind w:left="0" w:leftChars="0" w:firstLine="0" w:firstLineChars="0"/>
        <w:rPr>
          <w:color w:val="auto"/>
        </w:rPr>
      </w:pPr>
    </w:p>
    <w:p w14:paraId="17BBFF10">
      <w:pPr>
        <w:ind w:firstLine="0" w:firstLineChars="0"/>
        <w:jc w:val="center"/>
        <w:rPr>
          <w:color w:val="auto"/>
        </w:rPr>
      </w:pPr>
      <w:r>
        <w:rPr>
          <w:color w:val="auto"/>
        </w:rPr>
        <w:drawing>
          <wp:inline distT="0" distB="0" distL="114300" distR="114300">
            <wp:extent cx="7200265" cy="3570605"/>
            <wp:effectExtent l="0" t="0" r="635" b="10795"/>
            <wp:docPr id="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8"/>
                    <pic:cNvPicPr>
                      <a:picLocks noChangeAspect="1"/>
                    </pic:cNvPicPr>
                  </pic:nvPicPr>
                  <pic:blipFill>
                    <a:blip r:embed="rId36"/>
                    <a:stretch>
                      <a:fillRect/>
                    </a:stretch>
                  </pic:blipFill>
                  <pic:spPr>
                    <a:xfrm>
                      <a:off x="0" y="0"/>
                      <a:ext cx="7200265" cy="3570605"/>
                    </a:xfrm>
                    <a:prstGeom prst="rect">
                      <a:avLst/>
                    </a:prstGeom>
                    <a:noFill/>
                    <a:ln>
                      <a:noFill/>
                    </a:ln>
                  </pic:spPr>
                </pic:pic>
              </a:graphicData>
            </a:graphic>
          </wp:inline>
        </w:drawing>
      </w:r>
    </w:p>
    <w:p w14:paraId="7BEF7D1A">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 xml:space="preserve">图3.1-1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执行报告截图</w:t>
      </w:r>
    </w:p>
    <w:p w14:paraId="7B89E711">
      <w:pPr>
        <w:pStyle w:val="34"/>
        <w:ind w:left="0" w:leftChars="0" w:firstLine="0" w:firstLineChars="0"/>
        <w:jc w:val="both"/>
        <w:rPr>
          <w:color w:val="auto"/>
        </w:rPr>
      </w:pPr>
      <w:r>
        <w:rPr>
          <w:color w:val="auto"/>
        </w:rPr>
        <w:drawing>
          <wp:inline distT="0" distB="0" distL="114300" distR="114300">
            <wp:extent cx="8882380" cy="3108960"/>
            <wp:effectExtent l="0" t="0" r="7620" b="2540"/>
            <wp:docPr id="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9"/>
                    <pic:cNvPicPr>
                      <a:picLocks noChangeAspect="1"/>
                    </pic:cNvPicPr>
                  </pic:nvPicPr>
                  <pic:blipFill>
                    <a:blip r:embed="rId37"/>
                    <a:stretch>
                      <a:fillRect/>
                    </a:stretch>
                  </pic:blipFill>
                  <pic:spPr>
                    <a:xfrm>
                      <a:off x="0" y="0"/>
                      <a:ext cx="8882380" cy="3108960"/>
                    </a:xfrm>
                    <a:prstGeom prst="rect">
                      <a:avLst/>
                    </a:prstGeom>
                    <a:noFill/>
                    <a:ln>
                      <a:noFill/>
                    </a:ln>
                  </pic:spPr>
                </pic:pic>
              </a:graphicData>
            </a:graphic>
          </wp:inline>
        </w:drawing>
      </w:r>
    </w:p>
    <w:p w14:paraId="28D7C192">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图3.1-</w:t>
      </w:r>
      <w:r>
        <w:rPr>
          <w:rFonts w:hint="eastAsia" w:ascii="Times New Roman" w:hAnsi="Times New Roman" w:eastAsia="宋体" w:cs="Times New Roman"/>
          <w:b/>
          <w:bCs/>
          <w:color w:val="auto"/>
          <w:sz w:val="24"/>
          <w:szCs w:val="24"/>
          <w:lang w:val="en-US" w:eastAsia="zh-CN"/>
        </w:rPr>
        <w:t>2</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 xml:space="preserve"> 排污许可自行监测开展情况</w:t>
      </w:r>
      <w:r>
        <w:rPr>
          <w:rFonts w:hint="default" w:ascii="Times New Roman" w:hAnsi="Times New Roman" w:eastAsia="宋体" w:cs="Times New Roman"/>
          <w:b/>
          <w:bCs/>
          <w:color w:val="auto"/>
          <w:sz w:val="24"/>
          <w:szCs w:val="24"/>
          <w:lang w:val="en-US" w:eastAsia="zh-CN"/>
        </w:rPr>
        <w:t>截图</w:t>
      </w:r>
    </w:p>
    <w:p w14:paraId="22D594CA">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sectPr>
          <w:pgSz w:w="16838" w:h="11906" w:orient="landscape"/>
          <w:pgMar w:top="1417" w:right="1417" w:bottom="1417" w:left="1417" w:header="1134" w:footer="1191" w:gutter="0"/>
          <w:pgBorders>
            <w:top w:val="none" w:sz="0" w:space="0"/>
            <w:left w:val="none" w:sz="0" w:space="0"/>
            <w:bottom w:val="none" w:sz="0" w:space="0"/>
            <w:right w:val="none" w:sz="0" w:space="0"/>
          </w:pgBorders>
          <w:cols w:space="720" w:num="1"/>
          <w:docGrid w:linePitch="312" w:charSpace="0"/>
        </w:sectPr>
      </w:pPr>
    </w:p>
    <w:p w14:paraId="4DAF09F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FF0000"/>
          <w:sz w:val="28"/>
          <w:szCs w:val="28"/>
          <w:lang w:val="en-US" w:eastAsia="zh-CN"/>
        </w:rPr>
      </w:pPr>
      <w:bookmarkStart w:id="188" w:name="_Toc18609"/>
      <w:bookmarkStart w:id="189" w:name="_Toc920"/>
      <w:bookmarkStart w:id="190" w:name="_Toc9732"/>
      <w:r>
        <w:rPr>
          <w:rFonts w:hint="eastAsia" w:ascii="Times New Roman" w:hAnsi="Times New Roman" w:eastAsia="宋体" w:cs="Times New Roman"/>
          <w:b/>
          <w:bCs/>
          <w:color w:val="FF0000"/>
          <w:sz w:val="28"/>
          <w:szCs w:val="28"/>
          <w:lang w:val="en-US" w:eastAsia="zh-CN"/>
        </w:rPr>
        <w:t>3.1.4 现有工程总平面布置</w:t>
      </w:r>
    </w:p>
    <w:p w14:paraId="2A89D0F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color w:val="FF0000"/>
          <w:lang w:val="en-US" w:eastAsia="zh-CN"/>
        </w:rPr>
      </w:pPr>
      <w:r>
        <w:rPr>
          <w:rFonts w:hint="eastAsia"/>
          <w:color w:val="FF0000"/>
          <w:lang w:val="en-US" w:eastAsia="zh-CN"/>
        </w:rPr>
        <w:t>项目平面布置比较简单，整体以工序顺序各功能车间自东向西分布，具体分布图如下。</w:t>
      </w:r>
    </w:p>
    <w:p w14:paraId="2FB476A7">
      <w:pPr>
        <w:pStyle w:val="34"/>
        <w:ind w:left="0" w:leftChars="0" w:firstLine="0" w:firstLineChars="0"/>
        <w:jc w:val="center"/>
        <w:rPr>
          <w:color w:val="auto"/>
          <w:lang w:bidi="zh-CN"/>
        </w:rPr>
      </w:pPr>
      <w:r>
        <w:rPr>
          <w:color w:val="auto"/>
          <w:lang w:bidi="zh-CN"/>
        </w:rPr>
        <w:drawing>
          <wp:inline distT="0" distB="0" distL="114300" distR="114300">
            <wp:extent cx="5219700" cy="3352800"/>
            <wp:effectExtent l="9525" t="9525" r="15875" b="15875"/>
            <wp:docPr id="63" name="图片 6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9"/>
                    <pic:cNvPicPr>
                      <a:picLocks noChangeAspect="1"/>
                    </pic:cNvPicPr>
                  </pic:nvPicPr>
                  <pic:blipFill>
                    <a:blip r:embed="rId38"/>
                    <a:stretch>
                      <a:fillRect/>
                    </a:stretch>
                  </pic:blipFill>
                  <pic:spPr>
                    <a:xfrm>
                      <a:off x="0" y="0"/>
                      <a:ext cx="5219700" cy="3352800"/>
                    </a:xfrm>
                    <a:prstGeom prst="rect">
                      <a:avLst/>
                    </a:prstGeom>
                    <a:ln>
                      <a:solidFill>
                        <a:schemeClr val="tx1"/>
                      </a:solidFill>
                    </a:ln>
                  </pic:spPr>
                </pic:pic>
              </a:graphicData>
            </a:graphic>
          </wp:inline>
        </w:drawing>
      </w:r>
    </w:p>
    <w:p w14:paraId="6425C001">
      <w:pPr>
        <w:pStyle w:val="34"/>
        <w:ind w:left="0" w:leftChars="0" w:firstLine="0" w:firstLineChars="0"/>
        <w:jc w:val="center"/>
        <w:rPr>
          <w:rFonts w:hint="default"/>
          <w:color w:val="FF0000"/>
          <w:lang w:val="en-US" w:eastAsia="zh-CN"/>
        </w:rPr>
      </w:pPr>
      <w:r>
        <w:rPr>
          <w:rFonts w:hint="default" w:ascii="Times New Roman" w:hAnsi="Times New Roman" w:eastAsia="黑体" w:cs="Times New Roman"/>
          <w:color w:val="FF0000"/>
          <w:kern w:val="2"/>
          <w:sz w:val="24"/>
          <w:szCs w:val="24"/>
          <w:lang w:val="en-US" w:eastAsia="zh-CN" w:bidi="ar-SA"/>
        </w:rPr>
        <w:t>图</w:t>
      </w:r>
      <w:r>
        <w:rPr>
          <w:rFonts w:hint="eastAsia" w:ascii="Times New Roman" w:hAnsi="Times New Roman" w:eastAsia="黑体" w:cs="Times New Roman"/>
          <w:color w:val="FF0000"/>
          <w:kern w:val="2"/>
          <w:sz w:val="24"/>
          <w:szCs w:val="24"/>
          <w:lang w:val="en-US" w:eastAsia="zh-CN" w:bidi="ar-SA"/>
        </w:rPr>
        <w:t>3.1</w:t>
      </w:r>
      <w:r>
        <w:rPr>
          <w:rFonts w:hint="default" w:ascii="Times New Roman" w:hAnsi="Times New Roman" w:eastAsia="黑体" w:cs="Times New Roman"/>
          <w:color w:val="FF0000"/>
          <w:kern w:val="2"/>
          <w:sz w:val="24"/>
          <w:szCs w:val="24"/>
          <w:lang w:val="en-US" w:eastAsia="zh-CN" w:bidi="ar-SA"/>
        </w:rPr>
        <w:t>-</w:t>
      </w:r>
      <w:r>
        <w:rPr>
          <w:rFonts w:hint="eastAsia" w:ascii="Times New Roman" w:hAnsi="Times New Roman" w:eastAsia="黑体" w:cs="Times New Roman"/>
          <w:color w:val="FF0000"/>
          <w:kern w:val="2"/>
          <w:sz w:val="24"/>
          <w:szCs w:val="24"/>
          <w:lang w:val="en-US" w:eastAsia="zh-CN" w:bidi="ar-SA"/>
        </w:rPr>
        <w:t>3</w:t>
      </w:r>
      <w:r>
        <w:rPr>
          <w:rFonts w:hint="default" w:ascii="Times New Roman" w:hAnsi="Times New Roman" w:eastAsia="黑体" w:cs="Times New Roman"/>
          <w:color w:val="FF0000"/>
          <w:kern w:val="2"/>
          <w:sz w:val="24"/>
          <w:szCs w:val="24"/>
          <w:lang w:val="en-US" w:eastAsia="zh-CN" w:bidi="ar-SA"/>
        </w:rPr>
        <w:t xml:space="preserve"> </w:t>
      </w:r>
      <w:r>
        <w:rPr>
          <w:rFonts w:hint="eastAsia" w:ascii="Times New Roman" w:hAnsi="Times New Roman" w:eastAsia="黑体" w:cs="Times New Roman"/>
          <w:color w:val="FF0000"/>
          <w:kern w:val="2"/>
          <w:sz w:val="24"/>
          <w:szCs w:val="24"/>
          <w:lang w:val="en-US" w:eastAsia="zh-CN" w:bidi="ar-SA"/>
        </w:rPr>
        <w:t xml:space="preserve"> 现有厂区平面布置图</w:t>
      </w:r>
    </w:p>
    <w:p w14:paraId="14DDE47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FF0000"/>
          <w:sz w:val="28"/>
          <w:szCs w:val="28"/>
          <w:lang w:val="en-US" w:eastAsia="zh-CN"/>
        </w:rPr>
      </w:pPr>
      <w:r>
        <w:rPr>
          <w:rFonts w:hint="eastAsia" w:ascii="Times New Roman" w:hAnsi="Times New Roman" w:eastAsia="宋体" w:cs="Times New Roman"/>
          <w:b/>
          <w:bCs/>
          <w:color w:val="FF0000"/>
          <w:sz w:val="28"/>
          <w:szCs w:val="28"/>
          <w:lang w:val="en-US" w:eastAsia="zh-CN"/>
        </w:rPr>
        <w:t>3.1.5 现有工程工艺流程</w:t>
      </w:r>
    </w:p>
    <w:p w14:paraId="08BAD54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FF0000"/>
          <w:kern w:val="2"/>
          <w:sz w:val="24"/>
          <w:szCs w:val="24"/>
          <w:highlight w:val="none"/>
          <w:lang w:val="en-US" w:eastAsia="zh-CN" w:bidi="ar-SA"/>
        </w:rPr>
      </w:pPr>
      <w:r>
        <w:rPr>
          <w:rFonts w:hint="eastAsia" w:ascii="Times New Roman" w:hAnsi="Times New Roman" w:eastAsia="宋体" w:cs="Times New Roman"/>
          <w:color w:val="FF0000"/>
          <w:kern w:val="2"/>
          <w:sz w:val="24"/>
          <w:szCs w:val="24"/>
          <w:highlight w:val="none"/>
          <w:lang w:val="en-US" w:eastAsia="zh-CN" w:bidi="ar-SA"/>
        </w:rPr>
        <w:t>锅炉房运行的主要生产工艺流程是燃煤进厂后在厂区的煤库贮存，用碎煤机破碎筛分将煤破碎成一定粒度的小颗粒（粒度≤30mm）后，由输煤栈桥进入炉前煤仓间，经炉排送入炉膛内燃烧。煤炭在锅炉内燃烧放热，转换为热能，把水加热成高温热水直接用于供热。</w:t>
      </w:r>
    </w:p>
    <w:p w14:paraId="0452EC4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kern w:val="2"/>
          <w:sz w:val="24"/>
          <w:szCs w:val="24"/>
          <w:highlight w:val="none"/>
          <w:lang w:val="en-US" w:eastAsia="zh-CN" w:bidi="ar-SA"/>
        </w:rPr>
      </w:pPr>
      <w:r>
        <w:rPr>
          <w:rFonts w:hint="eastAsia" w:ascii="Times New Roman" w:hAnsi="Times New Roman" w:eastAsia="宋体" w:cs="Times New Roman"/>
          <w:color w:val="FF0000"/>
          <w:kern w:val="2"/>
          <w:sz w:val="24"/>
          <w:szCs w:val="24"/>
          <w:highlight w:val="none"/>
          <w:lang w:val="en-US" w:eastAsia="zh-CN" w:bidi="ar-SA"/>
        </w:rPr>
        <w:t>锅炉产生的烟气经“SNCR-SCR脱硝+布袋除尘器除尘+氧化镁法脱硫”处理后，通过1座58m高烟囱排放（烟塔一体）。锅炉排出的灰渣送灰渣仓，</w:t>
      </w:r>
      <w:r>
        <w:rPr>
          <w:rFonts w:hint="default" w:ascii="Times New Roman" w:hAnsi="Times New Roman" w:eastAsia="宋体" w:cs="Times New Roman"/>
          <w:color w:val="FF0000"/>
          <w:kern w:val="2"/>
          <w:sz w:val="24"/>
          <w:szCs w:val="24"/>
          <w:highlight w:val="none"/>
          <w:lang w:val="en-US" w:eastAsia="zh-CN" w:bidi="ar-SA"/>
        </w:rPr>
        <w:t>灰渣随排随运</w:t>
      </w:r>
      <w:r>
        <w:rPr>
          <w:rFonts w:hint="eastAsia" w:ascii="Times New Roman" w:hAnsi="Times New Roman" w:eastAsia="宋体" w:cs="Times New Roman"/>
          <w:color w:val="FF0000"/>
          <w:kern w:val="2"/>
          <w:sz w:val="24"/>
          <w:szCs w:val="24"/>
          <w:highlight w:val="none"/>
          <w:lang w:val="en-US" w:eastAsia="zh-CN" w:bidi="ar-SA"/>
        </w:rPr>
        <w:t>，外售拉运至虎林市源泽永固水泥制品销售有限公司综合利用。</w:t>
      </w:r>
      <w:r>
        <w:rPr>
          <w:rFonts w:hint="eastAsia" w:ascii="Times New Roman" w:hAnsi="Times New Roman" w:eastAsia="宋体" w:cs="Times New Roman"/>
          <w:color w:val="FF0000"/>
          <w:sz w:val="24"/>
          <w:szCs w:val="24"/>
          <w:highlight w:val="none"/>
          <w:lang w:val="en-US" w:eastAsia="zh-CN"/>
        </w:rPr>
        <w:t>同时，建设单位与宝清县焱顺煤炭经销有限公司作签订协议，锅炉灰渣处置行程综合利用双保险。</w:t>
      </w:r>
    </w:p>
    <w:p w14:paraId="0E38D6A1">
      <w:pPr>
        <w:pStyle w:val="34"/>
        <w:ind w:left="0" w:leftChars="0" w:firstLine="0" w:firstLineChars="0"/>
        <w:jc w:val="center"/>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drawing>
          <wp:inline distT="0" distB="0" distL="114300" distR="114300">
            <wp:extent cx="5272405" cy="2937510"/>
            <wp:effectExtent l="0" t="0" r="10795" b="8890"/>
            <wp:docPr id="171" name="图片 171" descr="现有工艺流程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现有工艺流程副本"/>
                    <pic:cNvPicPr>
                      <a:picLocks noChangeAspect="1"/>
                    </pic:cNvPicPr>
                  </pic:nvPicPr>
                  <pic:blipFill>
                    <a:blip r:embed="rId39"/>
                    <a:stretch>
                      <a:fillRect/>
                    </a:stretch>
                  </pic:blipFill>
                  <pic:spPr>
                    <a:xfrm>
                      <a:off x="0" y="0"/>
                      <a:ext cx="5272405" cy="2937510"/>
                    </a:xfrm>
                    <a:prstGeom prst="rect">
                      <a:avLst/>
                    </a:prstGeom>
                  </pic:spPr>
                </pic:pic>
              </a:graphicData>
            </a:graphic>
          </wp:inline>
        </w:drawing>
      </w:r>
    </w:p>
    <w:p w14:paraId="6475C805">
      <w:pPr>
        <w:pStyle w:val="34"/>
        <w:ind w:left="0" w:leftChars="0" w:firstLine="0" w:firstLineChars="0"/>
        <w:jc w:val="center"/>
        <w:rPr>
          <w:rFonts w:hint="default"/>
          <w:color w:val="FF0000"/>
          <w:lang w:val="en-US" w:eastAsia="zh-CN"/>
        </w:rPr>
      </w:pPr>
      <w:r>
        <w:rPr>
          <w:rFonts w:hint="default" w:ascii="Times New Roman" w:hAnsi="Times New Roman" w:eastAsia="黑体" w:cs="Times New Roman"/>
          <w:color w:val="FF0000"/>
          <w:kern w:val="2"/>
          <w:sz w:val="24"/>
          <w:szCs w:val="24"/>
          <w:lang w:val="en-US" w:eastAsia="zh-CN" w:bidi="ar-SA"/>
        </w:rPr>
        <w:t>图</w:t>
      </w:r>
      <w:r>
        <w:rPr>
          <w:rFonts w:hint="eastAsia" w:ascii="Times New Roman" w:hAnsi="Times New Roman" w:eastAsia="黑体" w:cs="Times New Roman"/>
          <w:color w:val="FF0000"/>
          <w:kern w:val="2"/>
          <w:sz w:val="24"/>
          <w:szCs w:val="24"/>
          <w:lang w:val="en-US" w:eastAsia="zh-CN" w:bidi="ar-SA"/>
        </w:rPr>
        <w:t>3.1</w:t>
      </w:r>
      <w:r>
        <w:rPr>
          <w:rFonts w:hint="default" w:ascii="Times New Roman" w:hAnsi="Times New Roman" w:eastAsia="黑体" w:cs="Times New Roman"/>
          <w:color w:val="FF0000"/>
          <w:kern w:val="2"/>
          <w:sz w:val="24"/>
          <w:szCs w:val="24"/>
          <w:lang w:val="en-US" w:eastAsia="zh-CN" w:bidi="ar-SA"/>
        </w:rPr>
        <w:t>-</w:t>
      </w:r>
      <w:r>
        <w:rPr>
          <w:rFonts w:hint="eastAsia" w:ascii="Times New Roman" w:hAnsi="Times New Roman" w:eastAsia="黑体" w:cs="Times New Roman"/>
          <w:color w:val="FF0000"/>
          <w:kern w:val="2"/>
          <w:sz w:val="24"/>
          <w:szCs w:val="24"/>
          <w:lang w:val="en-US" w:eastAsia="zh-CN" w:bidi="ar-SA"/>
        </w:rPr>
        <w:t>4</w:t>
      </w:r>
      <w:r>
        <w:rPr>
          <w:rFonts w:hint="default" w:ascii="Times New Roman" w:hAnsi="Times New Roman" w:eastAsia="黑体" w:cs="Times New Roman"/>
          <w:color w:val="FF0000"/>
          <w:kern w:val="2"/>
          <w:sz w:val="24"/>
          <w:szCs w:val="24"/>
          <w:lang w:val="en-US" w:eastAsia="zh-CN" w:bidi="ar-SA"/>
        </w:rPr>
        <w:t xml:space="preserve"> </w:t>
      </w:r>
      <w:r>
        <w:rPr>
          <w:rFonts w:hint="eastAsia" w:ascii="Times New Roman" w:hAnsi="Times New Roman" w:eastAsia="黑体" w:cs="Times New Roman"/>
          <w:color w:val="FF0000"/>
          <w:kern w:val="2"/>
          <w:sz w:val="24"/>
          <w:szCs w:val="24"/>
          <w:lang w:val="en-US" w:eastAsia="zh-CN" w:bidi="ar-SA"/>
        </w:rPr>
        <w:t xml:space="preserve"> </w:t>
      </w:r>
      <w:r>
        <w:rPr>
          <w:rFonts w:hint="default" w:ascii="Times New Roman" w:hAnsi="Times New Roman" w:eastAsia="黑体" w:cs="Times New Roman"/>
          <w:color w:val="FF0000"/>
          <w:kern w:val="2"/>
          <w:sz w:val="24"/>
          <w:szCs w:val="24"/>
          <w:lang w:val="en-US" w:eastAsia="zh-CN" w:bidi="ar-SA"/>
        </w:rPr>
        <w:t>锅炉生产工艺流程图</w:t>
      </w:r>
    </w:p>
    <w:p w14:paraId="77411D5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3.1.</w:t>
      </w:r>
      <w:r>
        <w:rPr>
          <w:rFonts w:hint="eastAsia" w:ascii="Times New Roman" w:hAnsi="Times New Roman" w:cs="Times New Roman"/>
          <w:b/>
          <w:bCs/>
          <w:color w:val="auto"/>
          <w:sz w:val="28"/>
          <w:szCs w:val="28"/>
          <w:lang w:val="en-US" w:eastAsia="zh-CN"/>
        </w:rPr>
        <w:t>5</w:t>
      </w:r>
      <w:r>
        <w:rPr>
          <w:rFonts w:hint="eastAsia" w:ascii="Times New Roman" w:hAnsi="Times New Roman" w:eastAsia="宋体" w:cs="Times New Roman"/>
          <w:b/>
          <w:bCs/>
          <w:color w:val="auto"/>
          <w:sz w:val="28"/>
          <w:szCs w:val="28"/>
          <w:lang w:val="en-US" w:eastAsia="zh-CN"/>
        </w:rPr>
        <w:t xml:space="preserve"> 现有工程污染防治措施及达标排放情况</w:t>
      </w:r>
      <w:bookmarkEnd w:id="188"/>
      <w:bookmarkEnd w:id="189"/>
      <w:bookmarkEnd w:id="190"/>
    </w:p>
    <w:p w14:paraId="565A366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现有工程于近期进行了验收，本次现有工程污染防治措施及达标排放情况数据引用自竣工环境保护验收监测报告。</w:t>
      </w:r>
    </w:p>
    <w:p w14:paraId="5B37932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3.1.4.1 废气污染防治措施及排放情况</w:t>
      </w:r>
    </w:p>
    <w:p w14:paraId="6570723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（1）有组织废气污染物排放情况</w:t>
      </w:r>
    </w:p>
    <w:p w14:paraId="58D153F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2×46MW横梁式链条燃煤热水锅炉进行超低排放技术改造后，烟气污染物经“SNCR-SCR联合脱硝+布袋除尘器除尘+氧化镁法脱硫”处理后由58m高烟囱排放</w:t>
      </w:r>
      <w:r>
        <w:rPr>
          <w:rFonts w:hint="eastAsia" w:ascii="Times New Roman" w:hAnsi="Times New Roman" w:eastAsia="宋体" w:cs="Times New Roman"/>
          <w:color w:val="auto"/>
          <w:sz w:val="24"/>
          <w:szCs w:val="24"/>
          <w:highlight w:val="none"/>
          <w:lang w:val="en-US" w:eastAsia="zh-CN"/>
        </w:rPr>
        <w:t>。厂区锅炉设有在线监测设备。</w:t>
      </w:r>
    </w:p>
    <w:p w14:paraId="0CE20A2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根据《黑龙江省八五二农场保障性安居工程基础设施配套供热建设项目竣工环境保护验收监测报告》，现有工程锅炉烟气于2026年1月5日和6日进行了监测。锅炉废气污染物排放浓度颗粒物在6.3~8.7mg/m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间、二氧化硫在12~18mg/m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间、氮氧化物在20~29mg/m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间，均符合《关于印发&lt;全面实施燃煤电厂超低排放和节能改造工作方案&gt;的通知》（环发[2015]164号）要求中限值要求；汞及其化合物在0.0041~0.0048mg/m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间、林格曼黑度均小于1级，符合</w:t>
      </w:r>
      <w:r>
        <w:rPr>
          <w:rFonts w:hint="default" w:ascii="Times New Roman" w:hAnsi="Times New Roman" w:eastAsia="宋体" w:cs="Times New Roman"/>
          <w:color w:val="auto"/>
          <w:sz w:val="24"/>
          <w:szCs w:val="24"/>
          <w:highlight w:val="none"/>
          <w:lang w:val="zh-CN" w:eastAsia="zh-CN"/>
        </w:rPr>
        <w:t>《锅炉大气污染物排放标准》（GB13271-2014）表</w:t>
      </w:r>
      <w:r>
        <w:rPr>
          <w:rFonts w:hint="eastAsia" w:ascii="Times New Roman" w:hAnsi="Times New Roman" w:eastAsia="宋体" w:cs="Times New Roman"/>
          <w:color w:val="auto"/>
          <w:sz w:val="24"/>
          <w:szCs w:val="24"/>
          <w:highlight w:val="none"/>
          <w:lang w:val="en-US" w:eastAsia="zh-CN"/>
        </w:rPr>
        <w:t>2标准</w:t>
      </w:r>
      <w:r>
        <w:rPr>
          <w:rFonts w:hint="default" w:ascii="Times New Roman" w:hAnsi="Times New Roman" w:eastAsia="宋体" w:cs="Times New Roman"/>
          <w:color w:val="auto"/>
          <w:sz w:val="24"/>
          <w:szCs w:val="24"/>
          <w:highlight w:val="none"/>
          <w:lang w:val="zh-CN" w:eastAsia="zh-CN"/>
        </w:rPr>
        <w:t>限值</w:t>
      </w:r>
      <w:r>
        <w:rPr>
          <w:rFonts w:hint="eastAsia" w:ascii="Times New Roman" w:hAnsi="Times New Roman" w:eastAsia="宋体" w:cs="Times New Roman"/>
          <w:color w:val="auto"/>
          <w:sz w:val="24"/>
          <w:szCs w:val="24"/>
          <w:highlight w:val="none"/>
          <w:lang w:val="en-US" w:eastAsia="zh-CN"/>
        </w:rPr>
        <w:t>要求。</w:t>
      </w:r>
    </w:p>
    <w:p w14:paraId="28923EE2">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3340567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08EC4EB8">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6825F40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表3.1-</w:t>
      </w:r>
      <w:r>
        <w:rPr>
          <w:rFonts w:hint="eastAsia" w:cs="Times New Roman"/>
          <w:b/>
          <w:bCs/>
          <w:color w:val="auto"/>
          <w:sz w:val="24"/>
          <w:szCs w:val="24"/>
          <w:lang w:val="en-US" w:eastAsia="zh-CN"/>
        </w:rPr>
        <w:t>5</w:t>
      </w:r>
      <w:r>
        <w:rPr>
          <w:rFonts w:hint="eastAsia" w:ascii="Times New Roman" w:hAnsi="Times New Roman" w:eastAsia="宋体" w:cs="Times New Roman"/>
          <w:b/>
          <w:bCs/>
          <w:color w:val="auto"/>
          <w:sz w:val="24"/>
          <w:szCs w:val="24"/>
          <w:lang w:val="en-US" w:eastAsia="zh-CN"/>
        </w:rPr>
        <w:t xml:space="preserve">  锅炉废气监测结果</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43"/>
        <w:gridCol w:w="1161"/>
        <w:gridCol w:w="941"/>
        <w:gridCol w:w="1183"/>
        <w:gridCol w:w="1195"/>
        <w:gridCol w:w="1195"/>
        <w:gridCol w:w="1210"/>
        <w:gridCol w:w="891"/>
      </w:tblGrid>
      <w:tr w14:paraId="77D59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473" w:type="pct"/>
            <w:vMerge w:val="restart"/>
            <w:tcBorders>
              <w:tl2br w:val="nil"/>
              <w:tr2bl w:val="nil"/>
            </w:tcBorders>
            <w:noWrap w:val="0"/>
            <w:vAlign w:val="center"/>
          </w:tcPr>
          <w:p w14:paraId="6556BE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采样</w:t>
            </w:r>
          </w:p>
          <w:p w14:paraId="5EEC33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点位</w:t>
            </w:r>
          </w:p>
        </w:tc>
        <w:tc>
          <w:tcPr>
            <w:tcW w:w="647" w:type="pct"/>
            <w:vMerge w:val="restart"/>
            <w:tcBorders>
              <w:tl2br w:val="nil"/>
              <w:tr2bl w:val="nil"/>
            </w:tcBorders>
            <w:noWrap w:val="0"/>
            <w:vAlign w:val="center"/>
          </w:tcPr>
          <w:p w14:paraId="1E8829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采样日期</w:t>
            </w:r>
          </w:p>
        </w:tc>
        <w:tc>
          <w:tcPr>
            <w:tcW w:w="589" w:type="pct"/>
            <w:vMerge w:val="restart"/>
            <w:tcBorders>
              <w:tl2br w:val="nil"/>
              <w:tr2bl w:val="nil"/>
            </w:tcBorders>
            <w:noWrap w:val="0"/>
            <w:vAlign w:val="center"/>
          </w:tcPr>
          <w:p w14:paraId="646D8F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检测项目</w:t>
            </w:r>
          </w:p>
        </w:tc>
        <w:tc>
          <w:tcPr>
            <w:tcW w:w="3288" w:type="pct"/>
            <w:gridSpan w:val="5"/>
            <w:tcBorders>
              <w:tl2br w:val="nil"/>
              <w:tr2bl w:val="nil"/>
            </w:tcBorders>
            <w:noWrap w:val="0"/>
            <w:vAlign w:val="center"/>
          </w:tcPr>
          <w:p w14:paraId="62AE96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检测结果</w:t>
            </w:r>
          </w:p>
        </w:tc>
      </w:tr>
      <w:tr w14:paraId="22967F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473" w:type="pct"/>
            <w:vMerge w:val="continue"/>
            <w:tcBorders>
              <w:tl2br w:val="nil"/>
              <w:tr2bl w:val="nil"/>
            </w:tcBorders>
            <w:noWrap w:val="0"/>
            <w:vAlign w:val="center"/>
          </w:tcPr>
          <w:p w14:paraId="3B46CD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647" w:type="pct"/>
            <w:vMerge w:val="continue"/>
            <w:tcBorders>
              <w:tl2br w:val="nil"/>
              <w:tr2bl w:val="nil"/>
            </w:tcBorders>
            <w:noWrap w:val="0"/>
            <w:vAlign w:val="center"/>
          </w:tcPr>
          <w:p w14:paraId="42B98D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589" w:type="pct"/>
            <w:vMerge w:val="continue"/>
            <w:tcBorders>
              <w:tl2br w:val="nil"/>
              <w:tr2bl w:val="nil"/>
            </w:tcBorders>
            <w:noWrap w:val="0"/>
            <w:vAlign w:val="center"/>
          </w:tcPr>
          <w:p w14:paraId="29D5CA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656" w:type="pct"/>
            <w:tcBorders>
              <w:tl2br w:val="nil"/>
              <w:tr2bl w:val="nil"/>
            </w:tcBorders>
            <w:noWrap w:val="0"/>
            <w:vAlign w:val="center"/>
          </w:tcPr>
          <w:p w14:paraId="46D46A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标干流量（Nm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/h）</w:t>
            </w:r>
          </w:p>
        </w:tc>
        <w:tc>
          <w:tcPr>
            <w:tcW w:w="663" w:type="pct"/>
            <w:tcBorders>
              <w:tl2br w:val="nil"/>
              <w:tr2bl w:val="nil"/>
            </w:tcBorders>
            <w:noWrap w:val="0"/>
            <w:vAlign w:val="center"/>
          </w:tcPr>
          <w:p w14:paraId="5FC989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实测</w:t>
            </w:r>
            <w:r>
              <w:rPr>
                <w:rFonts w:hint="default" w:ascii="Times New Roman" w:hAnsi="Times New Roman" w:cs="Times New Roman"/>
                <w:color w:val="auto"/>
                <w:sz w:val="21"/>
                <w:szCs w:val="21"/>
                <w:highlight w:val="none"/>
              </w:rPr>
              <w:t>浓度（mg/m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w:t>
            </w:r>
          </w:p>
        </w:tc>
        <w:tc>
          <w:tcPr>
            <w:tcW w:w="663" w:type="pct"/>
            <w:tcBorders>
              <w:tl2br w:val="nil"/>
              <w:tr2bl w:val="nil"/>
            </w:tcBorders>
            <w:noWrap w:val="0"/>
            <w:vAlign w:val="center"/>
          </w:tcPr>
          <w:p w14:paraId="738CC3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rPr>
              <w:t>折算浓度（mg/m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w:t>
            </w:r>
          </w:p>
        </w:tc>
        <w:tc>
          <w:tcPr>
            <w:tcW w:w="747" w:type="pct"/>
            <w:tcBorders>
              <w:tl2br w:val="nil"/>
              <w:tr2bl w:val="nil"/>
            </w:tcBorders>
            <w:noWrap w:val="0"/>
            <w:vAlign w:val="center"/>
          </w:tcPr>
          <w:p w14:paraId="464B84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排放量</w:t>
            </w:r>
          </w:p>
          <w:p w14:paraId="25B4A3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（kg/h）</w:t>
            </w:r>
          </w:p>
        </w:tc>
        <w:tc>
          <w:tcPr>
            <w:tcW w:w="557" w:type="pct"/>
            <w:tcBorders>
              <w:tl2br w:val="nil"/>
              <w:tr2bl w:val="nil"/>
            </w:tcBorders>
            <w:noWrap w:val="0"/>
            <w:vAlign w:val="center"/>
          </w:tcPr>
          <w:p w14:paraId="486C7D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含氧量（%）</w:t>
            </w:r>
          </w:p>
        </w:tc>
      </w:tr>
      <w:tr w14:paraId="18FD4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restart"/>
            <w:noWrap w:val="0"/>
            <w:vAlign w:val="center"/>
          </w:tcPr>
          <w:p w14:paraId="652677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w:t>
            </w: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rPr>
              <w:t>#</w:t>
            </w:r>
            <w:r>
              <w:rPr>
                <w:rFonts w:hint="eastAsia" w:ascii="Times New Roman" w:hAnsi="Times New Roman" w:cs="Times New Roman"/>
                <w:color w:val="auto"/>
                <w:sz w:val="21"/>
                <w:szCs w:val="21"/>
                <w:highlight w:val="none"/>
                <w:lang w:val="en-US" w:eastAsia="zh-CN"/>
              </w:rPr>
              <w:t>锅炉烟囱</w:t>
            </w:r>
          </w:p>
        </w:tc>
        <w:tc>
          <w:tcPr>
            <w:tcW w:w="647" w:type="pct"/>
            <w:vMerge w:val="restart"/>
            <w:noWrap w:val="0"/>
            <w:vAlign w:val="center"/>
          </w:tcPr>
          <w:p w14:paraId="2CFAE5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6.01.05</w:t>
            </w:r>
          </w:p>
        </w:tc>
        <w:tc>
          <w:tcPr>
            <w:tcW w:w="589" w:type="pct"/>
            <w:vMerge w:val="restart"/>
            <w:noWrap w:val="0"/>
            <w:vAlign w:val="center"/>
          </w:tcPr>
          <w:p w14:paraId="5FF9F2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656" w:type="pct"/>
            <w:noWrap w:val="0"/>
            <w:vAlign w:val="center"/>
          </w:tcPr>
          <w:p w14:paraId="5A4ECB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51961 </w:t>
            </w:r>
          </w:p>
        </w:tc>
        <w:tc>
          <w:tcPr>
            <w:tcW w:w="663" w:type="pct"/>
            <w:noWrap w:val="0"/>
            <w:vAlign w:val="center"/>
          </w:tcPr>
          <w:p w14:paraId="3498BC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5.6 </w:t>
            </w:r>
          </w:p>
        </w:tc>
        <w:tc>
          <w:tcPr>
            <w:tcW w:w="663" w:type="pct"/>
            <w:noWrap w:val="0"/>
            <w:vAlign w:val="center"/>
          </w:tcPr>
          <w:p w14:paraId="01FA4E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6.9 </w:t>
            </w:r>
          </w:p>
        </w:tc>
        <w:tc>
          <w:tcPr>
            <w:tcW w:w="747" w:type="pct"/>
            <w:noWrap w:val="0"/>
            <w:vAlign w:val="center"/>
          </w:tcPr>
          <w:p w14:paraId="67BA88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0.29 </w:t>
            </w:r>
          </w:p>
        </w:tc>
        <w:tc>
          <w:tcPr>
            <w:tcW w:w="557" w:type="pct"/>
            <w:noWrap w:val="0"/>
            <w:vAlign w:val="center"/>
          </w:tcPr>
          <w:p w14:paraId="5AC439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8.8 </w:t>
            </w:r>
          </w:p>
        </w:tc>
      </w:tr>
      <w:tr w14:paraId="186C4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6A1252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5D923D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2C8292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212411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49252 </w:t>
            </w:r>
          </w:p>
        </w:tc>
        <w:tc>
          <w:tcPr>
            <w:tcW w:w="663" w:type="pct"/>
            <w:noWrap w:val="0"/>
            <w:vAlign w:val="center"/>
          </w:tcPr>
          <w:p w14:paraId="6336C5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6.0 </w:t>
            </w:r>
          </w:p>
        </w:tc>
        <w:tc>
          <w:tcPr>
            <w:tcW w:w="663" w:type="pct"/>
            <w:noWrap w:val="0"/>
            <w:vAlign w:val="center"/>
          </w:tcPr>
          <w:p w14:paraId="0E0AB8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7.8 </w:t>
            </w:r>
          </w:p>
        </w:tc>
        <w:tc>
          <w:tcPr>
            <w:tcW w:w="747" w:type="pct"/>
            <w:noWrap w:val="0"/>
            <w:vAlign w:val="center"/>
          </w:tcPr>
          <w:p w14:paraId="7F1C11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0.30 </w:t>
            </w:r>
          </w:p>
        </w:tc>
        <w:tc>
          <w:tcPr>
            <w:tcW w:w="557" w:type="pct"/>
            <w:noWrap w:val="0"/>
            <w:vAlign w:val="center"/>
          </w:tcPr>
          <w:p w14:paraId="3D178F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9.5 </w:t>
            </w:r>
          </w:p>
        </w:tc>
      </w:tr>
      <w:tr w14:paraId="2B954D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700EF3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28D9E6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1CE018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2F626C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59272 </w:t>
            </w:r>
          </w:p>
        </w:tc>
        <w:tc>
          <w:tcPr>
            <w:tcW w:w="663" w:type="pct"/>
            <w:noWrap w:val="0"/>
            <w:vAlign w:val="center"/>
          </w:tcPr>
          <w:p w14:paraId="2A6858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5.0 </w:t>
            </w:r>
          </w:p>
        </w:tc>
        <w:tc>
          <w:tcPr>
            <w:tcW w:w="663" w:type="pct"/>
            <w:noWrap w:val="0"/>
            <w:vAlign w:val="center"/>
          </w:tcPr>
          <w:p w14:paraId="67E57E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6.3 </w:t>
            </w:r>
          </w:p>
        </w:tc>
        <w:tc>
          <w:tcPr>
            <w:tcW w:w="747" w:type="pct"/>
            <w:noWrap w:val="0"/>
            <w:vAlign w:val="center"/>
          </w:tcPr>
          <w:p w14:paraId="3AB052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0.29 </w:t>
            </w:r>
          </w:p>
        </w:tc>
        <w:tc>
          <w:tcPr>
            <w:tcW w:w="557" w:type="pct"/>
            <w:noWrap w:val="0"/>
            <w:vAlign w:val="center"/>
          </w:tcPr>
          <w:p w14:paraId="376060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9.2 </w:t>
            </w:r>
          </w:p>
        </w:tc>
      </w:tr>
      <w:tr w14:paraId="3A420F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4E3B1F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6B99EE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restart"/>
            <w:noWrap w:val="0"/>
            <w:vAlign w:val="center"/>
          </w:tcPr>
          <w:p w14:paraId="7C834C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二氧化硫</w:t>
            </w:r>
          </w:p>
        </w:tc>
        <w:tc>
          <w:tcPr>
            <w:tcW w:w="656" w:type="pct"/>
            <w:noWrap w:val="0"/>
            <w:vAlign w:val="center"/>
          </w:tcPr>
          <w:p w14:paraId="3D46C0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51961 </w:t>
            </w:r>
          </w:p>
        </w:tc>
        <w:tc>
          <w:tcPr>
            <w:tcW w:w="663" w:type="pct"/>
            <w:noWrap w:val="0"/>
            <w:vAlign w:val="center"/>
          </w:tcPr>
          <w:p w14:paraId="1B9938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10 </w:t>
            </w:r>
          </w:p>
        </w:tc>
        <w:tc>
          <w:tcPr>
            <w:tcW w:w="663" w:type="pct"/>
            <w:noWrap w:val="0"/>
            <w:vAlign w:val="center"/>
          </w:tcPr>
          <w:p w14:paraId="4B726F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12 </w:t>
            </w:r>
          </w:p>
        </w:tc>
        <w:tc>
          <w:tcPr>
            <w:tcW w:w="747" w:type="pct"/>
            <w:noWrap w:val="0"/>
            <w:vAlign w:val="center"/>
          </w:tcPr>
          <w:p w14:paraId="1EE373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0.52 </w:t>
            </w:r>
          </w:p>
        </w:tc>
        <w:tc>
          <w:tcPr>
            <w:tcW w:w="557" w:type="pct"/>
            <w:noWrap w:val="0"/>
            <w:vAlign w:val="center"/>
          </w:tcPr>
          <w:p w14:paraId="4C1F0B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8.8 </w:t>
            </w:r>
          </w:p>
        </w:tc>
      </w:tr>
      <w:tr w14:paraId="539EFA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3B6767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04CCCC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5966F9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6D2786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49252 </w:t>
            </w:r>
          </w:p>
        </w:tc>
        <w:tc>
          <w:tcPr>
            <w:tcW w:w="663" w:type="pct"/>
            <w:noWrap w:val="0"/>
            <w:vAlign w:val="center"/>
          </w:tcPr>
          <w:p w14:paraId="6D980A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12 </w:t>
            </w:r>
          </w:p>
        </w:tc>
        <w:tc>
          <w:tcPr>
            <w:tcW w:w="663" w:type="pct"/>
            <w:noWrap w:val="0"/>
            <w:vAlign w:val="center"/>
          </w:tcPr>
          <w:p w14:paraId="0E5CA9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16 </w:t>
            </w:r>
          </w:p>
        </w:tc>
        <w:tc>
          <w:tcPr>
            <w:tcW w:w="747" w:type="pct"/>
            <w:noWrap w:val="0"/>
            <w:vAlign w:val="center"/>
          </w:tcPr>
          <w:p w14:paraId="6C4D85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0.59 </w:t>
            </w:r>
          </w:p>
        </w:tc>
        <w:tc>
          <w:tcPr>
            <w:tcW w:w="557" w:type="pct"/>
            <w:noWrap w:val="0"/>
            <w:vAlign w:val="center"/>
          </w:tcPr>
          <w:p w14:paraId="2D8396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9.5 </w:t>
            </w:r>
          </w:p>
        </w:tc>
      </w:tr>
      <w:tr w14:paraId="7987E7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782F20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601A67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59EAF4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644E99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59272 </w:t>
            </w:r>
          </w:p>
        </w:tc>
        <w:tc>
          <w:tcPr>
            <w:tcW w:w="663" w:type="pct"/>
            <w:noWrap w:val="0"/>
            <w:vAlign w:val="center"/>
          </w:tcPr>
          <w:p w14:paraId="161387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10 </w:t>
            </w:r>
          </w:p>
        </w:tc>
        <w:tc>
          <w:tcPr>
            <w:tcW w:w="663" w:type="pct"/>
            <w:noWrap w:val="0"/>
            <w:vAlign w:val="center"/>
          </w:tcPr>
          <w:p w14:paraId="7F6FFC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13 </w:t>
            </w:r>
          </w:p>
        </w:tc>
        <w:tc>
          <w:tcPr>
            <w:tcW w:w="747" w:type="pct"/>
            <w:noWrap w:val="0"/>
            <w:vAlign w:val="center"/>
          </w:tcPr>
          <w:p w14:paraId="3CC5F3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0.59 </w:t>
            </w:r>
          </w:p>
        </w:tc>
        <w:tc>
          <w:tcPr>
            <w:tcW w:w="557" w:type="pct"/>
            <w:noWrap w:val="0"/>
            <w:vAlign w:val="center"/>
          </w:tcPr>
          <w:p w14:paraId="43A5E0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9.2 </w:t>
            </w:r>
          </w:p>
        </w:tc>
      </w:tr>
      <w:tr w14:paraId="302AF9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2AE44B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101875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restart"/>
            <w:noWrap w:val="0"/>
            <w:vAlign w:val="center"/>
          </w:tcPr>
          <w:p w14:paraId="15137D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氮氧化物</w:t>
            </w:r>
          </w:p>
        </w:tc>
        <w:tc>
          <w:tcPr>
            <w:tcW w:w="656" w:type="pct"/>
            <w:noWrap w:val="0"/>
            <w:vAlign w:val="center"/>
          </w:tcPr>
          <w:p w14:paraId="1C6C61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51961 </w:t>
            </w:r>
          </w:p>
        </w:tc>
        <w:tc>
          <w:tcPr>
            <w:tcW w:w="663" w:type="pct"/>
            <w:noWrap w:val="0"/>
            <w:vAlign w:val="center"/>
          </w:tcPr>
          <w:p w14:paraId="057EA0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22 </w:t>
            </w:r>
          </w:p>
        </w:tc>
        <w:tc>
          <w:tcPr>
            <w:tcW w:w="663" w:type="pct"/>
            <w:noWrap w:val="0"/>
            <w:vAlign w:val="center"/>
          </w:tcPr>
          <w:p w14:paraId="40C3E7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27 </w:t>
            </w:r>
          </w:p>
        </w:tc>
        <w:tc>
          <w:tcPr>
            <w:tcW w:w="747" w:type="pct"/>
            <w:noWrap w:val="0"/>
            <w:vAlign w:val="center"/>
          </w:tcPr>
          <w:p w14:paraId="478E8A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1.14 </w:t>
            </w:r>
          </w:p>
        </w:tc>
        <w:tc>
          <w:tcPr>
            <w:tcW w:w="557" w:type="pct"/>
            <w:noWrap w:val="0"/>
            <w:vAlign w:val="center"/>
          </w:tcPr>
          <w:p w14:paraId="38C35F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8.8 </w:t>
            </w:r>
          </w:p>
        </w:tc>
      </w:tr>
      <w:tr w14:paraId="69769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6B5D49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5C11A1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5B9F29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6FA9DA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49252 </w:t>
            </w:r>
          </w:p>
        </w:tc>
        <w:tc>
          <w:tcPr>
            <w:tcW w:w="663" w:type="pct"/>
            <w:noWrap w:val="0"/>
            <w:vAlign w:val="center"/>
          </w:tcPr>
          <w:p w14:paraId="034F34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16 </w:t>
            </w:r>
          </w:p>
        </w:tc>
        <w:tc>
          <w:tcPr>
            <w:tcW w:w="663" w:type="pct"/>
            <w:noWrap w:val="0"/>
            <w:vAlign w:val="center"/>
          </w:tcPr>
          <w:p w14:paraId="027FAA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21 </w:t>
            </w:r>
          </w:p>
        </w:tc>
        <w:tc>
          <w:tcPr>
            <w:tcW w:w="747" w:type="pct"/>
            <w:noWrap w:val="0"/>
            <w:vAlign w:val="center"/>
          </w:tcPr>
          <w:p w14:paraId="0D0B96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0.79 </w:t>
            </w:r>
          </w:p>
        </w:tc>
        <w:tc>
          <w:tcPr>
            <w:tcW w:w="557" w:type="pct"/>
            <w:noWrap w:val="0"/>
            <w:vAlign w:val="center"/>
          </w:tcPr>
          <w:p w14:paraId="320850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9.5 </w:t>
            </w:r>
          </w:p>
        </w:tc>
      </w:tr>
      <w:tr w14:paraId="107D8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411CD7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5D0263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22602A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264609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59272 </w:t>
            </w:r>
          </w:p>
        </w:tc>
        <w:tc>
          <w:tcPr>
            <w:tcW w:w="663" w:type="pct"/>
            <w:noWrap w:val="0"/>
            <w:vAlign w:val="center"/>
          </w:tcPr>
          <w:p w14:paraId="77C15B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23 </w:t>
            </w:r>
          </w:p>
        </w:tc>
        <w:tc>
          <w:tcPr>
            <w:tcW w:w="663" w:type="pct"/>
            <w:noWrap w:val="0"/>
            <w:vAlign w:val="center"/>
          </w:tcPr>
          <w:p w14:paraId="70EFD1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29 </w:t>
            </w:r>
          </w:p>
        </w:tc>
        <w:tc>
          <w:tcPr>
            <w:tcW w:w="747" w:type="pct"/>
            <w:noWrap w:val="0"/>
            <w:vAlign w:val="center"/>
          </w:tcPr>
          <w:p w14:paraId="1A8238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1.36 </w:t>
            </w:r>
          </w:p>
        </w:tc>
        <w:tc>
          <w:tcPr>
            <w:tcW w:w="557" w:type="pct"/>
            <w:noWrap w:val="0"/>
            <w:vAlign w:val="center"/>
          </w:tcPr>
          <w:p w14:paraId="687BA5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9.2 </w:t>
            </w:r>
          </w:p>
        </w:tc>
      </w:tr>
      <w:tr w14:paraId="71311C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142B10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2A7B53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restart"/>
            <w:noWrap w:val="0"/>
            <w:vAlign w:val="center"/>
          </w:tcPr>
          <w:p w14:paraId="54B0FB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汞及其化合物</w:t>
            </w:r>
          </w:p>
        </w:tc>
        <w:tc>
          <w:tcPr>
            <w:tcW w:w="656" w:type="pct"/>
            <w:noWrap w:val="0"/>
            <w:vAlign w:val="center"/>
          </w:tcPr>
          <w:p w14:paraId="0CD3E5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51961</w:t>
            </w:r>
          </w:p>
        </w:tc>
        <w:tc>
          <w:tcPr>
            <w:tcW w:w="663" w:type="pct"/>
            <w:noWrap w:val="0"/>
            <w:vAlign w:val="center"/>
          </w:tcPr>
          <w:p w14:paraId="456801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0.0048</w:t>
            </w:r>
          </w:p>
        </w:tc>
        <w:tc>
          <w:tcPr>
            <w:tcW w:w="663" w:type="pct"/>
            <w:noWrap w:val="0"/>
            <w:vAlign w:val="center"/>
          </w:tcPr>
          <w:p w14:paraId="5AD861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0.0047</w:t>
            </w:r>
          </w:p>
        </w:tc>
        <w:tc>
          <w:tcPr>
            <w:tcW w:w="747" w:type="pct"/>
            <w:noWrap w:val="0"/>
            <w:vAlign w:val="center"/>
          </w:tcPr>
          <w:p w14:paraId="3A2EE5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2.49×10-4</w:t>
            </w:r>
          </w:p>
        </w:tc>
        <w:tc>
          <w:tcPr>
            <w:tcW w:w="557" w:type="pct"/>
            <w:noWrap w:val="0"/>
            <w:vAlign w:val="center"/>
          </w:tcPr>
          <w:p w14:paraId="1CC00E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8.8</w:t>
            </w:r>
          </w:p>
        </w:tc>
      </w:tr>
      <w:tr w14:paraId="797E05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63A970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317597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6179ED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6D7F31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49252</w:t>
            </w:r>
          </w:p>
        </w:tc>
        <w:tc>
          <w:tcPr>
            <w:tcW w:w="663" w:type="pct"/>
            <w:noWrap w:val="0"/>
            <w:vAlign w:val="center"/>
          </w:tcPr>
          <w:p w14:paraId="75ACE7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0.0042</w:t>
            </w:r>
          </w:p>
        </w:tc>
        <w:tc>
          <w:tcPr>
            <w:tcW w:w="663" w:type="pct"/>
            <w:noWrap w:val="0"/>
            <w:vAlign w:val="center"/>
          </w:tcPr>
          <w:p w14:paraId="25EAE8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0.0044</w:t>
            </w:r>
          </w:p>
        </w:tc>
        <w:tc>
          <w:tcPr>
            <w:tcW w:w="747" w:type="pct"/>
            <w:noWrap w:val="0"/>
            <w:vAlign w:val="center"/>
          </w:tcPr>
          <w:p w14:paraId="04F38B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2.07×10-4</w:t>
            </w:r>
          </w:p>
        </w:tc>
        <w:tc>
          <w:tcPr>
            <w:tcW w:w="557" w:type="pct"/>
            <w:noWrap w:val="0"/>
            <w:vAlign w:val="center"/>
          </w:tcPr>
          <w:p w14:paraId="691A5D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9.5</w:t>
            </w:r>
          </w:p>
        </w:tc>
      </w:tr>
      <w:tr w14:paraId="155030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1E0A36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3AE25B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3992BF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062102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59272</w:t>
            </w:r>
          </w:p>
        </w:tc>
        <w:tc>
          <w:tcPr>
            <w:tcW w:w="663" w:type="pct"/>
            <w:noWrap w:val="0"/>
            <w:vAlign w:val="center"/>
          </w:tcPr>
          <w:p w14:paraId="42C73B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0.0040</w:t>
            </w:r>
          </w:p>
        </w:tc>
        <w:tc>
          <w:tcPr>
            <w:tcW w:w="663" w:type="pct"/>
            <w:noWrap w:val="0"/>
            <w:vAlign w:val="center"/>
          </w:tcPr>
          <w:p w14:paraId="0F7D9D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0.0041</w:t>
            </w:r>
          </w:p>
        </w:tc>
        <w:tc>
          <w:tcPr>
            <w:tcW w:w="747" w:type="pct"/>
            <w:noWrap w:val="0"/>
            <w:vAlign w:val="center"/>
          </w:tcPr>
          <w:p w14:paraId="435990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2.37×10-4</w:t>
            </w:r>
          </w:p>
        </w:tc>
        <w:tc>
          <w:tcPr>
            <w:tcW w:w="557" w:type="pct"/>
            <w:noWrap w:val="0"/>
            <w:vAlign w:val="center"/>
          </w:tcPr>
          <w:p w14:paraId="7299B5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9.2</w:t>
            </w:r>
          </w:p>
        </w:tc>
      </w:tr>
      <w:tr w14:paraId="7205EF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394F1B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restart"/>
            <w:noWrap w:val="0"/>
            <w:vAlign w:val="center"/>
          </w:tcPr>
          <w:p w14:paraId="4E6864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6.01.06</w:t>
            </w:r>
          </w:p>
        </w:tc>
        <w:tc>
          <w:tcPr>
            <w:tcW w:w="589" w:type="pct"/>
            <w:vMerge w:val="restart"/>
            <w:noWrap w:val="0"/>
            <w:vAlign w:val="center"/>
          </w:tcPr>
          <w:p w14:paraId="75B3F9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656" w:type="pct"/>
            <w:noWrap w:val="0"/>
            <w:vAlign w:val="center"/>
          </w:tcPr>
          <w:p w14:paraId="3D9CEF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55863</w:t>
            </w:r>
          </w:p>
        </w:tc>
        <w:tc>
          <w:tcPr>
            <w:tcW w:w="663" w:type="pct"/>
            <w:noWrap w:val="0"/>
            <w:vAlign w:val="center"/>
          </w:tcPr>
          <w:p w14:paraId="57D9D4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w:t>
            </w:r>
          </w:p>
        </w:tc>
        <w:tc>
          <w:tcPr>
            <w:tcW w:w="663" w:type="pct"/>
            <w:noWrap w:val="0"/>
            <w:vAlign w:val="center"/>
          </w:tcPr>
          <w:p w14:paraId="188F0E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7.4</w:t>
            </w:r>
          </w:p>
        </w:tc>
        <w:tc>
          <w:tcPr>
            <w:tcW w:w="747" w:type="pct"/>
            <w:noWrap w:val="0"/>
            <w:vAlign w:val="center"/>
          </w:tcPr>
          <w:p w14:paraId="692132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0.31</w:t>
            </w:r>
          </w:p>
        </w:tc>
        <w:tc>
          <w:tcPr>
            <w:tcW w:w="557" w:type="pct"/>
            <w:noWrap w:val="0"/>
            <w:vAlign w:val="center"/>
          </w:tcPr>
          <w:p w14:paraId="5EF357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9.8</w:t>
            </w:r>
          </w:p>
        </w:tc>
      </w:tr>
      <w:tr w14:paraId="69313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3A364B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2E6AB2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3019E0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0386FC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58976</w:t>
            </w:r>
          </w:p>
        </w:tc>
        <w:tc>
          <w:tcPr>
            <w:tcW w:w="663" w:type="pct"/>
            <w:noWrap w:val="0"/>
            <w:vAlign w:val="center"/>
          </w:tcPr>
          <w:p w14:paraId="2DEC1D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5.6</w:t>
            </w:r>
          </w:p>
        </w:tc>
        <w:tc>
          <w:tcPr>
            <w:tcW w:w="663" w:type="pct"/>
            <w:noWrap w:val="0"/>
            <w:vAlign w:val="center"/>
          </w:tcPr>
          <w:p w14:paraId="7B6F3C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7.0</w:t>
            </w:r>
          </w:p>
        </w:tc>
        <w:tc>
          <w:tcPr>
            <w:tcW w:w="747" w:type="pct"/>
            <w:noWrap w:val="0"/>
            <w:vAlign w:val="center"/>
          </w:tcPr>
          <w:p w14:paraId="46CA0E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0.33</w:t>
            </w:r>
          </w:p>
        </w:tc>
        <w:tc>
          <w:tcPr>
            <w:tcW w:w="557" w:type="pct"/>
            <w:noWrap w:val="0"/>
            <w:vAlign w:val="center"/>
          </w:tcPr>
          <w:p w14:paraId="607CDD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r>
      <w:tr w14:paraId="7C889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317F1B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7F88E5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7917D6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42BA41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47770</w:t>
            </w:r>
          </w:p>
        </w:tc>
        <w:tc>
          <w:tcPr>
            <w:tcW w:w="663" w:type="pct"/>
            <w:noWrap w:val="0"/>
            <w:vAlign w:val="center"/>
          </w:tcPr>
          <w:p w14:paraId="5CA1D5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7.0</w:t>
            </w:r>
          </w:p>
        </w:tc>
        <w:tc>
          <w:tcPr>
            <w:tcW w:w="663" w:type="pct"/>
            <w:noWrap w:val="0"/>
            <w:vAlign w:val="center"/>
          </w:tcPr>
          <w:p w14:paraId="55FF11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8.7</w:t>
            </w:r>
          </w:p>
        </w:tc>
        <w:tc>
          <w:tcPr>
            <w:tcW w:w="747" w:type="pct"/>
            <w:noWrap w:val="0"/>
            <w:vAlign w:val="center"/>
          </w:tcPr>
          <w:p w14:paraId="66F7E1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0.33</w:t>
            </w:r>
          </w:p>
        </w:tc>
        <w:tc>
          <w:tcPr>
            <w:tcW w:w="557" w:type="pct"/>
            <w:noWrap w:val="0"/>
            <w:vAlign w:val="center"/>
          </w:tcPr>
          <w:p w14:paraId="531954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8.9</w:t>
            </w:r>
          </w:p>
        </w:tc>
      </w:tr>
      <w:tr w14:paraId="2E795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3B91B7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602BE2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restart"/>
            <w:noWrap w:val="0"/>
            <w:vAlign w:val="center"/>
          </w:tcPr>
          <w:p w14:paraId="397F08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二氧化硫</w:t>
            </w:r>
          </w:p>
        </w:tc>
        <w:tc>
          <w:tcPr>
            <w:tcW w:w="656" w:type="pct"/>
            <w:noWrap w:val="0"/>
            <w:vAlign w:val="center"/>
          </w:tcPr>
          <w:p w14:paraId="613F28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55863</w:t>
            </w:r>
          </w:p>
        </w:tc>
        <w:tc>
          <w:tcPr>
            <w:tcW w:w="663" w:type="pct"/>
            <w:noWrap w:val="0"/>
            <w:vAlign w:val="center"/>
          </w:tcPr>
          <w:p w14:paraId="5ADA02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11</w:t>
            </w:r>
          </w:p>
        </w:tc>
        <w:tc>
          <w:tcPr>
            <w:tcW w:w="663" w:type="pct"/>
            <w:noWrap w:val="0"/>
            <w:vAlign w:val="center"/>
          </w:tcPr>
          <w:p w14:paraId="388844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15</w:t>
            </w:r>
          </w:p>
        </w:tc>
        <w:tc>
          <w:tcPr>
            <w:tcW w:w="747" w:type="pct"/>
            <w:noWrap w:val="0"/>
            <w:vAlign w:val="center"/>
          </w:tcPr>
          <w:p w14:paraId="762AB5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0.61</w:t>
            </w:r>
          </w:p>
        </w:tc>
        <w:tc>
          <w:tcPr>
            <w:tcW w:w="557" w:type="pct"/>
            <w:noWrap w:val="0"/>
            <w:vAlign w:val="center"/>
          </w:tcPr>
          <w:p w14:paraId="16FB80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9.8</w:t>
            </w:r>
          </w:p>
        </w:tc>
      </w:tr>
      <w:tr w14:paraId="7C606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09BDC4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77FC03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5E3A16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7A56F6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58976</w:t>
            </w:r>
          </w:p>
        </w:tc>
        <w:tc>
          <w:tcPr>
            <w:tcW w:w="663" w:type="pct"/>
            <w:noWrap w:val="0"/>
            <w:vAlign w:val="center"/>
          </w:tcPr>
          <w:p w14:paraId="77E8A8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14</w:t>
            </w:r>
          </w:p>
        </w:tc>
        <w:tc>
          <w:tcPr>
            <w:tcW w:w="663" w:type="pct"/>
            <w:noWrap w:val="0"/>
            <w:vAlign w:val="center"/>
          </w:tcPr>
          <w:p w14:paraId="48D97B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18</w:t>
            </w:r>
          </w:p>
        </w:tc>
        <w:tc>
          <w:tcPr>
            <w:tcW w:w="747" w:type="pct"/>
            <w:noWrap w:val="0"/>
            <w:vAlign w:val="center"/>
          </w:tcPr>
          <w:p w14:paraId="144ED2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0.83</w:t>
            </w:r>
          </w:p>
        </w:tc>
        <w:tc>
          <w:tcPr>
            <w:tcW w:w="557" w:type="pct"/>
            <w:noWrap w:val="0"/>
            <w:vAlign w:val="center"/>
          </w:tcPr>
          <w:p w14:paraId="66A854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r>
      <w:tr w14:paraId="18439F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74FF89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1025AD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026E74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6EC267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47770</w:t>
            </w:r>
          </w:p>
        </w:tc>
        <w:tc>
          <w:tcPr>
            <w:tcW w:w="663" w:type="pct"/>
            <w:noWrap w:val="0"/>
            <w:vAlign w:val="center"/>
          </w:tcPr>
          <w:p w14:paraId="7936C7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11</w:t>
            </w:r>
          </w:p>
        </w:tc>
        <w:tc>
          <w:tcPr>
            <w:tcW w:w="663" w:type="pct"/>
            <w:noWrap w:val="0"/>
            <w:vAlign w:val="center"/>
          </w:tcPr>
          <w:p w14:paraId="11AA0B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14</w:t>
            </w:r>
          </w:p>
        </w:tc>
        <w:tc>
          <w:tcPr>
            <w:tcW w:w="747" w:type="pct"/>
            <w:noWrap w:val="0"/>
            <w:vAlign w:val="center"/>
          </w:tcPr>
          <w:p w14:paraId="748686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0.53</w:t>
            </w:r>
          </w:p>
        </w:tc>
        <w:tc>
          <w:tcPr>
            <w:tcW w:w="557" w:type="pct"/>
            <w:noWrap w:val="0"/>
            <w:vAlign w:val="center"/>
          </w:tcPr>
          <w:p w14:paraId="289F31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8.9</w:t>
            </w:r>
          </w:p>
        </w:tc>
      </w:tr>
      <w:tr w14:paraId="006AA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1E7449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1C27CF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restart"/>
            <w:noWrap w:val="0"/>
            <w:vAlign w:val="center"/>
          </w:tcPr>
          <w:p w14:paraId="335E68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氮氧化物</w:t>
            </w:r>
          </w:p>
        </w:tc>
        <w:tc>
          <w:tcPr>
            <w:tcW w:w="656" w:type="pct"/>
            <w:noWrap w:val="0"/>
            <w:vAlign w:val="center"/>
          </w:tcPr>
          <w:p w14:paraId="2416E5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55863</w:t>
            </w:r>
          </w:p>
        </w:tc>
        <w:tc>
          <w:tcPr>
            <w:tcW w:w="663" w:type="pct"/>
            <w:noWrap w:val="0"/>
            <w:vAlign w:val="center"/>
          </w:tcPr>
          <w:p w14:paraId="25F7C0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18</w:t>
            </w:r>
          </w:p>
        </w:tc>
        <w:tc>
          <w:tcPr>
            <w:tcW w:w="663" w:type="pct"/>
            <w:noWrap w:val="0"/>
            <w:vAlign w:val="center"/>
          </w:tcPr>
          <w:p w14:paraId="08AA40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24</w:t>
            </w:r>
          </w:p>
        </w:tc>
        <w:tc>
          <w:tcPr>
            <w:tcW w:w="747" w:type="pct"/>
            <w:noWrap w:val="0"/>
            <w:vAlign w:val="center"/>
          </w:tcPr>
          <w:p w14:paraId="39675B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1.01</w:t>
            </w:r>
          </w:p>
        </w:tc>
        <w:tc>
          <w:tcPr>
            <w:tcW w:w="557" w:type="pct"/>
            <w:noWrap w:val="0"/>
            <w:vAlign w:val="center"/>
          </w:tcPr>
          <w:p w14:paraId="63B30E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9.8</w:t>
            </w:r>
          </w:p>
        </w:tc>
      </w:tr>
      <w:tr w14:paraId="2EA46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1B9AD0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053C70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5A8849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1DD6F9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58976</w:t>
            </w:r>
          </w:p>
        </w:tc>
        <w:tc>
          <w:tcPr>
            <w:tcW w:w="663" w:type="pct"/>
            <w:noWrap w:val="0"/>
            <w:vAlign w:val="center"/>
          </w:tcPr>
          <w:p w14:paraId="376369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16</w:t>
            </w:r>
          </w:p>
        </w:tc>
        <w:tc>
          <w:tcPr>
            <w:tcW w:w="663" w:type="pct"/>
            <w:noWrap w:val="0"/>
            <w:vAlign w:val="center"/>
          </w:tcPr>
          <w:p w14:paraId="493DE9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w:t>
            </w:r>
          </w:p>
        </w:tc>
        <w:tc>
          <w:tcPr>
            <w:tcW w:w="747" w:type="pct"/>
            <w:noWrap w:val="0"/>
            <w:vAlign w:val="center"/>
          </w:tcPr>
          <w:p w14:paraId="50E0A4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0.94</w:t>
            </w:r>
          </w:p>
        </w:tc>
        <w:tc>
          <w:tcPr>
            <w:tcW w:w="557" w:type="pct"/>
            <w:noWrap w:val="0"/>
            <w:vAlign w:val="center"/>
          </w:tcPr>
          <w:p w14:paraId="47853E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r>
      <w:tr w14:paraId="31099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044716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6F5782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1F7C29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4D56A2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47770</w:t>
            </w:r>
          </w:p>
        </w:tc>
        <w:tc>
          <w:tcPr>
            <w:tcW w:w="663" w:type="pct"/>
            <w:noWrap w:val="0"/>
            <w:vAlign w:val="center"/>
          </w:tcPr>
          <w:p w14:paraId="4705FB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22</w:t>
            </w:r>
          </w:p>
        </w:tc>
        <w:tc>
          <w:tcPr>
            <w:tcW w:w="663" w:type="pct"/>
            <w:noWrap w:val="0"/>
            <w:vAlign w:val="center"/>
          </w:tcPr>
          <w:p w14:paraId="11CD17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27</w:t>
            </w:r>
          </w:p>
        </w:tc>
        <w:tc>
          <w:tcPr>
            <w:tcW w:w="747" w:type="pct"/>
            <w:noWrap w:val="0"/>
            <w:vAlign w:val="center"/>
          </w:tcPr>
          <w:p w14:paraId="021838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1.05</w:t>
            </w:r>
          </w:p>
        </w:tc>
        <w:tc>
          <w:tcPr>
            <w:tcW w:w="557" w:type="pct"/>
            <w:noWrap w:val="0"/>
            <w:vAlign w:val="center"/>
          </w:tcPr>
          <w:p w14:paraId="0776A9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8.9</w:t>
            </w:r>
          </w:p>
        </w:tc>
      </w:tr>
      <w:tr w14:paraId="5593ED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5351D0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2F38C5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restart"/>
            <w:noWrap w:val="0"/>
            <w:vAlign w:val="center"/>
          </w:tcPr>
          <w:p w14:paraId="32B6C7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汞及其化合物</w:t>
            </w:r>
          </w:p>
        </w:tc>
        <w:tc>
          <w:tcPr>
            <w:tcW w:w="656" w:type="pct"/>
            <w:noWrap w:val="0"/>
            <w:vAlign w:val="center"/>
          </w:tcPr>
          <w:p w14:paraId="34F681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55863</w:t>
            </w:r>
          </w:p>
        </w:tc>
        <w:tc>
          <w:tcPr>
            <w:tcW w:w="663" w:type="pct"/>
            <w:noWrap w:val="0"/>
            <w:vAlign w:val="center"/>
          </w:tcPr>
          <w:p w14:paraId="0A4A5D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0.0041</w:t>
            </w:r>
          </w:p>
        </w:tc>
        <w:tc>
          <w:tcPr>
            <w:tcW w:w="663" w:type="pct"/>
            <w:noWrap w:val="0"/>
            <w:vAlign w:val="center"/>
          </w:tcPr>
          <w:p w14:paraId="27A2F4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0.0044</w:t>
            </w:r>
          </w:p>
        </w:tc>
        <w:tc>
          <w:tcPr>
            <w:tcW w:w="747" w:type="pct"/>
            <w:noWrap w:val="0"/>
            <w:vAlign w:val="center"/>
          </w:tcPr>
          <w:p w14:paraId="54C913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2.29×10-4</w:t>
            </w:r>
          </w:p>
        </w:tc>
        <w:tc>
          <w:tcPr>
            <w:tcW w:w="557" w:type="pct"/>
            <w:noWrap w:val="0"/>
            <w:vAlign w:val="center"/>
          </w:tcPr>
          <w:p w14:paraId="2CBD7A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9.8</w:t>
            </w:r>
          </w:p>
        </w:tc>
      </w:tr>
      <w:tr w14:paraId="08CE3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10D197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38E366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7C683F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20A0EA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58976</w:t>
            </w:r>
          </w:p>
        </w:tc>
        <w:tc>
          <w:tcPr>
            <w:tcW w:w="663" w:type="pct"/>
            <w:noWrap w:val="0"/>
            <w:vAlign w:val="center"/>
          </w:tcPr>
          <w:p w14:paraId="5646F5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0.0048</w:t>
            </w:r>
          </w:p>
        </w:tc>
        <w:tc>
          <w:tcPr>
            <w:tcW w:w="663" w:type="pct"/>
            <w:noWrap w:val="0"/>
            <w:vAlign w:val="center"/>
          </w:tcPr>
          <w:p w14:paraId="501DC0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0.0048</w:t>
            </w:r>
          </w:p>
        </w:tc>
        <w:tc>
          <w:tcPr>
            <w:tcW w:w="747" w:type="pct"/>
            <w:noWrap w:val="0"/>
            <w:vAlign w:val="center"/>
          </w:tcPr>
          <w:p w14:paraId="7CFC76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2.83×10-4</w:t>
            </w:r>
          </w:p>
        </w:tc>
        <w:tc>
          <w:tcPr>
            <w:tcW w:w="557" w:type="pct"/>
            <w:noWrap w:val="0"/>
            <w:vAlign w:val="center"/>
          </w:tcPr>
          <w:p w14:paraId="420458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r>
      <w:tr w14:paraId="3F74B8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473" w:type="pct"/>
            <w:vMerge w:val="continue"/>
            <w:noWrap w:val="0"/>
            <w:vAlign w:val="center"/>
          </w:tcPr>
          <w:p w14:paraId="3D3200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47" w:type="pct"/>
            <w:vMerge w:val="continue"/>
            <w:noWrap w:val="0"/>
            <w:vAlign w:val="center"/>
          </w:tcPr>
          <w:p w14:paraId="0A46AB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9" w:type="pct"/>
            <w:vMerge w:val="continue"/>
            <w:noWrap w:val="0"/>
            <w:vAlign w:val="center"/>
          </w:tcPr>
          <w:p w14:paraId="49D27F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56" w:type="pct"/>
            <w:noWrap w:val="0"/>
            <w:vAlign w:val="center"/>
          </w:tcPr>
          <w:p w14:paraId="6DE9C5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47770</w:t>
            </w:r>
          </w:p>
        </w:tc>
        <w:tc>
          <w:tcPr>
            <w:tcW w:w="663" w:type="pct"/>
            <w:noWrap w:val="0"/>
            <w:vAlign w:val="center"/>
          </w:tcPr>
          <w:p w14:paraId="1E2796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0.0042</w:t>
            </w:r>
          </w:p>
        </w:tc>
        <w:tc>
          <w:tcPr>
            <w:tcW w:w="663" w:type="pct"/>
            <w:noWrap w:val="0"/>
            <w:vAlign w:val="center"/>
          </w:tcPr>
          <w:p w14:paraId="6A388F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0.0042</w:t>
            </w:r>
          </w:p>
        </w:tc>
        <w:tc>
          <w:tcPr>
            <w:tcW w:w="747" w:type="pct"/>
            <w:noWrap w:val="0"/>
            <w:vAlign w:val="center"/>
          </w:tcPr>
          <w:p w14:paraId="1B60CA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2.01×10-4</w:t>
            </w:r>
          </w:p>
        </w:tc>
        <w:tc>
          <w:tcPr>
            <w:tcW w:w="557" w:type="pct"/>
            <w:noWrap w:val="0"/>
            <w:vAlign w:val="center"/>
          </w:tcPr>
          <w:p w14:paraId="2EECA8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8.9</w:t>
            </w:r>
          </w:p>
        </w:tc>
      </w:tr>
    </w:tbl>
    <w:p w14:paraId="48B056F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表3.1-</w:t>
      </w:r>
      <w:r>
        <w:rPr>
          <w:rFonts w:hint="eastAsia" w:cs="Times New Roman"/>
          <w:b/>
          <w:bCs/>
          <w:color w:val="auto"/>
          <w:sz w:val="24"/>
          <w:szCs w:val="24"/>
          <w:lang w:val="en-US" w:eastAsia="zh-CN"/>
        </w:rPr>
        <w:t>6</w:t>
      </w:r>
      <w:r>
        <w:rPr>
          <w:rFonts w:hint="eastAsia" w:ascii="Times New Roman" w:hAnsi="Times New Roman" w:eastAsia="宋体" w:cs="Times New Roman"/>
          <w:b/>
          <w:bCs/>
          <w:color w:val="auto"/>
          <w:sz w:val="24"/>
          <w:szCs w:val="24"/>
          <w:lang w:val="en-US" w:eastAsia="zh-CN"/>
        </w:rPr>
        <w:t xml:space="preserve">  烟气黑度检测结果</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4"/>
        <w:gridCol w:w="2364"/>
        <w:gridCol w:w="2023"/>
        <w:gridCol w:w="2088"/>
      </w:tblGrid>
      <w:tr w14:paraId="61432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199" w:type="pct"/>
            <w:tcBorders>
              <w:tl2br w:val="nil"/>
              <w:tr2bl w:val="nil"/>
            </w:tcBorders>
            <w:noWrap w:val="0"/>
            <w:vAlign w:val="center"/>
          </w:tcPr>
          <w:p w14:paraId="4C74A6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w:t>
            </w:r>
            <w:r>
              <w:rPr>
                <w:rFonts w:hint="default" w:ascii="Times New Roman" w:hAnsi="Times New Roman" w:cs="Times New Roman"/>
                <w:color w:val="auto"/>
                <w:sz w:val="21"/>
                <w:szCs w:val="21"/>
                <w:highlight w:val="none"/>
                <w:lang w:val="en-US" w:eastAsia="zh-CN"/>
              </w:rPr>
              <w:t>点位</w:t>
            </w:r>
          </w:p>
        </w:tc>
        <w:tc>
          <w:tcPr>
            <w:tcW w:w="1387" w:type="pct"/>
            <w:tcBorders>
              <w:tl2br w:val="nil"/>
              <w:tr2bl w:val="nil"/>
            </w:tcBorders>
            <w:noWrap w:val="0"/>
            <w:vAlign w:val="center"/>
          </w:tcPr>
          <w:p w14:paraId="7DD945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eastAsia="zh-CN"/>
              </w:rPr>
              <w:t>采样日期</w:t>
            </w:r>
          </w:p>
        </w:tc>
        <w:tc>
          <w:tcPr>
            <w:tcW w:w="1187" w:type="pct"/>
            <w:tcBorders>
              <w:tl2br w:val="nil"/>
              <w:tr2bl w:val="nil"/>
            </w:tcBorders>
            <w:noWrap w:val="0"/>
            <w:vAlign w:val="center"/>
          </w:tcPr>
          <w:p w14:paraId="6B15DA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检测</w:t>
            </w:r>
            <w:r>
              <w:rPr>
                <w:rFonts w:hint="default" w:ascii="Times New Roman" w:hAnsi="Times New Roman" w:cs="Times New Roman"/>
                <w:color w:val="auto"/>
                <w:sz w:val="21"/>
                <w:szCs w:val="21"/>
                <w:highlight w:val="none"/>
                <w:lang w:val="en-US" w:eastAsia="zh-CN"/>
              </w:rPr>
              <w:t>项目</w:t>
            </w:r>
          </w:p>
        </w:tc>
        <w:tc>
          <w:tcPr>
            <w:tcW w:w="1225" w:type="pct"/>
            <w:tcBorders>
              <w:tl2br w:val="nil"/>
              <w:tr2bl w:val="nil"/>
            </w:tcBorders>
            <w:noWrap w:val="0"/>
            <w:vAlign w:val="center"/>
          </w:tcPr>
          <w:p w14:paraId="6B2D42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检测</w:t>
            </w:r>
            <w:r>
              <w:rPr>
                <w:rFonts w:hint="default" w:ascii="Times New Roman" w:hAnsi="Times New Roman" w:cs="Times New Roman"/>
                <w:color w:val="auto"/>
                <w:sz w:val="21"/>
                <w:szCs w:val="21"/>
                <w:highlight w:val="none"/>
                <w:lang w:val="en-US" w:eastAsia="zh-CN"/>
              </w:rPr>
              <w:t>结果</w:t>
            </w:r>
          </w:p>
        </w:tc>
      </w:tr>
      <w:tr w14:paraId="2A2A5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99" w:type="pct"/>
            <w:vMerge w:val="restart"/>
            <w:tcBorders>
              <w:tl2br w:val="nil"/>
              <w:tr2bl w:val="nil"/>
            </w:tcBorders>
            <w:noWrap w:val="0"/>
            <w:vAlign w:val="center"/>
          </w:tcPr>
          <w:p w14:paraId="18CBC1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锅炉烟囱</w:t>
            </w:r>
          </w:p>
        </w:tc>
        <w:tc>
          <w:tcPr>
            <w:tcW w:w="1387" w:type="pct"/>
            <w:vMerge w:val="restart"/>
            <w:tcBorders>
              <w:tl2br w:val="nil"/>
              <w:tr2bl w:val="nil"/>
            </w:tcBorders>
            <w:noWrap w:val="0"/>
            <w:vAlign w:val="center"/>
          </w:tcPr>
          <w:p w14:paraId="43DD9F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6.01.05</w:t>
            </w:r>
          </w:p>
        </w:tc>
        <w:tc>
          <w:tcPr>
            <w:tcW w:w="1187" w:type="pct"/>
            <w:vMerge w:val="restart"/>
            <w:tcBorders>
              <w:tl2br w:val="nil"/>
              <w:tr2bl w:val="nil"/>
            </w:tcBorders>
            <w:noWrap w:val="0"/>
            <w:vAlign w:val="center"/>
          </w:tcPr>
          <w:p w14:paraId="606505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烟气黑度</w:t>
            </w:r>
          </w:p>
        </w:tc>
        <w:tc>
          <w:tcPr>
            <w:tcW w:w="1225" w:type="pct"/>
            <w:tcBorders>
              <w:tl2br w:val="nil"/>
              <w:tr2bl w:val="nil"/>
            </w:tcBorders>
            <w:noWrap w:val="0"/>
            <w:vAlign w:val="center"/>
          </w:tcPr>
          <w:p w14:paraId="7F3FF4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1级</w:t>
            </w:r>
          </w:p>
        </w:tc>
      </w:tr>
      <w:tr w14:paraId="6EDAB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99" w:type="pct"/>
            <w:vMerge w:val="continue"/>
            <w:tcBorders>
              <w:tl2br w:val="nil"/>
              <w:tr2bl w:val="nil"/>
            </w:tcBorders>
            <w:noWrap w:val="0"/>
            <w:vAlign w:val="center"/>
          </w:tcPr>
          <w:p w14:paraId="4DFEA9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87" w:type="pct"/>
            <w:vMerge w:val="continue"/>
            <w:tcBorders>
              <w:tl2br w:val="nil"/>
              <w:tr2bl w:val="nil"/>
            </w:tcBorders>
            <w:noWrap w:val="0"/>
            <w:vAlign w:val="center"/>
          </w:tcPr>
          <w:p w14:paraId="71C3FA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187" w:type="pct"/>
            <w:vMerge w:val="continue"/>
            <w:tcBorders>
              <w:tl2br w:val="nil"/>
              <w:tr2bl w:val="nil"/>
            </w:tcBorders>
            <w:noWrap w:val="0"/>
            <w:vAlign w:val="center"/>
          </w:tcPr>
          <w:p w14:paraId="0A80AD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5" w:type="pct"/>
            <w:tcBorders>
              <w:tl2br w:val="nil"/>
              <w:tr2bl w:val="nil"/>
            </w:tcBorders>
            <w:noWrap w:val="0"/>
            <w:vAlign w:val="center"/>
          </w:tcPr>
          <w:p w14:paraId="3F7A30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1级</w:t>
            </w:r>
          </w:p>
        </w:tc>
      </w:tr>
      <w:tr w14:paraId="0E782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99" w:type="pct"/>
            <w:vMerge w:val="continue"/>
            <w:tcBorders>
              <w:tl2br w:val="nil"/>
              <w:tr2bl w:val="nil"/>
            </w:tcBorders>
            <w:noWrap w:val="0"/>
            <w:vAlign w:val="center"/>
          </w:tcPr>
          <w:p w14:paraId="50741C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87" w:type="pct"/>
            <w:vMerge w:val="continue"/>
            <w:tcBorders>
              <w:tl2br w:val="nil"/>
              <w:tr2bl w:val="nil"/>
            </w:tcBorders>
            <w:noWrap w:val="0"/>
            <w:vAlign w:val="center"/>
          </w:tcPr>
          <w:p w14:paraId="450993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187" w:type="pct"/>
            <w:vMerge w:val="continue"/>
            <w:tcBorders>
              <w:tl2br w:val="nil"/>
              <w:tr2bl w:val="nil"/>
            </w:tcBorders>
            <w:noWrap w:val="0"/>
            <w:vAlign w:val="center"/>
          </w:tcPr>
          <w:p w14:paraId="321144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5" w:type="pct"/>
            <w:tcBorders>
              <w:tl2br w:val="nil"/>
              <w:tr2bl w:val="nil"/>
            </w:tcBorders>
            <w:noWrap w:val="0"/>
            <w:vAlign w:val="center"/>
          </w:tcPr>
          <w:p w14:paraId="40AA08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1级</w:t>
            </w:r>
          </w:p>
        </w:tc>
      </w:tr>
      <w:tr w14:paraId="1D402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99" w:type="pct"/>
            <w:vMerge w:val="continue"/>
            <w:tcBorders>
              <w:tl2br w:val="nil"/>
              <w:tr2bl w:val="nil"/>
            </w:tcBorders>
            <w:noWrap w:val="0"/>
            <w:vAlign w:val="center"/>
          </w:tcPr>
          <w:p w14:paraId="08A47C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87" w:type="pct"/>
            <w:vMerge w:val="restart"/>
            <w:tcBorders>
              <w:tl2br w:val="nil"/>
              <w:tr2bl w:val="nil"/>
            </w:tcBorders>
            <w:noWrap w:val="0"/>
            <w:vAlign w:val="center"/>
          </w:tcPr>
          <w:p w14:paraId="173FA9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6.01.06</w:t>
            </w:r>
          </w:p>
        </w:tc>
        <w:tc>
          <w:tcPr>
            <w:tcW w:w="1187" w:type="pct"/>
            <w:vMerge w:val="restart"/>
            <w:tcBorders>
              <w:tl2br w:val="nil"/>
              <w:tr2bl w:val="nil"/>
            </w:tcBorders>
            <w:noWrap w:val="0"/>
            <w:vAlign w:val="center"/>
          </w:tcPr>
          <w:p w14:paraId="581C34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烟气黑度</w:t>
            </w:r>
          </w:p>
        </w:tc>
        <w:tc>
          <w:tcPr>
            <w:tcW w:w="1225" w:type="pct"/>
            <w:tcBorders>
              <w:tl2br w:val="nil"/>
              <w:tr2bl w:val="nil"/>
            </w:tcBorders>
            <w:noWrap w:val="0"/>
            <w:vAlign w:val="center"/>
          </w:tcPr>
          <w:p w14:paraId="263364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1级</w:t>
            </w:r>
          </w:p>
        </w:tc>
      </w:tr>
      <w:tr w14:paraId="7E7C8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99" w:type="pct"/>
            <w:vMerge w:val="continue"/>
            <w:noWrap w:val="0"/>
            <w:vAlign w:val="top"/>
          </w:tcPr>
          <w:p w14:paraId="071134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87" w:type="pct"/>
            <w:vMerge w:val="continue"/>
            <w:noWrap w:val="0"/>
            <w:vAlign w:val="top"/>
          </w:tcPr>
          <w:p w14:paraId="2BB636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187" w:type="pct"/>
            <w:vMerge w:val="continue"/>
            <w:noWrap w:val="0"/>
            <w:vAlign w:val="top"/>
          </w:tcPr>
          <w:p w14:paraId="6AA713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5" w:type="pct"/>
            <w:noWrap w:val="0"/>
            <w:vAlign w:val="center"/>
          </w:tcPr>
          <w:p w14:paraId="31E880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1级</w:t>
            </w:r>
          </w:p>
        </w:tc>
      </w:tr>
      <w:tr w14:paraId="382C4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99" w:type="pct"/>
            <w:vMerge w:val="continue"/>
            <w:noWrap w:val="0"/>
            <w:vAlign w:val="top"/>
          </w:tcPr>
          <w:p w14:paraId="5D5CDE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87" w:type="pct"/>
            <w:vMerge w:val="continue"/>
            <w:noWrap w:val="0"/>
            <w:vAlign w:val="top"/>
          </w:tcPr>
          <w:p w14:paraId="513BB8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187" w:type="pct"/>
            <w:vMerge w:val="continue"/>
            <w:noWrap w:val="0"/>
            <w:vAlign w:val="top"/>
          </w:tcPr>
          <w:p w14:paraId="0C8CA9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5" w:type="pct"/>
            <w:noWrap w:val="0"/>
            <w:vAlign w:val="center"/>
          </w:tcPr>
          <w:p w14:paraId="56EB36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1级</w:t>
            </w:r>
          </w:p>
        </w:tc>
      </w:tr>
    </w:tbl>
    <w:p w14:paraId="621733C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（2）无组织废气污染物排放情况</w:t>
      </w:r>
    </w:p>
    <w:p w14:paraId="52FC95C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厂区现有的煤库、输煤栈桥等均全封闭，碎煤机室、灰渣库均封闭处理。根据《黑龙江省八五二农场保障性安居工程基础设施配套供热建设项目竣工环境保护验收监测报告》，颗粒物厂界无组织排放浓度在0.170~0.245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间，均符合《大气污染物综合排放标准》(GB16297-1996)。氨厂界无组织排放浓度在＜0.01~0.08mg/m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，均符合《恶臭污染物排放标准》（GB14554-1993）中相关限值要求。</w:t>
      </w:r>
    </w:p>
    <w:p w14:paraId="4F8E115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表3.1-</w:t>
      </w:r>
      <w:r>
        <w:rPr>
          <w:rFonts w:hint="eastAsia" w:cs="Times New Roman"/>
          <w:b/>
          <w:bCs/>
          <w:color w:val="auto"/>
          <w:sz w:val="24"/>
          <w:szCs w:val="24"/>
          <w:lang w:val="en-US" w:eastAsia="zh-CN"/>
        </w:rPr>
        <w:t>7</w:t>
      </w:r>
      <w:r>
        <w:rPr>
          <w:rFonts w:hint="eastAsia" w:ascii="Times New Roman" w:hAnsi="Times New Roman" w:eastAsia="宋体" w:cs="Times New Roman"/>
          <w:b/>
          <w:bCs/>
          <w:color w:val="auto"/>
          <w:sz w:val="24"/>
          <w:szCs w:val="24"/>
          <w:lang w:val="en-US" w:eastAsia="zh-CN"/>
        </w:rPr>
        <w:t xml:space="preserve">  厂界无组织排放浓度监测结果</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1040"/>
        <w:gridCol w:w="1573"/>
        <w:gridCol w:w="1575"/>
        <w:gridCol w:w="1573"/>
        <w:gridCol w:w="1575"/>
      </w:tblGrid>
      <w:tr w14:paraId="07ED0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694" w:type="pct"/>
            <w:vMerge w:val="restart"/>
            <w:tcBorders>
              <w:tl2br w:val="nil"/>
              <w:tr2bl w:val="nil"/>
            </w:tcBorders>
            <w:noWrap w:val="0"/>
            <w:vAlign w:val="center"/>
          </w:tcPr>
          <w:p w14:paraId="206919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w:t>
            </w:r>
          </w:p>
          <w:p w14:paraId="56F14F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点位</w:t>
            </w:r>
          </w:p>
        </w:tc>
        <w:tc>
          <w:tcPr>
            <w:tcW w:w="610" w:type="pct"/>
            <w:vMerge w:val="restart"/>
            <w:tcBorders>
              <w:tl2br w:val="nil"/>
              <w:tr2bl w:val="nil"/>
            </w:tcBorders>
            <w:noWrap w:val="0"/>
            <w:vAlign w:val="center"/>
          </w:tcPr>
          <w:p w14:paraId="2F61A3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w:t>
            </w:r>
          </w:p>
          <w:p w14:paraId="6F00B3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频次</w:t>
            </w:r>
          </w:p>
        </w:tc>
        <w:tc>
          <w:tcPr>
            <w:tcW w:w="1847" w:type="pct"/>
            <w:gridSpan w:val="2"/>
            <w:tcBorders>
              <w:tl2br w:val="nil"/>
              <w:tr2bl w:val="nil"/>
            </w:tcBorders>
            <w:noWrap w:val="0"/>
            <w:vAlign w:val="center"/>
          </w:tcPr>
          <w:p w14:paraId="629D72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检测结果202</w:t>
            </w:r>
            <w:r>
              <w:rPr>
                <w:rFonts w:hint="eastAsia" w:ascii="Times New Roman" w:hAnsi="Times New Roman" w:cs="Times New Roman"/>
                <w:color w:val="auto"/>
                <w:sz w:val="21"/>
                <w:szCs w:val="21"/>
                <w:highlight w:val="none"/>
                <w:lang w:val="en-US" w:eastAsia="zh-CN"/>
              </w:rPr>
              <w:t>6.01.05</w:t>
            </w:r>
          </w:p>
        </w:tc>
        <w:tc>
          <w:tcPr>
            <w:tcW w:w="1847" w:type="pct"/>
            <w:gridSpan w:val="2"/>
            <w:tcBorders>
              <w:tl2br w:val="nil"/>
              <w:tr2bl w:val="nil"/>
            </w:tcBorders>
            <w:noWrap w:val="0"/>
            <w:vAlign w:val="center"/>
          </w:tcPr>
          <w:p w14:paraId="2AF466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检测结果202</w:t>
            </w:r>
            <w:r>
              <w:rPr>
                <w:rFonts w:hint="eastAsia" w:ascii="Times New Roman" w:hAnsi="Times New Roman" w:cs="Times New Roman"/>
                <w:color w:val="auto"/>
                <w:sz w:val="21"/>
                <w:szCs w:val="21"/>
                <w:highlight w:val="none"/>
                <w:lang w:val="en-US" w:eastAsia="zh-CN"/>
              </w:rPr>
              <w:t>6.01.06</w:t>
            </w:r>
          </w:p>
        </w:tc>
      </w:tr>
      <w:tr w14:paraId="1D7C2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694" w:type="pct"/>
            <w:vMerge w:val="continue"/>
            <w:tcBorders>
              <w:tl2br w:val="nil"/>
              <w:tr2bl w:val="nil"/>
            </w:tcBorders>
            <w:noWrap w:val="0"/>
            <w:vAlign w:val="center"/>
          </w:tcPr>
          <w:p w14:paraId="62D0ED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vMerge w:val="continue"/>
            <w:tcBorders>
              <w:tl2br w:val="nil"/>
              <w:tr2bl w:val="nil"/>
            </w:tcBorders>
            <w:noWrap w:val="0"/>
            <w:vAlign w:val="center"/>
          </w:tcPr>
          <w:p w14:paraId="349A5D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23" w:type="pct"/>
            <w:tcBorders>
              <w:tl2br w:val="nil"/>
              <w:tr2bl w:val="nil"/>
            </w:tcBorders>
            <w:noWrap w:val="0"/>
            <w:vAlign w:val="center"/>
          </w:tcPr>
          <w:p w14:paraId="47FA3B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923" w:type="pct"/>
            <w:tcBorders>
              <w:tl2br w:val="nil"/>
              <w:tr2bl w:val="nil"/>
            </w:tcBorders>
            <w:noWrap w:val="0"/>
            <w:vAlign w:val="center"/>
          </w:tcPr>
          <w:p w14:paraId="139288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w:t>
            </w:r>
          </w:p>
        </w:tc>
        <w:tc>
          <w:tcPr>
            <w:tcW w:w="923" w:type="pct"/>
            <w:tcBorders>
              <w:tl2br w:val="nil"/>
              <w:tr2bl w:val="nil"/>
            </w:tcBorders>
            <w:noWrap w:val="0"/>
            <w:vAlign w:val="center"/>
          </w:tcPr>
          <w:p w14:paraId="5EB308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924" w:type="pct"/>
            <w:tcBorders>
              <w:tl2br w:val="nil"/>
              <w:tr2bl w:val="nil"/>
            </w:tcBorders>
            <w:noWrap w:val="0"/>
            <w:vAlign w:val="center"/>
          </w:tcPr>
          <w:p w14:paraId="17D5ED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w:t>
            </w:r>
          </w:p>
        </w:tc>
      </w:tr>
      <w:tr w14:paraId="3E339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restart"/>
            <w:tcBorders>
              <w:tl2br w:val="nil"/>
              <w:tr2bl w:val="nil"/>
            </w:tcBorders>
            <w:noWrap w:val="0"/>
            <w:vAlign w:val="center"/>
          </w:tcPr>
          <w:p w14:paraId="1B9534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○1#厂界上风向</w:t>
            </w:r>
          </w:p>
        </w:tc>
        <w:tc>
          <w:tcPr>
            <w:tcW w:w="610" w:type="pct"/>
            <w:tcBorders>
              <w:tl2br w:val="nil"/>
              <w:tr2bl w:val="nil"/>
            </w:tcBorders>
            <w:noWrap w:val="0"/>
            <w:vAlign w:val="center"/>
          </w:tcPr>
          <w:p w14:paraId="607316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第一次</w:t>
            </w:r>
          </w:p>
        </w:tc>
        <w:tc>
          <w:tcPr>
            <w:tcW w:w="923" w:type="pct"/>
            <w:tcBorders>
              <w:tl2br w:val="nil"/>
              <w:tr2bl w:val="nil"/>
            </w:tcBorders>
            <w:noWrap w:val="0"/>
            <w:vAlign w:val="center"/>
          </w:tcPr>
          <w:p w14:paraId="1136C0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0.170 </w:t>
            </w:r>
          </w:p>
        </w:tc>
        <w:tc>
          <w:tcPr>
            <w:tcW w:w="923" w:type="pct"/>
            <w:tcBorders>
              <w:tl2br w:val="nil"/>
              <w:tr2bl w:val="nil"/>
            </w:tcBorders>
            <w:noWrap w:val="0"/>
            <w:vAlign w:val="center"/>
          </w:tcPr>
          <w:p w14:paraId="14D8A3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923" w:type="pct"/>
            <w:tcBorders>
              <w:tl2br w:val="nil"/>
              <w:tr2bl w:val="nil"/>
            </w:tcBorders>
            <w:noWrap w:val="0"/>
            <w:vAlign w:val="center"/>
          </w:tcPr>
          <w:p w14:paraId="414569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0.177 </w:t>
            </w:r>
          </w:p>
        </w:tc>
        <w:tc>
          <w:tcPr>
            <w:tcW w:w="924" w:type="pct"/>
            <w:tcBorders>
              <w:tl2br w:val="nil"/>
              <w:tr2bl w:val="nil"/>
            </w:tcBorders>
            <w:noWrap w:val="0"/>
            <w:vAlign w:val="center"/>
          </w:tcPr>
          <w:p w14:paraId="796095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r>
      <w:tr w14:paraId="1DDC3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493386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180F8B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第二次</w:t>
            </w:r>
          </w:p>
        </w:tc>
        <w:tc>
          <w:tcPr>
            <w:tcW w:w="923" w:type="pct"/>
            <w:tcBorders>
              <w:tl2br w:val="nil"/>
              <w:tr2bl w:val="nil"/>
            </w:tcBorders>
            <w:noWrap w:val="0"/>
            <w:vAlign w:val="center"/>
          </w:tcPr>
          <w:p w14:paraId="1713C8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0.177 </w:t>
            </w:r>
          </w:p>
        </w:tc>
        <w:tc>
          <w:tcPr>
            <w:tcW w:w="923" w:type="pct"/>
            <w:tcBorders>
              <w:tl2br w:val="nil"/>
              <w:tr2bl w:val="nil"/>
            </w:tcBorders>
            <w:noWrap w:val="0"/>
            <w:vAlign w:val="center"/>
          </w:tcPr>
          <w:p w14:paraId="3CA50F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923" w:type="pct"/>
            <w:tcBorders>
              <w:tl2br w:val="nil"/>
              <w:tr2bl w:val="nil"/>
            </w:tcBorders>
            <w:noWrap w:val="0"/>
            <w:vAlign w:val="center"/>
          </w:tcPr>
          <w:p w14:paraId="425DB2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0.173 </w:t>
            </w:r>
          </w:p>
        </w:tc>
        <w:tc>
          <w:tcPr>
            <w:tcW w:w="924" w:type="pct"/>
            <w:tcBorders>
              <w:tl2br w:val="nil"/>
              <w:tr2bl w:val="nil"/>
            </w:tcBorders>
            <w:noWrap w:val="0"/>
            <w:vAlign w:val="center"/>
          </w:tcPr>
          <w:p w14:paraId="4BDEB9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r>
      <w:tr w14:paraId="07352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230258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19956F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第三次</w:t>
            </w:r>
          </w:p>
        </w:tc>
        <w:tc>
          <w:tcPr>
            <w:tcW w:w="923" w:type="pct"/>
            <w:tcBorders>
              <w:tl2br w:val="nil"/>
              <w:tr2bl w:val="nil"/>
            </w:tcBorders>
            <w:noWrap w:val="0"/>
            <w:vAlign w:val="center"/>
          </w:tcPr>
          <w:p w14:paraId="4562AA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0.175 </w:t>
            </w:r>
          </w:p>
        </w:tc>
        <w:tc>
          <w:tcPr>
            <w:tcW w:w="923" w:type="pct"/>
            <w:tcBorders>
              <w:tl2br w:val="nil"/>
              <w:tr2bl w:val="nil"/>
            </w:tcBorders>
            <w:noWrap w:val="0"/>
            <w:vAlign w:val="center"/>
          </w:tcPr>
          <w:p w14:paraId="636D3A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923" w:type="pct"/>
            <w:tcBorders>
              <w:tl2br w:val="nil"/>
              <w:tr2bl w:val="nil"/>
            </w:tcBorders>
            <w:noWrap w:val="0"/>
            <w:vAlign w:val="center"/>
          </w:tcPr>
          <w:p w14:paraId="307F2F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0.176 </w:t>
            </w:r>
          </w:p>
        </w:tc>
        <w:tc>
          <w:tcPr>
            <w:tcW w:w="924" w:type="pct"/>
            <w:tcBorders>
              <w:tl2br w:val="nil"/>
              <w:tr2bl w:val="nil"/>
            </w:tcBorders>
            <w:noWrap w:val="0"/>
            <w:vAlign w:val="center"/>
          </w:tcPr>
          <w:p w14:paraId="42FF0C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r>
      <w:tr w14:paraId="6D408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restart"/>
            <w:tcBorders>
              <w:tl2br w:val="nil"/>
              <w:tr2bl w:val="nil"/>
            </w:tcBorders>
            <w:noWrap w:val="0"/>
            <w:vAlign w:val="center"/>
          </w:tcPr>
          <w:p w14:paraId="0DFFD1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○2#厂界下风向1</w:t>
            </w:r>
          </w:p>
        </w:tc>
        <w:tc>
          <w:tcPr>
            <w:tcW w:w="610" w:type="pct"/>
            <w:tcBorders>
              <w:tl2br w:val="nil"/>
              <w:tr2bl w:val="nil"/>
            </w:tcBorders>
            <w:noWrap w:val="0"/>
            <w:vAlign w:val="center"/>
          </w:tcPr>
          <w:p w14:paraId="7D75F5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第一次</w:t>
            </w:r>
          </w:p>
        </w:tc>
        <w:tc>
          <w:tcPr>
            <w:tcW w:w="923" w:type="pct"/>
            <w:tcBorders>
              <w:tl2br w:val="nil"/>
              <w:tr2bl w:val="nil"/>
            </w:tcBorders>
            <w:noWrap w:val="0"/>
            <w:vAlign w:val="center"/>
          </w:tcPr>
          <w:p w14:paraId="0701BA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0.202 </w:t>
            </w:r>
          </w:p>
        </w:tc>
        <w:tc>
          <w:tcPr>
            <w:tcW w:w="923" w:type="pct"/>
            <w:tcBorders>
              <w:tl2br w:val="nil"/>
              <w:tr2bl w:val="nil"/>
            </w:tcBorders>
            <w:noWrap w:val="0"/>
            <w:vAlign w:val="center"/>
          </w:tcPr>
          <w:p w14:paraId="43FB33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0.04</w:t>
            </w:r>
          </w:p>
        </w:tc>
        <w:tc>
          <w:tcPr>
            <w:tcW w:w="923" w:type="pct"/>
            <w:tcBorders>
              <w:tl2br w:val="nil"/>
              <w:tr2bl w:val="nil"/>
            </w:tcBorders>
            <w:noWrap w:val="0"/>
            <w:vAlign w:val="center"/>
          </w:tcPr>
          <w:p w14:paraId="148F44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0.208 </w:t>
            </w:r>
          </w:p>
        </w:tc>
        <w:tc>
          <w:tcPr>
            <w:tcW w:w="924" w:type="pct"/>
            <w:tcBorders>
              <w:tl2br w:val="nil"/>
              <w:tr2bl w:val="nil"/>
            </w:tcBorders>
            <w:noWrap w:val="0"/>
            <w:vAlign w:val="center"/>
          </w:tcPr>
          <w:p w14:paraId="1132B2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03</w:t>
            </w:r>
          </w:p>
        </w:tc>
      </w:tr>
      <w:tr w14:paraId="62163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68B59A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1D4203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第二次</w:t>
            </w:r>
          </w:p>
        </w:tc>
        <w:tc>
          <w:tcPr>
            <w:tcW w:w="923" w:type="pct"/>
            <w:tcBorders>
              <w:tl2br w:val="nil"/>
              <w:tr2bl w:val="nil"/>
            </w:tcBorders>
            <w:noWrap w:val="0"/>
            <w:vAlign w:val="center"/>
          </w:tcPr>
          <w:p w14:paraId="0483AF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0.211 </w:t>
            </w:r>
          </w:p>
        </w:tc>
        <w:tc>
          <w:tcPr>
            <w:tcW w:w="923" w:type="pct"/>
            <w:tcBorders>
              <w:tl2br w:val="nil"/>
              <w:tr2bl w:val="nil"/>
            </w:tcBorders>
            <w:noWrap w:val="0"/>
            <w:vAlign w:val="center"/>
          </w:tcPr>
          <w:p w14:paraId="29FA27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0.05</w:t>
            </w:r>
          </w:p>
        </w:tc>
        <w:tc>
          <w:tcPr>
            <w:tcW w:w="923" w:type="pct"/>
            <w:tcBorders>
              <w:tl2br w:val="nil"/>
              <w:tr2bl w:val="nil"/>
            </w:tcBorders>
            <w:noWrap w:val="0"/>
            <w:vAlign w:val="center"/>
          </w:tcPr>
          <w:p w14:paraId="5F9643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0.200 </w:t>
            </w:r>
          </w:p>
        </w:tc>
        <w:tc>
          <w:tcPr>
            <w:tcW w:w="924" w:type="pct"/>
            <w:tcBorders>
              <w:tl2br w:val="nil"/>
              <w:tr2bl w:val="nil"/>
            </w:tcBorders>
            <w:noWrap w:val="0"/>
            <w:vAlign w:val="center"/>
          </w:tcPr>
          <w:p w14:paraId="5AE8E3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03</w:t>
            </w:r>
          </w:p>
        </w:tc>
      </w:tr>
      <w:tr w14:paraId="4C294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005120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54AA8A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第三次</w:t>
            </w:r>
          </w:p>
        </w:tc>
        <w:tc>
          <w:tcPr>
            <w:tcW w:w="923" w:type="pct"/>
            <w:tcBorders>
              <w:tl2br w:val="nil"/>
              <w:tr2bl w:val="nil"/>
            </w:tcBorders>
            <w:noWrap w:val="0"/>
            <w:vAlign w:val="center"/>
          </w:tcPr>
          <w:p w14:paraId="5990F0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0.223 </w:t>
            </w:r>
          </w:p>
        </w:tc>
        <w:tc>
          <w:tcPr>
            <w:tcW w:w="923" w:type="pct"/>
            <w:tcBorders>
              <w:tl2br w:val="nil"/>
              <w:tr2bl w:val="nil"/>
            </w:tcBorders>
            <w:noWrap w:val="0"/>
            <w:vAlign w:val="center"/>
          </w:tcPr>
          <w:p w14:paraId="4E6B2C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0.03</w:t>
            </w:r>
          </w:p>
        </w:tc>
        <w:tc>
          <w:tcPr>
            <w:tcW w:w="923" w:type="pct"/>
            <w:tcBorders>
              <w:tl2br w:val="nil"/>
              <w:tr2bl w:val="nil"/>
            </w:tcBorders>
            <w:noWrap w:val="0"/>
            <w:vAlign w:val="center"/>
          </w:tcPr>
          <w:p w14:paraId="682793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0.220 </w:t>
            </w:r>
          </w:p>
        </w:tc>
        <w:tc>
          <w:tcPr>
            <w:tcW w:w="924" w:type="pct"/>
            <w:tcBorders>
              <w:tl2br w:val="nil"/>
              <w:tr2bl w:val="nil"/>
            </w:tcBorders>
            <w:noWrap w:val="0"/>
            <w:vAlign w:val="center"/>
          </w:tcPr>
          <w:p w14:paraId="1A0894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04</w:t>
            </w:r>
          </w:p>
        </w:tc>
      </w:tr>
      <w:tr w14:paraId="3AA5B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restart"/>
            <w:tcBorders>
              <w:tl2br w:val="nil"/>
              <w:tr2bl w:val="nil"/>
            </w:tcBorders>
            <w:noWrap w:val="0"/>
            <w:vAlign w:val="center"/>
          </w:tcPr>
          <w:p w14:paraId="69DD85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○3#厂界下风向2</w:t>
            </w:r>
          </w:p>
        </w:tc>
        <w:tc>
          <w:tcPr>
            <w:tcW w:w="610" w:type="pct"/>
            <w:tcBorders>
              <w:tl2br w:val="nil"/>
              <w:tr2bl w:val="nil"/>
            </w:tcBorders>
            <w:noWrap w:val="0"/>
            <w:vAlign w:val="center"/>
          </w:tcPr>
          <w:p w14:paraId="093EE0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第一次</w:t>
            </w:r>
          </w:p>
        </w:tc>
        <w:tc>
          <w:tcPr>
            <w:tcW w:w="923" w:type="pct"/>
            <w:tcBorders>
              <w:tl2br w:val="nil"/>
              <w:tr2bl w:val="nil"/>
            </w:tcBorders>
            <w:noWrap w:val="0"/>
            <w:vAlign w:val="center"/>
          </w:tcPr>
          <w:p w14:paraId="193EAD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0.222 </w:t>
            </w:r>
          </w:p>
        </w:tc>
        <w:tc>
          <w:tcPr>
            <w:tcW w:w="923" w:type="pct"/>
            <w:tcBorders>
              <w:tl2br w:val="nil"/>
              <w:tr2bl w:val="nil"/>
            </w:tcBorders>
            <w:noWrap w:val="0"/>
            <w:vAlign w:val="center"/>
          </w:tcPr>
          <w:p w14:paraId="33EE65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0.06</w:t>
            </w:r>
          </w:p>
        </w:tc>
        <w:tc>
          <w:tcPr>
            <w:tcW w:w="923" w:type="pct"/>
            <w:tcBorders>
              <w:tl2br w:val="nil"/>
              <w:tr2bl w:val="nil"/>
            </w:tcBorders>
            <w:noWrap w:val="0"/>
            <w:vAlign w:val="center"/>
          </w:tcPr>
          <w:p w14:paraId="249AE7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0.216 </w:t>
            </w:r>
          </w:p>
        </w:tc>
        <w:tc>
          <w:tcPr>
            <w:tcW w:w="924" w:type="pct"/>
            <w:tcBorders>
              <w:tl2br w:val="nil"/>
              <w:tr2bl w:val="nil"/>
            </w:tcBorders>
            <w:noWrap w:val="0"/>
            <w:vAlign w:val="center"/>
          </w:tcPr>
          <w:p w14:paraId="4526B7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05</w:t>
            </w:r>
          </w:p>
        </w:tc>
      </w:tr>
      <w:tr w14:paraId="40D2E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33E465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38E8FE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第二次</w:t>
            </w:r>
          </w:p>
        </w:tc>
        <w:tc>
          <w:tcPr>
            <w:tcW w:w="923" w:type="pct"/>
            <w:tcBorders>
              <w:tl2br w:val="nil"/>
              <w:tr2bl w:val="nil"/>
            </w:tcBorders>
            <w:noWrap w:val="0"/>
            <w:vAlign w:val="center"/>
          </w:tcPr>
          <w:p w14:paraId="0227BE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0.215 </w:t>
            </w:r>
          </w:p>
        </w:tc>
        <w:tc>
          <w:tcPr>
            <w:tcW w:w="923" w:type="pct"/>
            <w:tcBorders>
              <w:tl2br w:val="nil"/>
              <w:tr2bl w:val="nil"/>
            </w:tcBorders>
            <w:noWrap w:val="0"/>
            <w:vAlign w:val="center"/>
          </w:tcPr>
          <w:p w14:paraId="342FE2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0.03</w:t>
            </w:r>
          </w:p>
        </w:tc>
        <w:tc>
          <w:tcPr>
            <w:tcW w:w="923" w:type="pct"/>
            <w:tcBorders>
              <w:tl2br w:val="nil"/>
              <w:tr2bl w:val="nil"/>
            </w:tcBorders>
            <w:noWrap w:val="0"/>
            <w:vAlign w:val="center"/>
          </w:tcPr>
          <w:p w14:paraId="787114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0.231 </w:t>
            </w:r>
          </w:p>
        </w:tc>
        <w:tc>
          <w:tcPr>
            <w:tcW w:w="924" w:type="pct"/>
            <w:tcBorders>
              <w:tl2br w:val="nil"/>
              <w:tr2bl w:val="nil"/>
            </w:tcBorders>
            <w:noWrap w:val="0"/>
            <w:vAlign w:val="center"/>
          </w:tcPr>
          <w:p w14:paraId="7DFDCE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06</w:t>
            </w:r>
          </w:p>
        </w:tc>
      </w:tr>
      <w:tr w14:paraId="013B6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2BCB97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5BF520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第三次</w:t>
            </w:r>
          </w:p>
        </w:tc>
        <w:tc>
          <w:tcPr>
            <w:tcW w:w="923" w:type="pct"/>
            <w:tcBorders>
              <w:tl2br w:val="nil"/>
              <w:tr2bl w:val="nil"/>
            </w:tcBorders>
            <w:noWrap w:val="0"/>
            <w:vAlign w:val="center"/>
          </w:tcPr>
          <w:p w14:paraId="509857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0.233 </w:t>
            </w:r>
          </w:p>
        </w:tc>
        <w:tc>
          <w:tcPr>
            <w:tcW w:w="923" w:type="pct"/>
            <w:tcBorders>
              <w:tl2br w:val="nil"/>
              <w:tr2bl w:val="nil"/>
            </w:tcBorders>
            <w:noWrap w:val="0"/>
            <w:vAlign w:val="center"/>
          </w:tcPr>
          <w:p w14:paraId="152570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0.05</w:t>
            </w:r>
          </w:p>
        </w:tc>
        <w:tc>
          <w:tcPr>
            <w:tcW w:w="923" w:type="pct"/>
            <w:tcBorders>
              <w:tl2br w:val="nil"/>
              <w:tr2bl w:val="nil"/>
            </w:tcBorders>
            <w:noWrap w:val="0"/>
            <w:vAlign w:val="center"/>
          </w:tcPr>
          <w:p w14:paraId="4E104C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0.223 </w:t>
            </w:r>
          </w:p>
        </w:tc>
        <w:tc>
          <w:tcPr>
            <w:tcW w:w="924" w:type="pct"/>
            <w:tcBorders>
              <w:tl2br w:val="nil"/>
              <w:tr2bl w:val="nil"/>
            </w:tcBorders>
            <w:noWrap w:val="0"/>
            <w:vAlign w:val="center"/>
          </w:tcPr>
          <w:p w14:paraId="106E79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04</w:t>
            </w:r>
          </w:p>
        </w:tc>
      </w:tr>
      <w:tr w14:paraId="0CCEA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restart"/>
            <w:tcBorders>
              <w:tl2br w:val="nil"/>
              <w:tr2bl w:val="nil"/>
            </w:tcBorders>
            <w:noWrap w:val="0"/>
            <w:vAlign w:val="center"/>
          </w:tcPr>
          <w:p w14:paraId="484604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○4#厂界下风向3</w:t>
            </w:r>
          </w:p>
        </w:tc>
        <w:tc>
          <w:tcPr>
            <w:tcW w:w="610" w:type="pct"/>
            <w:tcBorders>
              <w:tl2br w:val="nil"/>
              <w:tr2bl w:val="nil"/>
            </w:tcBorders>
            <w:noWrap w:val="0"/>
            <w:vAlign w:val="center"/>
          </w:tcPr>
          <w:p w14:paraId="68F820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第一次</w:t>
            </w:r>
          </w:p>
        </w:tc>
        <w:tc>
          <w:tcPr>
            <w:tcW w:w="923" w:type="pct"/>
            <w:tcBorders>
              <w:tl2br w:val="nil"/>
              <w:tr2bl w:val="nil"/>
            </w:tcBorders>
            <w:noWrap w:val="0"/>
            <w:vAlign w:val="center"/>
          </w:tcPr>
          <w:p w14:paraId="2E95B0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0.235 </w:t>
            </w:r>
          </w:p>
        </w:tc>
        <w:tc>
          <w:tcPr>
            <w:tcW w:w="923" w:type="pct"/>
            <w:tcBorders>
              <w:tl2br w:val="nil"/>
              <w:tr2bl w:val="nil"/>
            </w:tcBorders>
            <w:noWrap w:val="0"/>
            <w:vAlign w:val="center"/>
          </w:tcPr>
          <w:p w14:paraId="3BD127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0.04</w:t>
            </w:r>
          </w:p>
        </w:tc>
        <w:tc>
          <w:tcPr>
            <w:tcW w:w="923" w:type="pct"/>
            <w:tcBorders>
              <w:tl2br w:val="nil"/>
              <w:tr2bl w:val="nil"/>
            </w:tcBorders>
            <w:noWrap w:val="0"/>
            <w:vAlign w:val="center"/>
          </w:tcPr>
          <w:p w14:paraId="74B714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0.224 </w:t>
            </w:r>
          </w:p>
        </w:tc>
        <w:tc>
          <w:tcPr>
            <w:tcW w:w="924" w:type="pct"/>
            <w:tcBorders>
              <w:tl2br w:val="nil"/>
              <w:tr2bl w:val="nil"/>
            </w:tcBorders>
            <w:noWrap w:val="0"/>
            <w:vAlign w:val="center"/>
          </w:tcPr>
          <w:p w14:paraId="57702C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07</w:t>
            </w:r>
          </w:p>
        </w:tc>
      </w:tr>
      <w:tr w14:paraId="18ED1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53DC10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4F43C1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第二次</w:t>
            </w:r>
          </w:p>
        </w:tc>
        <w:tc>
          <w:tcPr>
            <w:tcW w:w="923" w:type="pct"/>
            <w:tcBorders>
              <w:tl2br w:val="nil"/>
              <w:tr2bl w:val="nil"/>
            </w:tcBorders>
            <w:noWrap w:val="0"/>
            <w:vAlign w:val="center"/>
          </w:tcPr>
          <w:p w14:paraId="3356B0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0.212 </w:t>
            </w:r>
          </w:p>
        </w:tc>
        <w:tc>
          <w:tcPr>
            <w:tcW w:w="923" w:type="pct"/>
            <w:tcBorders>
              <w:tl2br w:val="nil"/>
              <w:tr2bl w:val="nil"/>
            </w:tcBorders>
            <w:noWrap w:val="0"/>
            <w:vAlign w:val="center"/>
          </w:tcPr>
          <w:p w14:paraId="2D3EC6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0.06</w:t>
            </w:r>
          </w:p>
        </w:tc>
        <w:tc>
          <w:tcPr>
            <w:tcW w:w="923" w:type="pct"/>
            <w:tcBorders>
              <w:tl2br w:val="nil"/>
              <w:tr2bl w:val="nil"/>
            </w:tcBorders>
            <w:noWrap w:val="0"/>
            <w:vAlign w:val="center"/>
          </w:tcPr>
          <w:p w14:paraId="604CA6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0.245 </w:t>
            </w:r>
          </w:p>
        </w:tc>
        <w:tc>
          <w:tcPr>
            <w:tcW w:w="924" w:type="pct"/>
            <w:tcBorders>
              <w:tl2br w:val="nil"/>
              <w:tr2bl w:val="nil"/>
            </w:tcBorders>
            <w:noWrap w:val="0"/>
            <w:vAlign w:val="center"/>
          </w:tcPr>
          <w:p w14:paraId="344029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05</w:t>
            </w:r>
          </w:p>
        </w:tc>
      </w:tr>
      <w:tr w14:paraId="060FE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4" w:type="pct"/>
            <w:vMerge w:val="continue"/>
            <w:tcBorders>
              <w:tl2br w:val="nil"/>
              <w:tr2bl w:val="nil"/>
            </w:tcBorders>
            <w:noWrap w:val="0"/>
            <w:vAlign w:val="center"/>
          </w:tcPr>
          <w:p w14:paraId="00F55B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10" w:type="pct"/>
            <w:tcBorders>
              <w:tl2br w:val="nil"/>
              <w:tr2bl w:val="nil"/>
            </w:tcBorders>
            <w:noWrap w:val="0"/>
            <w:vAlign w:val="center"/>
          </w:tcPr>
          <w:p w14:paraId="3182E3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第三次</w:t>
            </w:r>
          </w:p>
        </w:tc>
        <w:tc>
          <w:tcPr>
            <w:tcW w:w="923" w:type="pct"/>
            <w:tcBorders>
              <w:tl2br w:val="nil"/>
              <w:tr2bl w:val="nil"/>
            </w:tcBorders>
            <w:noWrap w:val="0"/>
            <w:vAlign w:val="center"/>
          </w:tcPr>
          <w:p w14:paraId="56ABD0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0.227 </w:t>
            </w:r>
          </w:p>
        </w:tc>
        <w:tc>
          <w:tcPr>
            <w:tcW w:w="923" w:type="pct"/>
            <w:tcBorders>
              <w:tl2br w:val="nil"/>
              <w:tr2bl w:val="nil"/>
            </w:tcBorders>
            <w:noWrap w:val="0"/>
            <w:vAlign w:val="center"/>
          </w:tcPr>
          <w:p w14:paraId="460BF5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0.07</w:t>
            </w:r>
          </w:p>
        </w:tc>
        <w:tc>
          <w:tcPr>
            <w:tcW w:w="923" w:type="pct"/>
            <w:tcBorders>
              <w:tl2br w:val="nil"/>
              <w:tr2bl w:val="nil"/>
            </w:tcBorders>
            <w:noWrap w:val="0"/>
            <w:vAlign w:val="center"/>
          </w:tcPr>
          <w:p w14:paraId="182E19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0.237 </w:t>
            </w:r>
          </w:p>
        </w:tc>
        <w:tc>
          <w:tcPr>
            <w:tcW w:w="924" w:type="pct"/>
            <w:tcBorders>
              <w:tl2br w:val="nil"/>
              <w:tr2bl w:val="nil"/>
            </w:tcBorders>
            <w:noWrap w:val="0"/>
            <w:vAlign w:val="center"/>
          </w:tcPr>
          <w:p w14:paraId="046646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08</w:t>
            </w:r>
          </w:p>
        </w:tc>
      </w:tr>
      <w:tr w14:paraId="5E66C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304" w:type="pct"/>
            <w:gridSpan w:val="2"/>
            <w:tcBorders>
              <w:tl2br w:val="nil"/>
              <w:tr2bl w:val="nil"/>
            </w:tcBorders>
            <w:noWrap w:val="0"/>
            <w:vAlign w:val="center"/>
          </w:tcPr>
          <w:p w14:paraId="7ABB71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单位</w:t>
            </w:r>
          </w:p>
        </w:tc>
        <w:tc>
          <w:tcPr>
            <w:tcW w:w="923" w:type="pct"/>
            <w:tcBorders>
              <w:tl2br w:val="nil"/>
              <w:tr2bl w:val="nil"/>
            </w:tcBorders>
            <w:noWrap w:val="0"/>
            <w:vAlign w:val="center"/>
          </w:tcPr>
          <w:p w14:paraId="05E0B7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mg/m3</w:t>
            </w:r>
          </w:p>
        </w:tc>
        <w:tc>
          <w:tcPr>
            <w:tcW w:w="923" w:type="pct"/>
            <w:tcBorders>
              <w:tl2br w:val="nil"/>
              <w:tr2bl w:val="nil"/>
            </w:tcBorders>
            <w:noWrap w:val="0"/>
            <w:vAlign w:val="center"/>
          </w:tcPr>
          <w:p w14:paraId="146259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mg/m3</w:t>
            </w:r>
          </w:p>
        </w:tc>
        <w:tc>
          <w:tcPr>
            <w:tcW w:w="923" w:type="pct"/>
            <w:tcBorders>
              <w:tl2br w:val="nil"/>
              <w:tr2bl w:val="nil"/>
            </w:tcBorders>
            <w:noWrap w:val="0"/>
            <w:vAlign w:val="center"/>
          </w:tcPr>
          <w:p w14:paraId="373B94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mg/m3</w:t>
            </w:r>
          </w:p>
        </w:tc>
        <w:tc>
          <w:tcPr>
            <w:tcW w:w="924" w:type="pct"/>
            <w:tcBorders>
              <w:tl2br w:val="nil"/>
              <w:tr2bl w:val="nil"/>
            </w:tcBorders>
            <w:noWrap w:val="0"/>
            <w:vAlign w:val="center"/>
          </w:tcPr>
          <w:p w14:paraId="65A28B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mg/m3</w:t>
            </w:r>
          </w:p>
        </w:tc>
      </w:tr>
    </w:tbl>
    <w:p w14:paraId="266C555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Cs/>
          <w:color w:val="auto"/>
          <w:sz w:val="21"/>
          <w:szCs w:val="21"/>
          <w:highlight w:val="none"/>
          <w:lang w:eastAsia="zh-CN"/>
        </w:rPr>
      </w:pPr>
      <w:r>
        <w:rPr>
          <w:rFonts w:hint="eastAsia" w:ascii="Times New Roman" w:hAnsi="Times New Roman"/>
          <w:bCs/>
          <w:color w:val="auto"/>
          <w:sz w:val="21"/>
          <w:szCs w:val="21"/>
          <w:highlight w:val="none"/>
        </w:rPr>
        <w:t>注：ND表示未检出；</w:t>
      </w:r>
      <w:r>
        <w:rPr>
          <w:rFonts w:hint="eastAsia" w:ascii="Times New Roman" w:hAnsi="Times New Roman"/>
          <w:bCs/>
          <w:color w:val="auto"/>
          <w:sz w:val="21"/>
          <w:szCs w:val="21"/>
          <w:highlight w:val="none"/>
          <w:lang w:val="en-US" w:eastAsia="zh-CN"/>
        </w:rPr>
        <w:t>氨</w:t>
      </w:r>
      <w:r>
        <w:rPr>
          <w:rFonts w:hint="eastAsia" w:ascii="Times New Roman" w:hAnsi="Times New Roman"/>
          <w:bCs/>
          <w:color w:val="auto"/>
          <w:sz w:val="21"/>
          <w:szCs w:val="21"/>
          <w:highlight w:val="none"/>
        </w:rPr>
        <w:t>检出限为</w:t>
      </w:r>
      <w:r>
        <w:rPr>
          <w:rFonts w:hint="eastAsia" w:ascii="Times New Roman" w:hAnsi="Times New Roman"/>
          <w:bCs/>
          <w:color w:val="auto"/>
          <w:sz w:val="21"/>
          <w:szCs w:val="21"/>
          <w:highlight w:val="none"/>
          <w:lang w:val="en-US" w:eastAsia="zh-CN"/>
        </w:rPr>
        <w:t>0.01</w:t>
      </w:r>
      <w:r>
        <w:rPr>
          <w:rFonts w:hint="eastAsia" w:ascii="Times New Roman" w:hAnsi="Times New Roman"/>
          <w:bCs/>
          <w:color w:val="auto"/>
          <w:sz w:val="21"/>
          <w:szCs w:val="21"/>
          <w:highlight w:val="none"/>
        </w:rPr>
        <w:t>mg/m</w:t>
      </w:r>
      <w:r>
        <w:rPr>
          <w:rFonts w:hint="eastAsia" w:ascii="Times New Roman" w:hAnsi="Times New Roman"/>
          <w:bCs/>
          <w:color w:val="auto"/>
          <w:sz w:val="21"/>
          <w:szCs w:val="21"/>
          <w:highlight w:val="none"/>
          <w:vertAlign w:val="superscript"/>
        </w:rPr>
        <w:t>3</w:t>
      </w:r>
    </w:p>
    <w:p w14:paraId="2059D45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3.1.4.2 废水污染防治措施及排放情况</w:t>
      </w:r>
    </w:p>
    <w:p w14:paraId="7A10A09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锅炉运行产生的废水全部回用于厂区给煤系统的洒水降尘、除灰渣系统的冷却降温，不外排。生活污水经市政污水管网排入八五二农场污水处理厂处理</w:t>
      </w:r>
      <w:r>
        <w:rPr>
          <w:rFonts w:hint="eastAsia" w:ascii="Times New Roman" w:hAnsi="Times New Roman" w:eastAsia="宋体" w:cs="Times New Roman"/>
          <w:color w:val="auto"/>
          <w:sz w:val="24"/>
          <w:szCs w:val="24"/>
          <w:highlight w:val="none"/>
          <w:lang w:val="en-US" w:eastAsia="zh-CN"/>
        </w:rPr>
        <w:t>，本项目生活污水各污染物排放浓度满足《污水综合排放标准》（GB8978-1996）三级标准要求。废水检测结果如下。</w:t>
      </w:r>
    </w:p>
    <w:p w14:paraId="4FE4F8FB">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表3.1-</w:t>
      </w:r>
      <w:r>
        <w:rPr>
          <w:rFonts w:hint="eastAsia" w:cs="Times New Roman"/>
          <w:b/>
          <w:bCs/>
          <w:color w:val="auto"/>
          <w:sz w:val="24"/>
          <w:szCs w:val="24"/>
          <w:lang w:val="en-US" w:eastAsia="zh-CN"/>
        </w:rPr>
        <w:t>8</w:t>
      </w:r>
      <w:r>
        <w:rPr>
          <w:rFonts w:hint="eastAsia" w:ascii="Times New Roman" w:hAnsi="Times New Roman" w:eastAsia="宋体" w:cs="Times New Roman"/>
          <w:b/>
          <w:bCs/>
          <w:color w:val="auto"/>
          <w:sz w:val="24"/>
          <w:szCs w:val="24"/>
          <w:lang w:val="en-US" w:eastAsia="zh-CN"/>
        </w:rPr>
        <w:t xml:space="preserve">  废水监测结果</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1161"/>
        <w:gridCol w:w="1242"/>
        <w:gridCol w:w="913"/>
        <w:gridCol w:w="913"/>
        <w:gridCol w:w="913"/>
        <w:gridCol w:w="913"/>
        <w:gridCol w:w="928"/>
        <w:gridCol w:w="795"/>
      </w:tblGrid>
      <w:tr w14:paraId="0681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442" w:type="pct"/>
            <w:vMerge w:val="restart"/>
            <w:noWrap w:val="0"/>
            <w:vAlign w:val="center"/>
          </w:tcPr>
          <w:p w14:paraId="5B23F4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w:t>
            </w:r>
          </w:p>
          <w:p w14:paraId="649831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点位</w:t>
            </w:r>
          </w:p>
        </w:tc>
        <w:tc>
          <w:tcPr>
            <w:tcW w:w="625" w:type="pct"/>
            <w:vMerge w:val="restart"/>
            <w:noWrap w:val="0"/>
            <w:vAlign w:val="center"/>
          </w:tcPr>
          <w:p w14:paraId="113FD8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w:t>
            </w:r>
          </w:p>
          <w:p w14:paraId="3A56DB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日期</w:t>
            </w:r>
          </w:p>
        </w:tc>
        <w:tc>
          <w:tcPr>
            <w:tcW w:w="736" w:type="pct"/>
            <w:noWrap w:val="0"/>
            <w:vAlign w:val="center"/>
          </w:tcPr>
          <w:p w14:paraId="21A695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检测项目</w:t>
            </w:r>
          </w:p>
        </w:tc>
        <w:tc>
          <w:tcPr>
            <w:tcW w:w="2723" w:type="pct"/>
            <w:gridSpan w:val="5"/>
            <w:noWrap w:val="0"/>
            <w:vAlign w:val="center"/>
          </w:tcPr>
          <w:p w14:paraId="2465E5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w:t>
            </w:r>
          </w:p>
        </w:tc>
        <w:tc>
          <w:tcPr>
            <w:tcW w:w="473" w:type="pct"/>
            <w:vMerge w:val="restart"/>
            <w:noWrap w:val="0"/>
            <w:vAlign w:val="center"/>
          </w:tcPr>
          <w:p w14:paraId="6FD470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单位</w:t>
            </w:r>
          </w:p>
        </w:tc>
      </w:tr>
      <w:tr w14:paraId="6B043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442" w:type="pct"/>
            <w:vMerge w:val="continue"/>
            <w:noWrap w:val="0"/>
            <w:vAlign w:val="center"/>
          </w:tcPr>
          <w:p w14:paraId="1110FC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center"/>
          </w:tcPr>
          <w:p w14:paraId="172133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46BC86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检测频次</w:t>
            </w:r>
          </w:p>
        </w:tc>
        <w:tc>
          <w:tcPr>
            <w:tcW w:w="543" w:type="pct"/>
            <w:noWrap w:val="0"/>
            <w:vAlign w:val="center"/>
          </w:tcPr>
          <w:p w14:paraId="0AE705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第一次</w:t>
            </w:r>
          </w:p>
        </w:tc>
        <w:tc>
          <w:tcPr>
            <w:tcW w:w="543" w:type="pct"/>
            <w:noWrap w:val="0"/>
            <w:vAlign w:val="center"/>
          </w:tcPr>
          <w:p w14:paraId="504E8A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w:t>
            </w:r>
            <w:r>
              <w:rPr>
                <w:rFonts w:hint="eastAsia" w:ascii="Times New Roman" w:hAnsi="Times New Roman" w:cs="Times New Roman"/>
                <w:color w:val="auto"/>
                <w:sz w:val="21"/>
                <w:szCs w:val="21"/>
                <w:highlight w:val="none"/>
                <w:lang w:val="en-US" w:eastAsia="zh-CN"/>
              </w:rPr>
              <w:t>二</w:t>
            </w:r>
            <w:r>
              <w:rPr>
                <w:rFonts w:hint="default" w:ascii="Times New Roman" w:hAnsi="Times New Roman" w:cs="Times New Roman"/>
                <w:color w:val="auto"/>
                <w:sz w:val="21"/>
                <w:szCs w:val="21"/>
                <w:highlight w:val="none"/>
                <w:lang w:val="en-US" w:eastAsia="zh-CN"/>
              </w:rPr>
              <w:t>次</w:t>
            </w:r>
          </w:p>
        </w:tc>
        <w:tc>
          <w:tcPr>
            <w:tcW w:w="543" w:type="pct"/>
            <w:noWrap w:val="0"/>
            <w:vAlign w:val="center"/>
          </w:tcPr>
          <w:p w14:paraId="070F8E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w:t>
            </w:r>
            <w:r>
              <w:rPr>
                <w:rFonts w:hint="eastAsia" w:ascii="Times New Roman" w:hAnsi="Times New Roman" w:cs="Times New Roman"/>
                <w:color w:val="auto"/>
                <w:sz w:val="21"/>
                <w:szCs w:val="21"/>
                <w:highlight w:val="none"/>
                <w:lang w:val="en-US" w:eastAsia="zh-CN"/>
              </w:rPr>
              <w:t>三</w:t>
            </w:r>
            <w:r>
              <w:rPr>
                <w:rFonts w:hint="default" w:ascii="Times New Roman" w:hAnsi="Times New Roman" w:cs="Times New Roman"/>
                <w:color w:val="auto"/>
                <w:sz w:val="21"/>
                <w:szCs w:val="21"/>
                <w:highlight w:val="none"/>
                <w:lang w:val="en-US" w:eastAsia="zh-CN"/>
              </w:rPr>
              <w:t>次</w:t>
            </w:r>
          </w:p>
        </w:tc>
        <w:tc>
          <w:tcPr>
            <w:tcW w:w="543" w:type="pct"/>
            <w:noWrap w:val="0"/>
            <w:vAlign w:val="center"/>
          </w:tcPr>
          <w:p w14:paraId="0CC990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第</w:t>
            </w:r>
            <w:r>
              <w:rPr>
                <w:rFonts w:hint="eastAsia" w:ascii="Times New Roman" w:hAnsi="Times New Roman" w:cs="Times New Roman"/>
                <w:color w:val="auto"/>
                <w:sz w:val="21"/>
                <w:szCs w:val="21"/>
                <w:highlight w:val="none"/>
                <w:lang w:val="en-US" w:eastAsia="zh-CN"/>
              </w:rPr>
              <w:t>四</w:t>
            </w:r>
            <w:r>
              <w:rPr>
                <w:rFonts w:hint="default" w:ascii="Times New Roman" w:hAnsi="Times New Roman" w:cs="Times New Roman"/>
                <w:color w:val="auto"/>
                <w:sz w:val="21"/>
                <w:szCs w:val="21"/>
                <w:highlight w:val="none"/>
                <w:lang w:val="en-US" w:eastAsia="zh-CN"/>
              </w:rPr>
              <w:t>次</w:t>
            </w:r>
          </w:p>
        </w:tc>
        <w:tc>
          <w:tcPr>
            <w:tcW w:w="548" w:type="pct"/>
            <w:noWrap w:val="0"/>
            <w:vAlign w:val="center"/>
          </w:tcPr>
          <w:p w14:paraId="0A96BF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均值</w:t>
            </w:r>
          </w:p>
        </w:tc>
        <w:tc>
          <w:tcPr>
            <w:tcW w:w="473" w:type="pct"/>
            <w:vMerge w:val="continue"/>
            <w:noWrap w:val="0"/>
            <w:vAlign w:val="center"/>
          </w:tcPr>
          <w:p w14:paraId="663BD2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3E1CA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restart"/>
            <w:noWrap w:val="0"/>
            <w:vAlign w:val="center"/>
          </w:tcPr>
          <w:p w14:paraId="7EB0E0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废水总排口</w:t>
            </w:r>
          </w:p>
        </w:tc>
        <w:tc>
          <w:tcPr>
            <w:tcW w:w="625" w:type="pct"/>
            <w:vMerge w:val="restart"/>
            <w:noWrap w:val="0"/>
            <w:vAlign w:val="center"/>
          </w:tcPr>
          <w:p w14:paraId="171F2B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6.01.05</w:t>
            </w:r>
          </w:p>
        </w:tc>
        <w:tc>
          <w:tcPr>
            <w:tcW w:w="736" w:type="pct"/>
            <w:noWrap w:val="0"/>
            <w:vAlign w:val="center"/>
          </w:tcPr>
          <w:p w14:paraId="59B91A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悬浮物</w:t>
            </w:r>
          </w:p>
        </w:tc>
        <w:tc>
          <w:tcPr>
            <w:tcW w:w="543" w:type="pct"/>
            <w:noWrap w:val="0"/>
            <w:vAlign w:val="center"/>
          </w:tcPr>
          <w:p w14:paraId="58B118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19</w:t>
            </w:r>
          </w:p>
        </w:tc>
        <w:tc>
          <w:tcPr>
            <w:tcW w:w="543" w:type="pct"/>
            <w:noWrap w:val="0"/>
            <w:vAlign w:val="center"/>
          </w:tcPr>
          <w:p w14:paraId="001FAF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22</w:t>
            </w:r>
          </w:p>
        </w:tc>
        <w:tc>
          <w:tcPr>
            <w:tcW w:w="543" w:type="pct"/>
            <w:noWrap w:val="0"/>
            <w:vAlign w:val="center"/>
          </w:tcPr>
          <w:p w14:paraId="334C21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16</w:t>
            </w:r>
          </w:p>
        </w:tc>
        <w:tc>
          <w:tcPr>
            <w:tcW w:w="543" w:type="pct"/>
            <w:noWrap w:val="0"/>
            <w:vAlign w:val="center"/>
          </w:tcPr>
          <w:p w14:paraId="6D8DDA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25</w:t>
            </w:r>
          </w:p>
        </w:tc>
        <w:tc>
          <w:tcPr>
            <w:tcW w:w="548" w:type="pct"/>
            <w:noWrap w:val="0"/>
            <w:vAlign w:val="center"/>
          </w:tcPr>
          <w:p w14:paraId="61401F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473" w:type="pct"/>
            <w:noWrap w:val="0"/>
            <w:vAlign w:val="center"/>
          </w:tcPr>
          <w:p w14:paraId="279F5F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r w14:paraId="3DA7E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center"/>
          </w:tcPr>
          <w:p w14:paraId="535CD0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center"/>
          </w:tcPr>
          <w:p w14:paraId="553000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181726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化学需氧量</w:t>
            </w:r>
          </w:p>
        </w:tc>
        <w:tc>
          <w:tcPr>
            <w:tcW w:w="543" w:type="pct"/>
            <w:noWrap w:val="0"/>
            <w:vAlign w:val="center"/>
          </w:tcPr>
          <w:p w14:paraId="52426A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22</w:t>
            </w:r>
          </w:p>
        </w:tc>
        <w:tc>
          <w:tcPr>
            <w:tcW w:w="543" w:type="pct"/>
            <w:noWrap w:val="0"/>
            <w:vAlign w:val="center"/>
          </w:tcPr>
          <w:p w14:paraId="783278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28</w:t>
            </w:r>
          </w:p>
        </w:tc>
        <w:tc>
          <w:tcPr>
            <w:tcW w:w="543" w:type="pct"/>
            <w:noWrap w:val="0"/>
            <w:vAlign w:val="center"/>
          </w:tcPr>
          <w:p w14:paraId="40581B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17</w:t>
            </w:r>
          </w:p>
        </w:tc>
        <w:tc>
          <w:tcPr>
            <w:tcW w:w="543" w:type="pct"/>
            <w:noWrap w:val="0"/>
            <w:vAlign w:val="center"/>
          </w:tcPr>
          <w:p w14:paraId="6203F0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35</w:t>
            </w:r>
          </w:p>
        </w:tc>
        <w:tc>
          <w:tcPr>
            <w:tcW w:w="548" w:type="pct"/>
            <w:noWrap w:val="0"/>
            <w:vAlign w:val="center"/>
          </w:tcPr>
          <w:p w14:paraId="7BD7BE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w:t>
            </w:r>
          </w:p>
        </w:tc>
        <w:tc>
          <w:tcPr>
            <w:tcW w:w="473" w:type="pct"/>
            <w:noWrap w:val="0"/>
            <w:vAlign w:val="center"/>
          </w:tcPr>
          <w:p w14:paraId="24A41B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r w14:paraId="09CEC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center"/>
          </w:tcPr>
          <w:p w14:paraId="4A82C3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center"/>
          </w:tcPr>
          <w:p w14:paraId="797C83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3CAFEE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氨氮</w:t>
            </w:r>
          </w:p>
        </w:tc>
        <w:tc>
          <w:tcPr>
            <w:tcW w:w="543" w:type="pct"/>
            <w:noWrap w:val="0"/>
            <w:vAlign w:val="center"/>
          </w:tcPr>
          <w:p w14:paraId="672A80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3.02</w:t>
            </w:r>
          </w:p>
        </w:tc>
        <w:tc>
          <w:tcPr>
            <w:tcW w:w="543" w:type="pct"/>
            <w:noWrap w:val="0"/>
            <w:vAlign w:val="center"/>
          </w:tcPr>
          <w:p w14:paraId="6A49B5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3.11</w:t>
            </w:r>
          </w:p>
        </w:tc>
        <w:tc>
          <w:tcPr>
            <w:tcW w:w="543" w:type="pct"/>
            <w:noWrap w:val="0"/>
            <w:vAlign w:val="center"/>
          </w:tcPr>
          <w:p w14:paraId="7B7ED0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2.86</w:t>
            </w:r>
          </w:p>
        </w:tc>
        <w:tc>
          <w:tcPr>
            <w:tcW w:w="543" w:type="pct"/>
            <w:noWrap w:val="0"/>
            <w:vAlign w:val="center"/>
          </w:tcPr>
          <w:p w14:paraId="3238F9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3.20</w:t>
            </w:r>
          </w:p>
        </w:tc>
        <w:tc>
          <w:tcPr>
            <w:tcW w:w="548" w:type="pct"/>
            <w:noWrap w:val="0"/>
            <w:vAlign w:val="center"/>
          </w:tcPr>
          <w:p w14:paraId="2D0F28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3.05</w:t>
            </w:r>
          </w:p>
        </w:tc>
        <w:tc>
          <w:tcPr>
            <w:tcW w:w="473" w:type="pct"/>
            <w:noWrap w:val="0"/>
            <w:vAlign w:val="center"/>
          </w:tcPr>
          <w:p w14:paraId="5E24EB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r w14:paraId="7655C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center"/>
          </w:tcPr>
          <w:p w14:paraId="244076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center"/>
          </w:tcPr>
          <w:p w14:paraId="0D6EA9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22F93A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pH</w:t>
            </w:r>
            <w:r>
              <w:rPr>
                <w:rFonts w:hint="eastAsia" w:ascii="Times New Roman" w:hAnsi="Times New Roman" w:cs="Times New Roman"/>
                <w:color w:val="auto"/>
                <w:sz w:val="21"/>
                <w:szCs w:val="21"/>
                <w:highlight w:val="none"/>
                <w:lang w:val="en-US" w:eastAsia="zh-CN"/>
              </w:rPr>
              <w:t>值</w:t>
            </w:r>
          </w:p>
        </w:tc>
        <w:tc>
          <w:tcPr>
            <w:tcW w:w="543" w:type="pct"/>
            <w:noWrap w:val="0"/>
            <w:vAlign w:val="center"/>
          </w:tcPr>
          <w:p w14:paraId="716944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7.3</w:t>
            </w:r>
          </w:p>
        </w:tc>
        <w:tc>
          <w:tcPr>
            <w:tcW w:w="543" w:type="pct"/>
            <w:noWrap w:val="0"/>
            <w:vAlign w:val="center"/>
          </w:tcPr>
          <w:p w14:paraId="0EE24E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7.2</w:t>
            </w:r>
          </w:p>
        </w:tc>
        <w:tc>
          <w:tcPr>
            <w:tcW w:w="543" w:type="pct"/>
            <w:noWrap w:val="0"/>
            <w:vAlign w:val="center"/>
          </w:tcPr>
          <w:p w14:paraId="27F7B1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7.4</w:t>
            </w:r>
          </w:p>
        </w:tc>
        <w:tc>
          <w:tcPr>
            <w:tcW w:w="543" w:type="pct"/>
            <w:noWrap w:val="0"/>
            <w:vAlign w:val="center"/>
          </w:tcPr>
          <w:p w14:paraId="1A0801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7.3</w:t>
            </w:r>
          </w:p>
        </w:tc>
        <w:tc>
          <w:tcPr>
            <w:tcW w:w="548" w:type="pct"/>
            <w:noWrap w:val="0"/>
            <w:vAlign w:val="center"/>
          </w:tcPr>
          <w:p w14:paraId="22C34E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w:t>
            </w:r>
          </w:p>
        </w:tc>
        <w:tc>
          <w:tcPr>
            <w:tcW w:w="473" w:type="pct"/>
            <w:noWrap w:val="0"/>
            <w:vAlign w:val="center"/>
          </w:tcPr>
          <w:p w14:paraId="21C22F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无量纲</w:t>
            </w:r>
          </w:p>
        </w:tc>
      </w:tr>
      <w:tr w14:paraId="60260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center"/>
          </w:tcPr>
          <w:p w14:paraId="54E784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center"/>
          </w:tcPr>
          <w:p w14:paraId="558DF3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1C1588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生化需氧量</w:t>
            </w:r>
          </w:p>
        </w:tc>
        <w:tc>
          <w:tcPr>
            <w:tcW w:w="543" w:type="pct"/>
            <w:noWrap w:val="0"/>
            <w:vAlign w:val="center"/>
          </w:tcPr>
          <w:p w14:paraId="5CA18A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7.0</w:t>
            </w:r>
          </w:p>
        </w:tc>
        <w:tc>
          <w:tcPr>
            <w:tcW w:w="543" w:type="pct"/>
            <w:noWrap w:val="0"/>
            <w:vAlign w:val="center"/>
          </w:tcPr>
          <w:p w14:paraId="17D5D9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9.2</w:t>
            </w:r>
          </w:p>
        </w:tc>
        <w:tc>
          <w:tcPr>
            <w:tcW w:w="543" w:type="pct"/>
            <w:noWrap w:val="0"/>
            <w:vAlign w:val="center"/>
          </w:tcPr>
          <w:p w14:paraId="3E5A34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543" w:type="pct"/>
            <w:noWrap w:val="0"/>
            <w:vAlign w:val="center"/>
          </w:tcPr>
          <w:p w14:paraId="5A8729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10.5</w:t>
            </w:r>
          </w:p>
        </w:tc>
        <w:tc>
          <w:tcPr>
            <w:tcW w:w="548" w:type="pct"/>
            <w:noWrap w:val="0"/>
            <w:vAlign w:val="center"/>
          </w:tcPr>
          <w:p w14:paraId="527FD5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p>
        </w:tc>
        <w:tc>
          <w:tcPr>
            <w:tcW w:w="473" w:type="pct"/>
            <w:noWrap w:val="0"/>
            <w:vAlign w:val="center"/>
          </w:tcPr>
          <w:p w14:paraId="4D0B6F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r w14:paraId="7A5E6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center"/>
          </w:tcPr>
          <w:p w14:paraId="53F260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restart"/>
            <w:noWrap w:val="0"/>
            <w:vAlign w:val="center"/>
          </w:tcPr>
          <w:p w14:paraId="723A11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6.01.06</w:t>
            </w:r>
          </w:p>
        </w:tc>
        <w:tc>
          <w:tcPr>
            <w:tcW w:w="736" w:type="pct"/>
            <w:noWrap w:val="0"/>
            <w:vAlign w:val="center"/>
          </w:tcPr>
          <w:p w14:paraId="26763C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悬浮物</w:t>
            </w:r>
          </w:p>
        </w:tc>
        <w:tc>
          <w:tcPr>
            <w:tcW w:w="543" w:type="pct"/>
            <w:noWrap w:val="0"/>
            <w:vAlign w:val="center"/>
          </w:tcPr>
          <w:p w14:paraId="0769AC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w:t>
            </w:r>
          </w:p>
        </w:tc>
        <w:tc>
          <w:tcPr>
            <w:tcW w:w="543" w:type="pct"/>
            <w:noWrap w:val="0"/>
            <w:vAlign w:val="center"/>
          </w:tcPr>
          <w:p w14:paraId="334A04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24</w:t>
            </w:r>
          </w:p>
        </w:tc>
        <w:tc>
          <w:tcPr>
            <w:tcW w:w="543" w:type="pct"/>
            <w:noWrap w:val="0"/>
            <w:vAlign w:val="center"/>
          </w:tcPr>
          <w:p w14:paraId="24C766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21</w:t>
            </w:r>
          </w:p>
        </w:tc>
        <w:tc>
          <w:tcPr>
            <w:tcW w:w="543" w:type="pct"/>
            <w:noWrap w:val="0"/>
            <w:vAlign w:val="center"/>
          </w:tcPr>
          <w:p w14:paraId="0EBCFF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26</w:t>
            </w:r>
          </w:p>
        </w:tc>
        <w:tc>
          <w:tcPr>
            <w:tcW w:w="548" w:type="pct"/>
            <w:noWrap w:val="0"/>
            <w:vAlign w:val="center"/>
          </w:tcPr>
          <w:p w14:paraId="5A8E43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w:t>
            </w:r>
          </w:p>
        </w:tc>
        <w:tc>
          <w:tcPr>
            <w:tcW w:w="473" w:type="pct"/>
            <w:noWrap w:val="0"/>
            <w:vAlign w:val="center"/>
          </w:tcPr>
          <w:p w14:paraId="5AD70C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r w14:paraId="2D573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top"/>
          </w:tcPr>
          <w:p w14:paraId="1DF0A7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top"/>
          </w:tcPr>
          <w:p w14:paraId="0CEFB7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4F8B95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化学需氧量</w:t>
            </w:r>
          </w:p>
        </w:tc>
        <w:tc>
          <w:tcPr>
            <w:tcW w:w="543" w:type="pct"/>
            <w:noWrap w:val="0"/>
            <w:vAlign w:val="center"/>
          </w:tcPr>
          <w:p w14:paraId="3DDFEF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22</w:t>
            </w:r>
          </w:p>
        </w:tc>
        <w:tc>
          <w:tcPr>
            <w:tcW w:w="543" w:type="pct"/>
            <w:noWrap w:val="0"/>
            <w:vAlign w:val="center"/>
          </w:tcPr>
          <w:p w14:paraId="13228C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32</w:t>
            </w:r>
          </w:p>
        </w:tc>
        <w:tc>
          <w:tcPr>
            <w:tcW w:w="543" w:type="pct"/>
            <w:noWrap w:val="0"/>
            <w:vAlign w:val="center"/>
          </w:tcPr>
          <w:p w14:paraId="48869A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26</w:t>
            </w:r>
          </w:p>
        </w:tc>
        <w:tc>
          <w:tcPr>
            <w:tcW w:w="543" w:type="pct"/>
            <w:noWrap w:val="0"/>
            <w:vAlign w:val="center"/>
          </w:tcPr>
          <w:p w14:paraId="757231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c>
          <w:tcPr>
            <w:tcW w:w="548" w:type="pct"/>
            <w:noWrap w:val="0"/>
            <w:vAlign w:val="center"/>
          </w:tcPr>
          <w:p w14:paraId="038C78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473" w:type="pct"/>
            <w:noWrap w:val="0"/>
            <w:vAlign w:val="center"/>
          </w:tcPr>
          <w:p w14:paraId="303A64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r w14:paraId="51BBF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top"/>
          </w:tcPr>
          <w:p w14:paraId="1218AA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top"/>
          </w:tcPr>
          <w:p w14:paraId="7539A7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744D6B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氨氮</w:t>
            </w:r>
          </w:p>
        </w:tc>
        <w:tc>
          <w:tcPr>
            <w:tcW w:w="543" w:type="pct"/>
            <w:noWrap w:val="0"/>
            <w:vAlign w:val="center"/>
          </w:tcPr>
          <w:p w14:paraId="5AD8DB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543" w:type="pct"/>
            <w:noWrap w:val="0"/>
            <w:vAlign w:val="center"/>
          </w:tcPr>
          <w:p w14:paraId="72B217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3.12</w:t>
            </w:r>
          </w:p>
        </w:tc>
        <w:tc>
          <w:tcPr>
            <w:tcW w:w="543" w:type="pct"/>
            <w:noWrap w:val="0"/>
            <w:vAlign w:val="center"/>
          </w:tcPr>
          <w:p w14:paraId="755DE6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3.05</w:t>
            </w:r>
          </w:p>
        </w:tc>
        <w:tc>
          <w:tcPr>
            <w:tcW w:w="543" w:type="pct"/>
            <w:noWrap w:val="0"/>
            <w:vAlign w:val="center"/>
          </w:tcPr>
          <w:p w14:paraId="01C147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3.24</w:t>
            </w:r>
          </w:p>
        </w:tc>
        <w:tc>
          <w:tcPr>
            <w:tcW w:w="548" w:type="pct"/>
            <w:noWrap w:val="0"/>
            <w:vAlign w:val="center"/>
          </w:tcPr>
          <w:p w14:paraId="1704D8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3.10</w:t>
            </w:r>
          </w:p>
        </w:tc>
        <w:tc>
          <w:tcPr>
            <w:tcW w:w="473" w:type="pct"/>
            <w:noWrap w:val="0"/>
            <w:vAlign w:val="center"/>
          </w:tcPr>
          <w:p w14:paraId="25D8EE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r w14:paraId="6F26D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top"/>
          </w:tcPr>
          <w:p w14:paraId="6AD6F9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top"/>
          </w:tcPr>
          <w:p w14:paraId="471FCB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136C85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pH</w:t>
            </w:r>
            <w:r>
              <w:rPr>
                <w:rFonts w:hint="eastAsia" w:ascii="Times New Roman" w:hAnsi="Times New Roman" w:cs="Times New Roman"/>
                <w:color w:val="auto"/>
                <w:sz w:val="21"/>
                <w:szCs w:val="21"/>
                <w:highlight w:val="none"/>
                <w:lang w:val="en-US" w:eastAsia="zh-CN"/>
              </w:rPr>
              <w:t>值</w:t>
            </w:r>
          </w:p>
        </w:tc>
        <w:tc>
          <w:tcPr>
            <w:tcW w:w="543" w:type="pct"/>
            <w:noWrap w:val="0"/>
            <w:vAlign w:val="center"/>
          </w:tcPr>
          <w:p w14:paraId="413579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7.2</w:t>
            </w:r>
          </w:p>
        </w:tc>
        <w:tc>
          <w:tcPr>
            <w:tcW w:w="543" w:type="pct"/>
            <w:noWrap w:val="0"/>
            <w:vAlign w:val="center"/>
          </w:tcPr>
          <w:p w14:paraId="59C8E6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7.4</w:t>
            </w:r>
          </w:p>
        </w:tc>
        <w:tc>
          <w:tcPr>
            <w:tcW w:w="543" w:type="pct"/>
            <w:noWrap w:val="0"/>
            <w:vAlign w:val="center"/>
          </w:tcPr>
          <w:p w14:paraId="2407A9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7.1</w:t>
            </w:r>
          </w:p>
        </w:tc>
        <w:tc>
          <w:tcPr>
            <w:tcW w:w="543" w:type="pct"/>
            <w:noWrap w:val="0"/>
            <w:vAlign w:val="center"/>
          </w:tcPr>
          <w:p w14:paraId="7474EC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7.2</w:t>
            </w:r>
          </w:p>
        </w:tc>
        <w:tc>
          <w:tcPr>
            <w:tcW w:w="548" w:type="pct"/>
            <w:noWrap w:val="0"/>
            <w:vAlign w:val="center"/>
          </w:tcPr>
          <w:p w14:paraId="717E20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7.2</w:t>
            </w:r>
          </w:p>
        </w:tc>
        <w:tc>
          <w:tcPr>
            <w:tcW w:w="473" w:type="pct"/>
            <w:noWrap w:val="0"/>
            <w:vAlign w:val="center"/>
          </w:tcPr>
          <w:p w14:paraId="6C2E25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无量纲</w:t>
            </w:r>
          </w:p>
        </w:tc>
      </w:tr>
      <w:tr w14:paraId="3FB06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2" w:type="pct"/>
            <w:vMerge w:val="continue"/>
            <w:noWrap w:val="0"/>
            <w:vAlign w:val="top"/>
          </w:tcPr>
          <w:p w14:paraId="39FEF8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5" w:type="pct"/>
            <w:vMerge w:val="continue"/>
            <w:noWrap w:val="0"/>
            <w:vAlign w:val="top"/>
          </w:tcPr>
          <w:p w14:paraId="204AE4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36" w:type="pct"/>
            <w:noWrap w:val="0"/>
            <w:vAlign w:val="center"/>
          </w:tcPr>
          <w:p w14:paraId="7F5990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生化需氧量</w:t>
            </w:r>
          </w:p>
        </w:tc>
        <w:tc>
          <w:tcPr>
            <w:tcW w:w="543" w:type="pct"/>
            <w:noWrap w:val="0"/>
            <w:vAlign w:val="center"/>
          </w:tcPr>
          <w:p w14:paraId="2F64D2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7.0</w:t>
            </w:r>
          </w:p>
        </w:tc>
        <w:tc>
          <w:tcPr>
            <w:tcW w:w="543" w:type="pct"/>
            <w:noWrap w:val="0"/>
            <w:vAlign w:val="center"/>
          </w:tcPr>
          <w:p w14:paraId="38C143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10.6</w:t>
            </w:r>
          </w:p>
        </w:tc>
        <w:tc>
          <w:tcPr>
            <w:tcW w:w="543" w:type="pct"/>
            <w:noWrap w:val="0"/>
            <w:vAlign w:val="center"/>
          </w:tcPr>
          <w:p w14:paraId="457010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8.3</w:t>
            </w:r>
          </w:p>
        </w:tc>
        <w:tc>
          <w:tcPr>
            <w:tcW w:w="543" w:type="pct"/>
            <w:noWrap w:val="0"/>
            <w:vAlign w:val="center"/>
          </w:tcPr>
          <w:p w14:paraId="6F48C1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12.0</w:t>
            </w:r>
          </w:p>
        </w:tc>
        <w:tc>
          <w:tcPr>
            <w:tcW w:w="548" w:type="pct"/>
            <w:noWrap w:val="0"/>
            <w:vAlign w:val="center"/>
          </w:tcPr>
          <w:p w14:paraId="15FAA1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9.5</w:t>
            </w:r>
          </w:p>
        </w:tc>
        <w:tc>
          <w:tcPr>
            <w:tcW w:w="473" w:type="pct"/>
            <w:noWrap w:val="0"/>
            <w:vAlign w:val="center"/>
          </w:tcPr>
          <w:p w14:paraId="6E19BD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mg/L</w:t>
            </w:r>
          </w:p>
        </w:tc>
      </w:tr>
    </w:tbl>
    <w:p w14:paraId="359ACA34">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3.1.4.3 噪声污染防治措施及排放情况</w:t>
      </w:r>
    </w:p>
    <w:p w14:paraId="4D61DC9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现有工程主要噪声源为锅炉风机</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水泵等设备运转时产生的噪声。采取安装低噪声设备</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基础减</w:t>
      </w:r>
      <w:r>
        <w:rPr>
          <w:rFonts w:hint="eastAsia" w:ascii="Times New Roman" w:hAnsi="Times New Roman" w:eastAsia="宋体" w:cs="Times New Roman"/>
          <w:color w:val="auto"/>
          <w:sz w:val="24"/>
          <w:szCs w:val="24"/>
          <w:highlight w:val="none"/>
          <w:lang w:val="en-US" w:eastAsia="zh-CN"/>
        </w:rPr>
        <w:t>振，</w:t>
      </w:r>
      <w:r>
        <w:rPr>
          <w:rFonts w:hint="default" w:ascii="Times New Roman" w:hAnsi="Times New Roman" w:eastAsia="宋体" w:cs="Times New Roman"/>
          <w:color w:val="auto"/>
          <w:sz w:val="24"/>
          <w:szCs w:val="24"/>
          <w:highlight w:val="none"/>
          <w:lang w:val="en-US" w:eastAsia="zh-CN"/>
        </w:rPr>
        <w:t>设备间隔声等措施降噪。</w:t>
      </w:r>
      <w:r>
        <w:rPr>
          <w:rFonts w:hint="eastAsia" w:ascii="Times New Roman" w:hAnsi="Times New Roman" w:eastAsia="宋体" w:cs="Times New Roman"/>
          <w:color w:val="auto"/>
          <w:sz w:val="24"/>
          <w:szCs w:val="24"/>
          <w:highlight w:val="none"/>
          <w:lang w:val="en-US" w:eastAsia="zh-CN"/>
        </w:rPr>
        <w:t>定期对燃煤转运车辆进行维护保养，降低转运车辆噪声，且煤场为全封闭煤库，可减小燃煤转运噪声对周边居民的影响。根据《黑龙江省八五二农场保障性安居工程基础设施配套供热建设项目竣工环境保护验收监测报告》项目厂界</w:t>
      </w:r>
      <w:r>
        <w:rPr>
          <w:rFonts w:hint="default" w:ascii="Times New Roman" w:hAnsi="Times New Roman" w:eastAsia="宋体" w:cs="Times New Roman"/>
          <w:color w:val="auto"/>
          <w:sz w:val="24"/>
          <w:szCs w:val="24"/>
          <w:highlight w:val="none"/>
          <w:lang w:val="en-US" w:eastAsia="zh-CN"/>
        </w:rPr>
        <w:t>昼间噪声在</w:t>
      </w:r>
      <w:r>
        <w:rPr>
          <w:rFonts w:hint="eastAsia" w:ascii="Times New Roman" w:hAnsi="Times New Roman" w:eastAsia="宋体" w:cs="Times New Roman"/>
          <w:color w:val="auto"/>
          <w:sz w:val="24"/>
          <w:szCs w:val="24"/>
          <w:highlight w:val="none"/>
          <w:lang w:val="en-US" w:eastAsia="zh-CN"/>
        </w:rPr>
        <w:t>52~55</w:t>
      </w:r>
      <w:r>
        <w:rPr>
          <w:rFonts w:hint="default" w:ascii="Times New Roman" w:hAnsi="Times New Roman" w:eastAsia="宋体" w:cs="Times New Roman"/>
          <w:color w:val="auto"/>
          <w:sz w:val="24"/>
          <w:szCs w:val="24"/>
          <w:highlight w:val="none"/>
          <w:lang w:val="en-US" w:eastAsia="zh-CN"/>
        </w:rPr>
        <w:t>dB（A）</w:t>
      </w:r>
      <w:r>
        <w:rPr>
          <w:rFonts w:hint="eastAsia" w:ascii="Times New Roman" w:hAnsi="Times New Roman" w:eastAsia="宋体" w:cs="Times New Roman"/>
          <w:color w:val="auto"/>
          <w:sz w:val="24"/>
          <w:szCs w:val="24"/>
          <w:highlight w:val="none"/>
          <w:lang w:val="en-US" w:eastAsia="zh-CN"/>
        </w:rPr>
        <w:t>间，夜间噪声在43~46</w:t>
      </w:r>
      <w:r>
        <w:rPr>
          <w:rFonts w:hint="default" w:ascii="Times New Roman" w:hAnsi="Times New Roman" w:eastAsia="宋体" w:cs="Times New Roman"/>
          <w:color w:val="auto"/>
          <w:sz w:val="24"/>
          <w:szCs w:val="24"/>
          <w:highlight w:val="none"/>
          <w:lang w:val="en-US" w:eastAsia="zh-CN"/>
        </w:rPr>
        <w:t>dB（A）</w:t>
      </w:r>
      <w:r>
        <w:rPr>
          <w:rFonts w:hint="eastAsia" w:ascii="Times New Roman" w:hAnsi="Times New Roman" w:eastAsia="宋体" w:cs="Times New Roman"/>
          <w:color w:val="auto"/>
          <w:sz w:val="24"/>
          <w:szCs w:val="24"/>
          <w:highlight w:val="none"/>
          <w:lang w:val="en-US" w:eastAsia="zh-CN"/>
        </w:rPr>
        <w:t>间均符合《工业企业厂界环境噪声排放标准》(GB 12348-2008)中2类标准要求。</w:t>
      </w:r>
    </w:p>
    <w:p w14:paraId="1AE01AB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厂界噪声监测结果详见下表。</w:t>
      </w:r>
    </w:p>
    <w:p w14:paraId="4C35D01E">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5407A302">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086A15D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4054635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0612319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表3.1-</w:t>
      </w:r>
      <w:r>
        <w:rPr>
          <w:rFonts w:hint="eastAsia" w:cs="Times New Roman"/>
          <w:b/>
          <w:bCs/>
          <w:color w:val="auto"/>
          <w:sz w:val="24"/>
          <w:szCs w:val="24"/>
          <w:lang w:val="en-US" w:eastAsia="zh-CN"/>
        </w:rPr>
        <w:t>9</w:t>
      </w:r>
      <w:r>
        <w:rPr>
          <w:rFonts w:hint="eastAsia" w:ascii="Times New Roman" w:hAnsi="Times New Roman" w:eastAsia="宋体" w:cs="Times New Roman"/>
          <w:b/>
          <w:bCs/>
          <w:color w:val="auto"/>
          <w:sz w:val="24"/>
          <w:szCs w:val="24"/>
          <w:lang w:val="en-US" w:eastAsia="zh-CN"/>
        </w:rPr>
        <w:t xml:space="preserve">  噪声监测结果</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3"/>
        <w:gridCol w:w="1349"/>
        <w:gridCol w:w="1351"/>
        <w:gridCol w:w="1349"/>
        <w:gridCol w:w="1355"/>
      </w:tblGrid>
      <w:tr w14:paraId="19A7E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827" w:type="pct"/>
            <w:vMerge w:val="restart"/>
            <w:noWrap w:val="0"/>
            <w:vAlign w:val="center"/>
          </w:tcPr>
          <w:p w14:paraId="283FD9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采样点位</w:t>
            </w:r>
          </w:p>
        </w:tc>
        <w:tc>
          <w:tcPr>
            <w:tcW w:w="1585" w:type="pct"/>
            <w:gridSpan w:val="2"/>
            <w:noWrap w:val="0"/>
            <w:vAlign w:val="center"/>
          </w:tcPr>
          <w:p w14:paraId="7B9740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检测结果202</w:t>
            </w:r>
            <w:r>
              <w:rPr>
                <w:rFonts w:hint="eastAsia" w:ascii="Times New Roman" w:hAnsi="Times New Roman" w:cs="Times New Roman"/>
                <w:color w:val="auto"/>
                <w:sz w:val="21"/>
                <w:szCs w:val="21"/>
                <w:highlight w:val="none"/>
                <w:lang w:val="en-US" w:eastAsia="zh-CN"/>
              </w:rPr>
              <w:t>6.01.05</w:t>
            </w:r>
          </w:p>
        </w:tc>
        <w:tc>
          <w:tcPr>
            <w:tcW w:w="1586" w:type="pct"/>
            <w:gridSpan w:val="2"/>
            <w:noWrap w:val="0"/>
            <w:vAlign w:val="center"/>
          </w:tcPr>
          <w:p w14:paraId="2735BB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检测结果202</w:t>
            </w:r>
            <w:r>
              <w:rPr>
                <w:rFonts w:hint="eastAsia" w:ascii="Times New Roman" w:hAnsi="Times New Roman" w:cs="Times New Roman"/>
                <w:color w:val="auto"/>
                <w:sz w:val="21"/>
                <w:szCs w:val="21"/>
                <w:highlight w:val="none"/>
                <w:lang w:val="en-US" w:eastAsia="zh-CN"/>
              </w:rPr>
              <w:t>6.01.06</w:t>
            </w:r>
          </w:p>
        </w:tc>
      </w:tr>
      <w:tr w14:paraId="59E83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827" w:type="pct"/>
            <w:vMerge w:val="continue"/>
            <w:noWrap w:val="0"/>
            <w:vAlign w:val="center"/>
          </w:tcPr>
          <w:p w14:paraId="6F2ADC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92" w:type="pct"/>
            <w:noWrap w:val="0"/>
            <w:vAlign w:val="center"/>
          </w:tcPr>
          <w:p w14:paraId="53CB5D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昼间</w:t>
            </w:r>
          </w:p>
        </w:tc>
        <w:tc>
          <w:tcPr>
            <w:tcW w:w="793" w:type="pct"/>
            <w:noWrap w:val="0"/>
            <w:vAlign w:val="center"/>
          </w:tcPr>
          <w:p w14:paraId="582877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夜间</w:t>
            </w:r>
          </w:p>
        </w:tc>
        <w:tc>
          <w:tcPr>
            <w:tcW w:w="792" w:type="pct"/>
            <w:noWrap w:val="0"/>
            <w:vAlign w:val="center"/>
          </w:tcPr>
          <w:p w14:paraId="040C06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昼间</w:t>
            </w:r>
          </w:p>
        </w:tc>
        <w:tc>
          <w:tcPr>
            <w:tcW w:w="794" w:type="pct"/>
            <w:noWrap w:val="0"/>
            <w:vAlign w:val="center"/>
          </w:tcPr>
          <w:p w14:paraId="08B837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夜间</w:t>
            </w:r>
          </w:p>
        </w:tc>
      </w:tr>
      <w:tr w14:paraId="43B86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827" w:type="pct"/>
            <w:noWrap w:val="0"/>
            <w:vAlign w:val="center"/>
          </w:tcPr>
          <w:p w14:paraId="4BEF30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北侧厂界外1m</w:t>
            </w:r>
          </w:p>
        </w:tc>
        <w:tc>
          <w:tcPr>
            <w:tcW w:w="792" w:type="pct"/>
            <w:noWrap w:val="0"/>
            <w:vAlign w:val="center"/>
          </w:tcPr>
          <w:p w14:paraId="54B2C4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w:t>
            </w:r>
          </w:p>
        </w:tc>
        <w:tc>
          <w:tcPr>
            <w:tcW w:w="793" w:type="pct"/>
            <w:noWrap w:val="0"/>
            <w:vAlign w:val="center"/>
          </w:tcPr>
          <w:p w14:paraId="181EAF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w:t>
            </w:r>
          </w:p>
        </w:tc>
        <w:tc>
          <w:tcPr>
            <w:tcW w:w="792" w:type="pct"/>
            <w:noWrap w:val="0"/>
            <w:vAlign w:val="center"/>
          </w:tcPr>
          <w:p w14:paraId="2B2D95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794" w:type="pct"/>
            <w:noWrap w:val="0"/>
            <w:vAlign w:val="center"/>
          </w:tcPr>
          <w:p w14:paraId="1DD4B0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r>
      <w:tr w14:paraId="748CA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827" w:type="pct"/>
            <w:noWrap w:val="0"/>
            <w:vAlign w:val="center"/>
          </w:tcPr>
          <w:p w14:paraId="706F9E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lang w:val="en-US" w:eastAsia="zh-CN"/>
              </w:rPr>
              <w:t>东侧厂界外1m</w:t>
            </w:r>
          </w:p>
        </w:tc>
        <w:tc>
          <w:tcPr>
            <w:tcW w:w="792" w:type="pct"/>
            <w:noWrap w:val="0"/>
            <w:vAlign w:val="center"/>
          </w:tcPr>
          <w:p w14:paraId="211432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793" w:type="pct"/>
            <w:noWrap w:val="0"/>
            <w:vAlign w:val="center"/>
          </w:tcPr>
          <w:p w14:paraId="03EE43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c>
          <w:tcPr>
            <w:tcW w:w="792" w:type="pct"/>
            <w:noWrap w:val="0"/>
            <w:vAlign w:val="center"/>
          </w:tcPr>
          <w:p w14:paraId="66EEB6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794" w:type="pct"/>
            <w:noWrap w:val="0"/>
            <w:vAlign w:val="center"/>
          </w:tcPr>
          <w:p w14:paraId="1F8272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43</w:t>
            </w:r>
          </w:p>
        </w:tc>
      </w:tr>
      <w:tr w14:paraId="37B64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827" w:type="pct"/>
            <w:noWrap w:val="0"/>
            <w:vAlign w:val="center"/>
          </w:tcPr>
          <w:p w14:paraId="210F23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w:t>
            </w:r>
            <w:r>
              <w:rPr>
                <w:rFonts w:hint="eastAsia" w:ascii="Times New Roman" w:hAnsi="Times New Roman" w:cs="Times New Roman"/>
                <w:color w:val="auto"/>
                <w:sz w:val="21"/>
                <w:szCs w:val="21"/>
                <w:highlight w:val="none"/>
                <w:lang w:val="en-US" w:eastAsia="zh-CN"/>
              </w:rPr>
              <w:t>南侧厂界外1m</w:t>
            </w:r>
          </w:p>
        </w:tc>
        <w:tc>
          <w:tcPr>
            <w:tcW w:w="792" w:type="pct"/>
            <w:noWrap w:val="0"/>
            <w:vAlign w:val="center"/>
          </w:tcPr>
          <w:p w14:paraId="730432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793" w:type="pct"/>
            <w:noWrap w:val="0"/>
            <w:vAlign w:val="center"/>
          </w:tcPr>
          <w:p w14:paraId="60B09F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43</w:t>
            </w:r>
          </w:p>
        </w:tc>
        <w:tc>
          <w:tcPr>
            <w:tcW w:w="792" w:type="pct"/>
            <w:noWrap w:val="0"/>
            <w:vAlign w:val="center"/>
          </w:tcPr>
          <w:p w14:paraId="13A48A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794" w:type="pct"/>
            <w:noWrap w:val="0"/>
            <w:vAlign w:val="center"/>
          </w:tcPr>
          <w:p w14:paraId="74397E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r>
      <w:tr w14:paraId="4C63B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827" w:type="pct"/>
            <w:noWrap w:val="0"/>
            <w:vAlign w:val="center"/>
          </w:tcPr>
          <w:p w14:paraId="58E484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w:t>
            </w:r>
            <w:r>
              <w:rPr>
                <w:rFonts w:hint="eastAsia" w:ascii="Times New Roman" w:hAnsi="Times New Roman" w:cs="Times New Roman"/>
                <w:color w:val="auto"/>
                <w:sz w:val="21"/>
                <w:szCs w:val="21"/>
                <w:highlight w:val="none"/>
                <w:lang w:val="en-US" w:eastAsia="zh-CN"/>
              </w:rPr>
              <w:t>西侧厂界外1m</w:t>
            </w:r>
          </w:p>
        </w:tc>
        <w:tc>
          <w:tcPr>
            <w:tcW w:w="792" w:type="pct"/>
            <w:noWrap w:val="0"/>
            <w:vAlign w:val="center"/>
          </w:tcPr>
          <w:p w14:paraId="1073DC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793" w:type="pct"/>
            <w:noWrap w:val="0"/>
            <w:vAlign w:val="center"/>
          </w:tcPr>
          <w:p w14:paraId="1ACB81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c>
          <w:tcPr>
            <w:tcW w:w="792" w:type="pct"/>
            <w:noWrap w:val="0"/>
            <w:vAlign w:val="center"/>
          </w:tcPr>
          <w:p w14:paraId="6F887A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794" w:type="pct"/>
            <w:noWrap w:val="0"/>
            <w:vAlign w:val="center"/>
          </w:tcPr>
          <w:p w14:paraId="69D40A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r>
      <w:tr w14:paraId="17548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27" w:type="pct"/>
            <w:noWrap w:val="0"/>
            <w:vAlign w:val="center"/>
          </w:tcPr>
          <w:p w14:paraId="29772C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单位</w:t>
            </w:r>
          </w:p>
        </w:tc>
        <w:tc>
          <w:tcPr>
            <w:tcW w:w="3172" w:type="pct"/>
            <w:gridSpan w:val="4"/>
            <w:noWrap w:val="0"/>
            <w:vAlign w:val="center"/>
          </w:tcPr>
          <w:p w14:paraId="6ADFDF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dB（A）</w:t>
            </w:r>
          </w:p>
        </w:tc>
      </w:tr>
    </w:tbl>
    <w:p w14:paraId="6D987EF9">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3.1.4.4 固体废物处置情况</w:t>
      </w:r>
    </w:p>
    <w:p w14:paraId="3DC6E67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锅炉灰渣运至</w:t>
      </w:r>
      <w:r>
        <w:rPr>
          <w:rFonts w:hint="eastAsia" w:ascii="Times New Roman" w:hAnsi="Times New Roman" w:eastAsia="宋体" w:cs="Times New Roman"/>
          <w:color w:val="FF0000"/>
          <w:sz w:val="24"/>
          <w:szCs w:val="24"/>
          <w:highlight w:val="none"/>
          <w:lang w:val="en-US" w:eastAsia="zh-CN"/>
        </w:rPr>
        <w:t>虎林市源泽永固水泥制品销售有限公司进行综合利用</w:t>
      </w:r>
      <w:r>
        <w:rPr>
          <w:rFonts w:hint="default" w:ascii="Times New Roman" w:hAnsi="Times New Roman" w:eastAsia="宋体" w:cs="Times New Roman"/>
          <w:color w:val="FF0000"/>
          <w:sz w:val="24"/>
          <w:szCs w:val="24"/>
          <w:highlight w:val="none"/>
          <w:lang w:val="en-US" w:eastAsia="zh-CN"/>
        </w:rPr>
        <w:t>，灰渣随排随运，尽量减少储存时间及储存量</w:t>
      </w:r>
      <w:r>
        <w:rPr>
          <w:rFonts w:hint="eastAsia" w:ascii="Times New Roman" w:hAnsi="Times New Roman" w:eastAsia="宋体" w:cs="Times New Roman"/>
          <w:color w:val="FF0000"/>
          <w:sz w:val="24"/>
          <w:szCs w:val="24"/>
          <w:highlight w:val="none"/>
          <w:lang w:val="en-US" w:eastAsia="zh-CN"/>
        </w:rPr>
        <w:t>。同时，建设单位与宝清县焱顺煤炭经销有限公司签订协议，锅炉灰渣处置形成综合利用双保险</w:t>
      </w:r>
      <w:r>
        <w:rPr>
          <w:rFonts w:hint="default" w:ascii="Times New Roman" w:hAnsi="Times New Roman" w:eastAsia="宋体" w:cs="Times New Roman"/>
          <w:color w:val="auto"/>
          <w:sz w:val="24"/>
          <w:szCs w:val="24"/>
          <w:highlight w:val="none"/>
          <w:lang w:val="en-US" w:eastAsia="zh-CN"/>
        </w:rPr>
        <w:t>；脱硫副产物运至黑龙江春农生物科技有限公司作为生产原料使用；生活垃圾集中收集由市政部门处理。脱硝系统产生的废脱硝催化剂（772-007-50）、机械维修过程中产生的废矿物油（900-214-08）均属于危险废物，</w:t>
      </w:r>
      <w:r>
        <w:rPr>
          <w:rFonts w:hint="default" w:ascii="Times New Roman" w:hAnsi="Times New Roman" w:eastAsia="宋体" w:cs="Times New Roman"/>
          <w:color w:val="FF0000"/>
          <w:sz w:val="24"/>
          <w:szCs w:val="24"/>
          <w:highlight w:val="none"/>
          <w:lang w:val="en-US" w:eastAsia="zh-CN"/>
        </w:rPr>
        <w:t>在厂区危险废物贮存点</w:t>
      </w:r>
      <w:r>
        <w:rPr>
          <w:rFonts w:hint="eastAsia" w:ascii="Times New Roman" w:hAnsi="Times New Roman" w:eastAsia="宋体" w:cs="Times New Roman"/>
          <w:color w:val="FF0000"/>
          <w:sz w:val="24"/>
          <w:szCs w:val="24"/>
          <w:highlight w:val="none"/>
          <w:lang w:val="en-US" w:eastAsia="zh-CN"/>
        </w:rPr>
        <w:t>暂存，</w:t>
      </w:r>
      <w:r>
        <w:rPr>
          <w:rFonts w:hint="default" w:ascii="Times New Roman" w:hAnsi="Times New Roman" w:eastAsia="宋体" w:cs="Times New Roman"/>
          <w:color w:val="FF0000"/>
          <w:sz w:val="24"/>
          <w:szCs w:val="24"/>
          <w:highlight w:val="none"/>
          <w:lang w:val="en-US" w:eastAsia="zh-CN"/>
        </w:rPr>
        <w:t>委托有危险废物处理资质的单位</w:t>
      </w:r>
      <w:r>
        <w:rPr>
          <w:rFonts w:hint="eastAsia" w:ascii="Times New Roman" w:hAnsi="Times New Roman" w:eastAsia="宋体" w:cs="Times New Roman"/>
          <w:color w:val="FF0000"/>
          <w:sz w:val="24"/>
          <w:szCs w:val="24"/>
          <w:highlight w:val="none"/>
          <w:lang w:val="en-US" w:eastAsia="zh-CN"/>
        </w:rPr>
        <w:t>黑龙江省庆昌环保科技有限公司</w:t>
      </w:r>
      <w:r>
        <w:rPr>
          <w:rFonts w:hint="default" w:ascii="Times New Roman" w:hAnsi="Times New Roman" w:eastAsia="宋体" w:cs="Times New Roman"/>
          <w:color w:val="FF0000"/>
          <w:sz w:val="24"/>
          <w:szCs w:val="24"/>
          <w:highlight w:val="none"/>
          <w:lang w:val="en-US" w:eastAsia="zh-CN"/>
        </w:rPr>
        <w:t>统一处理</w:t>
      </w:r>
      <w:r>
        <w:rPr>
          <w:rFonts w:hint="eastAsia" w:ascii="Times New Roman" w:hAnsi="Times New Roman" w:eastAsia="宋体" w:cs="Times New Roman"/>
          <w:color w:val="FF0000"/>
          <w:sz w:val="24"/>
          <w:szCs w:val="24"/>
          <w:highlight w:val="none"/>
          <w:lang w:val="en-US" w:eastAsia="zh-CN"/>
        </w:rPr>
        <w:t>。项目危险废物贮存点也进行重点防渗，并设置警示标识，已通过验收</w:t>
      </w:r>
      <w:r>
        <w:rPr>
          <w:rFonts w:hint="default" w:ascii="Times New Roman" w:hAnsi="Times New Roman" w:eastAsia="宋体" w:cs="Times New Roman"/>
          <w:color w:val="auto"/>
          <w:sz w:val="24"/>
          <w:szCs w:val="24"/>
          <w:highlight w:val="none"/>
          <w:lang w:val="en-US" w:eastAsia="zh-CN"/>
        </w:rPr>
        <w:t>；废离子交换树脂由化学水处理设备厂家定期更换回收，不在厂区内堆存；废布袋由厂家定期更换回收，不在厂区堆存。</w:t>
      </w:r>
      <w:r>
        <w:rPr>
          <w:rFonts w:hint="eastAsia" w:ascii="Times New Roman" w:hAnsi="Times New Roman" w:eastAsia="宋体" w:cs="Times New Roman"/>
          <w:color w:val="auto"/>
          <w:sz w:val="24"/>
          <w:szCs w:val="24"/>
          <w:highlight w:val="none"/>
          <w:lang w:val="en-US" w:eastAsia="zh-CN"/>
        </w:rPr>
        <w:t>危险废物委托运输和处置，已签订委托协议。</w:t>
      </w:r>
    </w:p>
    <w:p w14:paraId="6DDBD01D">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FF0000"/>
          <w:sz w:val="24"/>
          <w:szCs w:val="24"/>
          <w:lang w:val="en-US" w:eastAsia="zh-CN"/>
        </w:rPr>
      </w:pPr>
      <w:r>
        <w:rPr>
          <w:rFonts w:hint="eastAsia" w:ascii="Times New Roman" w:hAnsi="Times New Roman" w:eastAsia="宋体" w:cs="Times New Roman"/>
          <w:b/>
          <w:bCs w:val="0"/>
          <w:color w:val="FF0000"/>
          <w:sz w:val="24"/>
          <w:szCs w:val="24"/>
          <w:lang w:val="en-US" w:eastAsia="zh-CN"/>
        </w:rPr>
        <w:t>3.1.4.5 厂区现有工程污染防治措施照片</w:t>
      </w:r>
    </w:p>
    <w:p w14:paraId="660E9B5D">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b/>
          <w:bCs/>
          <w:color w:val="auto"/>
          <w:lang w:val="en-US" w:bidi="zh-CN"/>
        </w:rPr>
      </w:pPr>
      <w:r>
        <w:rPr>
          <w:rFonts w:hint="default" w:ascii="Times New Roman" w:hAnsi="Times New Roman" w:cs="Times New Roman" w:eastAsiaTheme="minorEastAsia"/>
          <w:b/>
          <w:bCs/>
          <w:color w:val="auto"/>
          <w:lang w:val="en-US" w:bidi="zh-CN"/>
        </w:rPr>
        <w:drawing>
          <wp:inline distT="0" distB="0" distL="114300" distR="114300">
            <wp:extent cx="2520315" cy="3361690"/>
            <wp:effectExtent l="0" t="0" r="6985" b="3810"/>
            <wp:docPr id="173" name="图片 173" descr="7181f078f9a51ee3751a9edf4cf18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7181f078f9a51ee3751a9edf4cf185a0"/>
                    <pic:cNvPicPr>
                      <a:picLocks noChangeAspect="1"/>
                    </pic:cNvPicPr>
                  </pic:nvPicPr>
                  <pic:blipFill>
                    <a:blip r:embed="rId40"/>
                    <a:stretch>
                      <a:fillRect/>
                    </a:stretch>
                  </pic:blipFill>
                  <pic:spPr>
                    <a:xfrm>
                      <a:off x="0" y="0"/>
                      <a:ext cx="2520315" cy="3361690"/>
                    </a:xfrm>
                    <a:prstGeom prst="rect">
                      <a:avLst/>
                    </a:prstGeom>
                  </pic:spPr>
                </pic:pic>
              </a:graphicData>
            </a:graphic>
          </wp:inline>
        </w:drawing>
      </w:r>
      <w:r>
        <w:rPr>
          <w:rFonts w:hint="eastAsia" w:cs="Times New Roman" w:eastAsiaTheme="minorEastAsia"/>
          <w:b/>
          <w:bCs/>
          <w:color w:val="auto"/>
          <w:lang w:val="en-US" w:bidi="zh-CN"/>
        </w:rPr>
        <w:t xml:space="preserve">  </w:t>
      </w:r>
      <w:r>
        <w:rPr>
          <w:rFonts w:hint="default" w:ascii="Times New Roman" w:hAnsi="Times New Roman" w:cs="Times New Roman" w:eastAsiaTheme="minorEastAsia"/>
          <w:b/>
          <w:bCs/>
          <w:color w:val="auto"/>
          <w:lang w:val="en-US" w:bidi="zh-CN"/>
        </w:rPr>
        <w:drawing>
          <wp:inline distT="0" distB="0" distL="114300" distR="114300">
            <wp:extent cx="2520315" cy="3361690"/>
            <wp:effectExtent l="0" t="0" r="6985" b="3810"/>
            <wp:docPr id="174" name="图片 174" descr="4d6d433d891f9d3ef191e37a9728da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4d6d433d891f9d3ef191e37a9728daf9"/>
                    <pic:cNvPicPr>
                      <a:picLocks noChangeAspect="1"/>
                    </pic:cNvPicPr>
                  </pic:nvPicPr>
                  <pic:blipFill>
                    <a:blip r:embed="rId41"/>
                    <a:stretch>
                      <a:fillRect/>
                    </a:stretch>
                  </pic:blipFill>
                  <pic:spPr>
                    <a:xfrm>
                      <a:off x="0" y="0"/>
                      <a:ext cx="2520315" cy="3361690"/>
                    </a:xfrm>
                    <a:prstGeom prst="rect">
                      <a:avLst/>
                    </a:prstGeom>
                  </pic:spPr>
                </pic:pic>
              </a:graphicData>
            </a:graphic>
          </wp:inline>
        </w:drawing>
      </w:r>
    </w:p>
    <w:p w14:paraId="2D86E126">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b w:val="0"/>
          <w:bCs w:val="0"/>
          <w:color w:val="FF0000"/>
          <w:lang w:val="en-US" w:bidi="zh-CN"/>
        </w:rPr>
      </w:pPr>
      <w:r>
        <w:rPr>
          <w:rFonts w:hint="eastAsia" w:cs="Times New Roman" w:eastAsiaTheme="minorEastAsia"/>
          <w:b w:val="0"/>
          <w:bCs w:val="0"/>
          <w:color w:val="FF0000"/>
          <w:lang w:val="en-US" w:bidi="zh-CN"/>
        </w:rPr>
        <w:t>储煤库                            输煤栈桥</w:t>
      </w:r>
    </w:p>
    <w:p w14:paraId="617094C9">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b/>
          <w:bCs/>
          <w:color w:val="FF0000"/>
          <w:lang w:val="en-US" w:bidi="zh-CN"/>
        </w:rPr>
      </w:pPr>
      <w:r>
        <w:rPr>
          <w:rFonts w:hint="default" w:ascii="Times New Roman" w:hAnsi="Times New Roman" w:cs="Times New Roman" w:eastAsiaTheme="minorEastAsia"/>
          <w:b/>
          <w:bCs/>
          <w:color w:val="FF0000"/>
          <w:lang w:val="en-US" w:bidi="zh-CN"/>
        </w:rPr>
        <w:drawing>
          <wp:inline distT="0" distB="0" distL="114300" distR="114300">
            <wp:extent cx="2520315" cy="3361690"/>
            <wp:effectExtent l="0" t="0" r="6985" b="3810"/>
            <wp:docPr id="175" name="图片 175" descr="acba8d01418b1341acfe296bf1fac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acba8d01418b1341acfe296bf1facd55"/>
                    <pic:cNvPicPr>
                      <a:picLocks noChangeAspect="1"/>
                    </pic:cNvPicPr>
                  </pic:nvPicPr>
                  <pic:blipFill>
                    <a:blip r:embed="rId42"/>
                    <a:stretch>
                      <a:fillRect/>
                    </a:stretch>
                  </pic:blipFill>
                  <pic:spPr>
                    <a:xfrm>
                      <a:off x="0" y="0"/>
                      <a:ext cx="2520315" cy="3361690"/>
                    </a:xfrm>
                    <a:prstGeom prst="rect">
                      <a:avLst/>
                    </a:prstGeom>
                  </pic:spPr>
                </pic:pic>
              </a:graphicData>
            </a:graphic>
          </wp:inline>
        </w:drawing>
      </w:r>
      <w:r>
        <w:rPr>
          <w:rFonts w:hint="eastAsia" w:cs="Times New Roman" w:eastAsiaTheme="minorEastAsia"/>
          <w:b/>
          <w:bCs/>
          <w:color w:val="FF0000"/>
          <w:lang w:val="en-US" w:bidi="zh-CN"/>
        </w:rPr>
        <w:t xml:space="preserve">  </w:t>
      </w:r>
      <w:r>
        <w:rPr>
          <w:rFonts w:hint="default" w:ascii="Times New Roman" w:hAnsi="Times New Roman" w:cs="Times New Roman" w:eastAsiaTheme="minorEastAsia"/>
          <w:b/>
          <w:bCs/>
          <w:color w:val="FF0000"/>
          <w:lang w:val="en-US" w:bidi="zh-CN"/>
        </w:rPr>
        <w:drawing>
          <wp:inline distT="0" distB="0" distL="114300" distR="114300">
            <wp:extent cx="2520315" cy="3361690"/>
            <wp:effectExtent l="0" t="0" r="6985" b="3810"/>
            <wp:docPr id="176" name="图片 176" descr="e8b0dc5440e24953a1bd6b2d600877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e8b0dc5440e24953a1bd6b2d600877ad"/>
                    <pic:cNvPicPr>
                      <a:picLocks noChangeAspect="1"/>
                    </pic:cNvPicPr>
                  </pic:nvPicPr>
                  <pic:blipFill>
                    <a:blip r:embed="rId43"/>
                    <a:stretch>
                      <a:fillRect/>
                    </a:stretch>
                  </pic:blipFill>
                  <pic:spPr>
                    <a:xfrm>
                      <a:off x="0" y="0"/>
                      <a:ext cx="2520315" cy="3361690"/>
                    </a:xfrm>
                    <a:prstGeom prst="rect">
                      <a:avLst/>
                    </a:prstGeom>
                  </pic:spPr>
                </pic:pic>
              </a:graphicData>
            </a:graphic>
          </wp:inline>
        </w:drawing>
      </w:r>
    </w:p>
    <w:p w14:paraId="38C0E152">
      <w:pPr>
        <w:pStyle w:val="112"/>
        <w:keepNext w:val="0"/>
        <w:keepLines w:val="0"/>
        <w:pageBreakBefore w:val="0"/>
        <w:widowControl w:val="0"/>
        <w:kinsoku/>
        <w:wordWrap/>
        <w:overflowPunct/>
        <w:topLinePunct w:val="0"/>
        <w:autoSpaceDE/>
        <w:autoSpaceDN/>
        <w:bidi w:val="0"/>
        <w:adjustRightInd/>
        <w:snapToGrid/>
        <w:spacing w:line="240" w:lineRule="auto"/>
        <w:ind w:firstLine="720" w:firstLineChars="300"/>
        <w:jc w:val="left"/>
        <w:textAlignment w:val="auto"/>
        <w:rPr>
          <w:rFonts w:hint="eastAsia" w:cs="Times New Roman" w:eastAsiaTheme="minorEastAsia"/>
          <w:b w:val="0"/>
          <w:bCs w:val="0"/>
          <w:color w:val="FF0000"/>
          <w:lang w:val="en-US" w:bidi="zh-CN"/>
        </w:rPr>
      </w:pPr>
      <w:r>
        <w:rPr>
          <w:rFonts w:hint="eastAsia" w:cs="Times New Roman" w:eastAsiaTheme="minorEastAsia"/>
          <w:b w:val="0"/>
          <w:bCs w:val="0"/>
          <w:color w:val="FF0000"/>
          <w:lang w:val="en-US" w:bidi="zh-CN"/>
        </w:rPr>
        <w:t>脱硫塔及现有烟塔合一烟囱                  脱硫水池</w:t>
      </w:r>
    </w:p>
    <w:p w14:paraId="75ECF077">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eastAsiaTheme="minorEastAsia"/>
          <w:b w:val="0"/>
          <w:bCs w:val="0"/>
          <w:color w:val="auto"/>
          <w:lang w:val="en-US" w:bidi="zh-CN"/>
        </w:rPr>
      </w:pPr>
      <w:r>
        <w:rPr>
          <w:rFonts w:hint="eastAsia" w:cs="Times New Roman" w:eastAsiaTheme="minorEastAsia"/>
          <w:b w:val="0"/>
          <w:bCs w:val="0"/>
          <w:color w:val="auto"/>
          <w:lang w:val="en-US" w:bidi="zh-CN"/>
        </w:rPr>
        <w:drawing>
          <wp:inline distT="0" distB="0" distL="114300" distR="114300">
            <wp:extent cx="2520315" cy="3361690"/>
            <wp:effectExtent l="0" t="0" r="6985" b="3810"/>
            <wp:docPr id="177" name="图片 177" descr="ecf5cb3596b092e0929738aa95c0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ecf5cb3596b092e0929738aa95c08707"/>
                    <pic:cNvPicPr>
                      <a:picLocks noChangeAspect="1"/>
                    </pic:cNvPicPr>
                  </pic:nvPicPr>
                  <pic:blipFill>
                    <a:blip r:embed="rId44"/>
                    <a:stretch>
                      <a:fillRect/>
                    </a:stretch>
                  </pic:blipFill>
                  <pic:spPr>
                    <a:xfrm>
                      <a:off x="0" y="0"/>
                      <a:ext cx="2520315" cy="3361690"/>
                    </a:xfrm>
                    <a:prstGeom prst="rect">
                      <a:avLst/>
                    </a:prstGeom>
                  </pic:spPr>
                </pic:pic>
              </a:graphicData>
            </a:graphic>
          </wp:inline>
        </w:drawing>
      </w:r>
      <w:r>
        <w:rPr>
          <w:rFonts w:hint="eastAsia" w:cs="Times New Roman" w:eastAsiaTheme="minorEastAsia"/>
          <w:b w:val="0"/>
          <w:bCs w:val="0"/>
          <w:color w:val="auto"/>
          <w:lang w:val="en-US" w:bidi="zh-CN"/>
        </w:rPr>
        <w:t xml:space="preserve">  </w:t>
      </w:r>
      <w:r>
        <w:rPr>
          <w:rFonts w:hint="default" w:cs="Times New Roman" w:eastAsiaTheme="minorEastAsia"/>
          <w:b w:val="0"/>
          <w:bCs w:val="0"/>
          <w:color w:val="auto"/>
          <w:lang w:val="en-US" w:bidi="zh-CN"/>
        </w:rPr>
        <w:drawing>
          <wp:inline distT="0" distB="0" distL="114300" distR="114300">
            <wp:extent cx="2520315" cy="3361690"/>
            <wp:effectExtent l="0" t="0" r="6985" b="3810"/>
            <wp:docPr id="178" name="图片 178" descr="f790381e35c37e8f6d6699116fee9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f790381e35c37e8f6d6699116fee93e8"/>
                    <pic:cNvPicPr>
                      <a:picLocks noChangeAspect="1"/>
                    </pic:cNvPicPr>
                  </pic:nvPicPr>
                  <pic:blipFill>
                    <a:blip r:embed="rId45"/>
                    <a:stretch>
                      <a:fillRect/>
                    </a:stretch>
                  </pic:blipFill>
                  <pic:spPr>
                    <a:xfrm>
                      <a:off x="0" y="0"/>
                      <a:ext cx="2520315" cy="3361690"/>
                    </a:xfrm>
                    <a:prstGeom prst="rect">
                      <a:avLst/>
                    </a:prstGeom>
                  </pic:spPr>
                </pic:pic>
              </a:graphicData>
            </a:graphic>
          </wp:inline>
        </w:drawing>
      </w:r>
    </w:p>
    <w:p w14:paraId="1131B5F9">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b w:val="0"/>
          <w:bCs w:val="0"/>
          <w:color w:val="FF0000"/>
          <w:lang w:val="en-US" w:bidi="zh-CN"/>
        </w:rPr>
      </w:pPr>
      <w:r>
        <w:rPr>
          <w:rFonts w:hint="eastAsia" w:cs="Times New Roman" w:eastAsiaTheme="minorEastAsia"/>
          <w:b w:val="0"/>
          <w:bCs w:val="0"/>
          <w:color w:val="FF0000"/>
          <w:lang w:val="en-US" w:bidi="zh-CN"/>
        </w:rPr>
        <w:t>除尘                             脱硝尿素制备</w:t>
      </w:r>
    </w:p>
    <w:p w14:paraId="1E531411">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eastAsiaTheme="minorEastAsia"/>
          <w:b/>
          <w:bCs/>
          <w:color w:val="auto"/>
          <w:lang w:val="en-US" w:bidi="zh-CN"/>
        </w:rPr>
      </w:pPr>
      <w:r>
        <w:rPr>
          <w:rFonts w:hint="default" w:ascii="Times New Roman" w:hAnsi="Times New Roman" w:cs="Times New Roman" w:eastAsiaTheme="minorEastAsia"/>
          <w:b/>
          <w:bCs/>
          <w:color w:val="auto"/>
          <w:lang w:val="en-US" w:bidi="zh-CN"/>
        </w:rPr>
        <w:drawing>
          <wp:inline distT="0" distB="0" distL="114300" distR="114300">
            <wp:extent cx="2520315" cy="3361690"/>
            <wp:effectExtent l="0" t="0" r="6985" b="3810"/>
            <wp:docPr id="10" name="图片 10" descr="c3a7b4f2ee48dfbfe4db15e5fdd990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3a7b4f2ee48dfbfe4db15e5fdd9907f"/>
                    <pic:cNvPicPr>
                      <a:picLocks noChangeAspect="1"/>
                    </pic:cNvPicPr>
                  </pic:nvPicPr>
                  <pic:blipFill>
                    <a:blip r:embed="rId46"/>
                    <a:stretch>
                      <a:fillRect/>
                    </a:stretch>
                  </pic:blipFill>
                  <pic:spPr>
                    <a:xfrm>
                      <a:off x="0" y="0"/>
                      <a:ext cx="2520315" cy="3361690"/>
                    </a:xfrm>
                    <a:prstGeom prst="rect">
                      <a:avLst/>
                    </a:prstGeom>
                  </pic:spPr>
                </pic:pic>
              </a:graphicData>
            </a:graphic>
          </wp:inline>
        </w:drawing>
      </w:r>
      <w:r>
        <w:rPr>
          <w:rFonts w:hint="eastAsia" w:cs="Times New Roman" w:eastAsiaTheme="minorEastAsia"/>
          <w:b/>
          <w:bCs/>
          <w:color w:val="auto"/>
          <w:lang w:val="en-US" w:bidi="zh-CN"/>
        </w:rPr>
        <w:t xml:space="preserve">  </w:t>
      </w:r>
      <w:r>
        <w:rPr>
          <w:rFonts w:hint="default" w:ascii="Times New Roman" w:hAnsi="Times New Roman" w:cs="Times New Roman" w:eastAsiaTheme="minorEastAsia"/>
          <w:b/>
          <w:bCs/>
          <w:color w:val="auto"/>
          <w:lang w:val="en-US" w:bidi="zh-CN"/>
        </w:rPr>
        <w:drawing>
          <wp:inline distT="0" distB="0" distL="114300" distR="114300">
            <wp:extent cx="2520315" cy="3361690"/>
            <wp:effectExtent l="0" t="0" r="6985" b="3810"/>
            <wp:docPr id="179" name="图片 179" descr="451110182dfe0cd7f83c7fc579cb0e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451110182dfe0cd7f83c7fc579cb0e1f"/>
                    <pic:cNvPicPr>
                      <a:picLocks noChangeAspect="1"/>
                    </pic:cNvPicPr>
                  </pic:nvPicPr>
                  <pic:blipFill>
                    <a:blip r:embed="rId47"/>
                    <a:stretch>
                      <a:fillRect/>
                    </a:stretch>
                  </pic:blipFill>
                  <pic:spPr>
                    <a:xfrm>
                      <a:off x="0" y="0"/>
                      <a:ext cx="2520315" cy="3361690"/>
                    </a:xfrm>
                    <a:prstGeom prst="rect">
                      <a:avLst/>
                    </a:prstGeom>
                  </pic:spPr>
                </pic:pic>
              </a:graphicData>
            </a:graphic>
          </wp:inline>
        </w:drawing>
      </w:r>
    </w:p>
    <w:p w14:paraId="6FC4AF1C">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eastAsiaTheme="minorEastAsia"/>
          <w:b w:val="0"/>
          <w:bCs w:val="0"/>
          <w:color w:val="FF0000"/>
          <w:lang w:val="en-US" w:bidi="zh-CN"/>
        </w:rPr>
      </w:pPr>
      <w:r>
        <w:rPr>
          <w:rFonts w:hint="eastAsia" w:cs="Times New Roman" w:eastAsiaTheme="minorEastAsia"/>
          <w:b w:val="0"/>
          <w:bCs w:val="0"/>
          <w:color w:val="FF0000"/>
          <w:lang w:val="en-US" w:bidi="zh-CN"/>
        </w:rPr>
        <w:t>渣仓                            在线监测系统</w:t>
      </w:r>
    </w:p>
    <w:p w14:paraId="4F06CE8C">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eastAsiaTheme="minorEastAsia"/>
          <w:b w:val="0"/>
          <w:bCs w:val="0"/>
          <w:color w:val="auto"/>
          <w:lang w:val="en-US" w:bidi="zh-CN"/>
        </w:rPr>
      </w:pPr>
      <w:r>
        <w:rPr>
          <w:rFonts w:hint="default" w:cs="Times New Roman" w:eastAsiaTheme="minorEastAsia"/>
          <w:b w:val="0"/>
          <w:bCs w:val="0"/>
          <w:color w:val="auto"/>
          <w:lang w:val="en-US" w:bidi="zh-CN"/>
        </w:rPr>
        <w:drawing>
          <wp:inline distT="0" distB="0" distL="114300" distR="114300">
            <wp:extent cx="2520315" cy="3361690"/>
            <wp:effectExtent l="0" t="0" r="6985" b="3810"/>
            <wp:docPr id="180" name="图片 180" descr="a989886f7a0a847dd3febdae03eb49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a989886f7a0a847dd3febdae03eb49ea"/>
                    <pic:cNvPicPr>
                      <a:picLocks noChangeAspect="1"/>
                    </pic:cNvPicPr>
                  </pic:nvPicPr>
                  <pic:blipFill>
                    <a:blip r:embed="rId48"/>
                    <a:stretch>
                      <a:fillRect/>
                    </a:stretch>
                  </pic:blipFill>
                  <pic:spPr>
                    <a:xfrm>
                      <a:off x="0" y="0"/>
                      <a:ext cx="2520315" cy="3361690"/>
                    </a:xfrm>
                    <a:prstGeom prst="rect">
                      <a:avLst/>
                    </a:prstGeom>
                  </pic:spPr>
                </pic:pic>
              </a:graphicData>
            </a:graphic>
          </wp:inline>
        </w:drawing>
      </w:r>
      <w:r>
        <w:rPr>
          <w:rFonts w:hint="eastAsia" w:cs="Times New Roman" w:eastAsiaTheme="minorEastAsia"/>
          <w:b w:val="0"/>
          <w:bCs w:val="0"/>
          <w:color w:val="auto"/>
          <w:lang w:val="en-US" w:bidi="zh-CN"/>
        </w:rPr>
        <w:t xml:space="preserve">  </w:t>
      </w:r>
      <w:r>
        <w:rPr>
          <w:rFonts w:hint="default" w:cs="Times New Roman" w:eastAsiaTheme="minorEastAsia"/>
          <w:b w:val="0"/>
          <w:bCs w:val="0"/>
          <w:color w:val="auto"/>
          <w:lang w:val="en-US" w:bidi="zh-CN"/>
        </w:rPr>
        <w:drawing>
          <wp:inline distT="0" distB="0" distL="114300" distR="114300">
            <wp:extent cx="2520315" cy="3361690"/>
            <wp:effectExtent l="0" t="0" r="6985" b="3810"/>
            <wp:docPr id="181" name="图片 181" descr="bde183ce73a18866d01d31ec35b1a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bde183ce73a18866d01d31ec35b1a376"/>
                    <pic:cNvPicPr>
                      <a:picLocks noChangeAspect="1"/>
                    </pic:cNvPicPr>
                  </pic:nvPicPr>
                  <pic:blipFill>
                    <a:blip r:embed="rId49"/>
                    <a:stretch>
                      <a:fillRect/>
                    </a:stretch>
                  </pic:blipFill>
                  <pic:spPr>
                    <a:xfrm>
                      <a:off x="0" y="0"/>
                      <a:ext cx="2520315" cy="3361690"/>
                    </a:xfrm>
                    <a:prstGeom prst="rect">
                      <a:avLst/>
                    </a:prstGeom>
                  </pic:spPr>
                </pic:pic>
              </a:graphicData>
            </a:graphic>
          </wp:inline>
        </w:drawing>
      </w:r>
    </w:p>
    <w:p w14:paraId="430BBB2E">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eastAsiaTheme="minorEastAsia"/>
          <w:b w:val="0"/>
          <w:bCs w:val="0"/>
          <w:color w:val="FF0000"/>
          <w:lang w:val="en-US" w:bidi="zh-CN"/>
        </w:rPr>
      </w:pPr>
      <w:r>
        <w:rPr>
          <w:rFonts w:hint="eastAsia" w:cs="Times New Roman" w:eastAsiaTheme="minorEastAsia"/>
          <w:b w:val="0"/>
          <w:bCs w:val="0"/>
          <w:color w:val="FF0000"/>
          <w:lang w:val="en-US" w:bidi="zh-CN"/>
        </w:rPr>
        <w:t>减振底座                             车间防渗</w:t>
      </w:r>
    </w:p>
    <w:p w14:paraId="176B2B0A">
      <w:pPr>
        <w:pStyle w:val="112"/>
        <w:keepNext w:val="0"/>
        <w:keepLines w:val="0"/>
        <w:pageBreakBefore w:val="0"/>
        <w:widowControl w:val="0"/>
        <w:kinsoku/>
        <w:wordWrap/>
        <w:overflowPunct/>
        <w:topLinePunct w:val="0"/>
        <w:autoSpaceDE/>
        <w:autoSpaceDN/>
        <w:bidi w:val="0"/>
        <w:adjustRightInd/>
        <w:snapToGrid/>
        <w:spacing w:line="240" w:lineRule="auto"/>
        <w:jc w:val="right"/>
        <w:textAlignment w:val="auto"/>
        <w:rPr>
          <w:rFonts w:hint="default" w:cs="Times New Roman" w:eastAsiaTheme="minorEastAsia"/>
          <w:b w:val="0"/>
          <w:bCs w:val="0"/>
          <w:color w:val="auto"/>
          <w:lang w:val="en-US" w:bidi="zh-CN"/>
        </w:rPr>
      </w:pPr>
      <w:r>
        <w:rPr>
          <w:rFonts w:hint="eastAsia" w:cs="Times New Roman" w:eastAsiaTheme="minorEastAsia"/>
          <w:b w:val="0"/>
          <w:bCs w:val="0"/>
          <w:color w:val="auto"/>
          <w:lang w:val="en-US" w:bidi="zh-CN"/>
        </w:rPr>
        <w:drawing>
          <wp:inline distT="0" distB="0" distL="114300" distR="114300">
            <wp:extent cx="1899920" cy="3361690"/>
            <wp:effectExtent l="0" t="0" r="0" b="0"/>
            <wp:docPr id="182" name="图片 182" descr="d077ff040d344bcd32f05e43f681d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d077ff040d344bcd32f05e43f681d13a"/>
                    <pic:cNvPicPr>
                      <a:picLocks noChangeAspect="1"/>
                    </pic:cNvPicPr>
                  </pic:nvPicPr>
                  <pic:blipFill>
                    <a:blip r:embed="rId50"/>
                    <a:srcRect r="24616"/>
                    <a:stretch>
                      <a:fillRect/>
                    </a:stretch>
                  </pic:blipFill>
                  <pic:spPr>
                    <a:xfrm>
                      <a:off x="0" y="0"/>
                      <a:ext cx="1899920" cy="3361690"/>
                    </a:xfrm>
                    <a:prstGeom prst="rect">
                      <a:avLst/>
                    </a:prstGeom>
                  </pic:spPr>
                </pic:pic>
              </a:graphicData>
            </a:graphic>
          </wp:inline>
        </w:drawing>
      </w:r>
      <w:r>
        <w:rPr>
          <w:rFonts w:hint="eastAsia" w:cs="Times New Roman" w:eastAsiaTheme="minorEastAsia"/>
          <w:b w:val="0"/>
          <w:bCs w:val="0"/>
          <w:color w:val="auto"/>
          <w:lang w:val="en-US" w:bidi="zh-CN"/>
        </w:rPr>
        <w:t xml:space="preserve">       </w:t>
      </w:r>
      <w:r>
        <w:rPr>
          <w:color w:val="auto"/>
        </w:rPr>
        <w:drawing>
          <wp:inline distT="0" distB="0" distL="114300" distR="114300">
            <wp:extent cx="2520315" cy="3356610"/>
            <wp:effectExtent l="0" t="0" r="0" b="0"/>
            <wp:docPr id="1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
                    <pic:cNvPicPr>
                      <a:picLocks noChangeAspect="1"/>
                    </pic:cNvPicPr>
                  </pic:nvPicPr>
                  <pic:blipFill>
                    <a:blip r:embed="rId51"/>
                    <a:srcRect t="13725" b="11329"/>
                    <a:stretch>
                      <a:fillRect/>
                    </a:stretch>
                  </pic:blipFill>
                  <pic:spPr>
                    <a:xfrm>
                      <a:off x="0" y="0"/>
                      <a:ext cx="2520315" cy="3356610"/>
                    </a:xfrm>
                    <a:prstGeom prst="rect">
                      <a:avLst/>
                    </a:prstGeom>
                    <a:noFill/>
                    <a:ln>
                      <a:noFill/>
                    </a:ln>
                  </pic:spPr>
                </pic:pic>
              </a:graphicData>
            </a:graphic>
          </wp:inline>
        </w:drawing>
      </w:r>
    </w:p>
    <w:p w14:paraId="4013F965">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仿宋_GB2312" w:cs="Times New Roman"/>
          <w:b w:val="0"/>
          <w:bCs w:val="0"/>
          <w:color w:val="FF0000"/>
          <w:lang w:val="en-US" w:eastAsia="zh-CN" w:bidi="zh-CN"/>
        </w:rPr>
      </w:pPr>
      <w:r>
        <w:rPr>
          <w:rFonts w:hint="eastAsia" w:cs="Times New Roman" w:eastAsiaTheme="minorEastAsia"/>
          <w:b w:val="0"/>
          <w:bCs w:val="0"/>
          <w:color w:val="FF0000"/>
          <w:lang w:val="en-US" w:bidi="zh-CN"/>
        </w:rPr>
        <w:t>封闭锅炉房及本次拟利用烟囱         危废贮存点及现有脱硫副产物间</w:t>
      </w:r>
      <w:r>
        <w:rPr>
          <w:rFonts w:hint="default" w:eastAsia="仿宋_GB2312" w:cs="Times New Roman"/>
          <w:b w:val="0"/>
          <w:bCs w:val="0"/>
          <w:color w:val="FF0000"/>
          <w:lang w:val="en-US" w:eastAsia="zh-CN" w:bidi="zh-CN"/>
        </w:rPr>
        <w:drawing>
          <wp:inline distT="0" distB="0" distL="114300" distR="114300">
            <wp:extent cx="2520315" cy="1889760"/>
            <wp:effectExtent l="0" t="0" r="6985" b="2540"/>
            <wp:docPr id="185" name="图片 185" descr="8c690eea80644e3a9e0ffb8f5d29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8c690eea80644e3a9e0ffb8f5d293489"/>
                    <pic:cNvPicPr>
                      <a:picLocks noChangeAspect="1"/>
                    </pic:cNvPicPr>
                  </pic:nvPicPr>
                  <pic:blipFill>
                    <a:blip r:embed="rId52"/>
                    <a:stretch>
                      <a:fillRect/>
                    </a:stretch>
                  </pic:blipFill>
                  <pic:spPr>
                    <a:xfrm>
                      <a:off x="0" y="0"/>
                      <a:ext cx="2520315" cy="1889760"/>
                    </a:xfrm>
                    <a:prstGeom prst="rect">
                      <a:avLst/>
                    </a:prstGeom>
                  </pic:spPr>
                </pic:pic>
              </a:graphicData>
            </a:graphic>
          </wp:inline>
        </w:drawing>
      </w:r>
      <w:r>
        <w:rPr>
          <w:rFonts w:hint="eastAsia" w:cs="Times New Roman"/>
          <w:b w:val="0"/>
          <w:bCs w:val="0"/>
          <w:color w:val="FF0000"/>
          <w:lang w:val="en-US" w:eastAsia="zh-CN" w:bidi="zh-CN"/>
        </w:rPr>
        <w:t xml:space="preserve">  </w:t>
      </w:r>
    </w:p>
    <w:p w14:paraId="32F9504B">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eastAsiaTheme="minorEastAsia"/>
          <w:b w:val="0"/>
          <w:bCs w:val="0"/>
          <w:color w:val="FF0000"/>
          <w:lang w:val="en-US" w:bidi="zh-CN"/>
        </w:rPr>
      </w:pPr>
      <w:r>
        <w:rPr>
          <w:rFonts w:hint="eastAsia" w:cs="Times New Roman" w:eastAsiaTheme="minorEastAsia"/>
          <w:b w:val="0"/>
          <w:bCs w:val="0"/>
          <w:color w:val="FF0000"/>
          <w:lang w:val="en-US" w:bidi="zh-CN"/>
        </w:rPr>
        <w:t xml:space="preserve">危废储存容器                         </w:t>
      </w:r>
    </w:p>
    <w:p w14:paraId="75B6F634">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eastAsiaTheme="minorEastAsia"/>
          <w:b w:val="0"/>
          <w:bCs w:val="0"/>
          <w:color w:val="FF0000"/>
          <w:lang w:val="en-US" w:bidi="zh-CN"/>
        </w:rPr>
      </w:pPr>
      <w:r>
        <w:rPr>
          <w:rFonts w:hint="default" w:cs="Times New Roman" w:eastAsiaTheme="minorEastAsia"/>
          <w:b w:val="0"/>
          <w:bCs w:val="0"/>
          <w:color w:val="FF0000"/>
          <w:lang w:val="en-US" w:bidi="zh-CN"/>
        </w:rPr>
        <w:drawing>
          <wp:inline distT="0" distB="0" distL="114300" distR="114300">
            <wp:extent cx="2520315" cy="3361690"/>
            <wp:effectExtent l="0" t="0" r="6985" b="3810"/>
            <wp:docPr id="172" name="图片 172" descr="62ac1c9bec0c8d8d1bf3d104fd2e34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62ac1c9bec0c8d8d1bf3d104fd2e34e5"/>
                    <pic:cNvPicPr>
                      <a:picLocks noChangeAspect="1"/>
                    </pic:cNvPicPr>
                  </pic:nvPicPr>
                  <pic:blipFill>
                    <a:blip r:embed="rId53"/>
                    <a:stretch>
                      <a:fillRect/>
                    </a:stretch>
                  </pic:blipFill>
                  <pic:spPr>
                    <a:xfrm>
                      <a:off x="0" y="0"/>
                      <a:ext cx="2520315" cy="3361690"/>
                    </a:xfrm>
                    <a:prstGeom prst="rect">
                      <a:avLst/>
                    </a:prstGeom>
                  </pic:spPr>
                </pic:pic>
              </a:graphicData>
            </a:graphic>
          </wp:inline>
        </w:drawing>
      </w:r>
      <w:r>
        <w:rPr>
          <w:rFonts w:hint="eastAsia" w:cs="Times New Roman" w:eastAsiaTheme="minorEastAsia"/>
          <w:b w:val="0"/>
          <w:bCs w:val="0"/>
          <w:color w:val="FF0000"/>
          <w:lang w:val="en-US" w:bidi="zh-CN"/>
        </w:rPr>
        <w:t xml:space="preserve">  </w:t>
      </w:r>
      <w:r>
        <w:rPr>
          <w:rFonts w:hint="default" w:cs="Times New Roman" w:eastAsiaTheme="minorEastAsia"/>
          <w:b w:val="0"/>
          <w:bCs w:val="0"/>
          <w:color w:val="FF0000"/>
          <w:lang w:val="en-US" w:bidi="zh-CN"/>
        </w:rPr>
        <w:drawing>
          <wp:inline distT="0" distB="0" distL="114300" distR="114300">
            <wp:extent cx="2520315" cy="3361690"/>
            <wp:effectExtent l="0" t="0" r="6985" b="3810"/>
            <wp:docPr id="183" name="图片 183" descr="d56c52eb3842b4d83ebea5811f30ec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d56c52eb3842b4d83ebea5811f30ec79"/>
                    <pic:cNvPicPr>
                      <a:picLocks noChangeAspect="1"/>
                    </pic:cNvPicPr>
                  </pic:nvPicPr>
                  <pic:blipFill>
                    <a:blip r:embed="rId54"/>
                    <a:stretch>
                      <a:fillRect/>
                    </a:stretch>
                  </pic:blipFill>
                  <pic:spPr>
                    <a:xfrm>
                      <a:off x="0" y="0"/>
                      <a:ext cx="2520315" cy="3361690"/>
                    </a:xfrm>
                    <a:prstGeom prst="rect">
                      <a:avLst/>
                    </a:prstGeom>
                  </pic:spPr>
                </pic:pic>
              </a:graphicData>
            </a:graphic>
          </wp:inline>
        </w:drawing>
      </w:r>
    </w:p>
    <w:p w14:paraId="580FDEB6">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eastAsiaTheme="minorEastAsia"/>
          <w:b w:val="0"/>
          <w:bCs w:val="0"/>
          <w:color w:val="FF0000"/>
          <w:lang w:val="en-US" w:bidi="zh-CN"/>
        </w:rPr>
      </w:pPr>
      <w:r>
        <w:rPr>
          <w:rFonts w:hint="eastAsia" w:cs="Times New Roman" w:eastAsiaTheme="minorEastAsia"/>
          <w:b w:val="0"/>
          <w:bCs w:val="0"/>
          <w:color w:val="FF0000"/>
          <w:lang w:val="en-US" w:bidi="zh-CN"/>
        </w:rPr>
        <w:t>场地现状</w:t>
      </w:r>
    </w:p>
    <w:p w14:paraId="529687C0">
      <w:pPr>
        <w:pStyle w:val="34"/>
        <w:ind w:left="0" w:leftChars="0" w:firstLine="0" w:firstLineChars="0"/>
        <w:jc w:val="center"/>
        <w:rPr>
          <w:rFonts w:hint="eastAsia" w:cs="Times New Roman" w:eastAsiaTheme="minorEastAsia"/>
          <w:b w:val="0"/>
          <w:bCs w:val="0"/>
          <w:color w:val="FF0000"/>
          <w:lang w:val="en-US" w:bidi="zh-CN"/>
        </w:rPr>
      </w:pPr>
      <w:r>
        <w:rPr>
          <w:rFonts w:hint="eastAsia" w:cs="Times New Roman" w:eastAsiaTheme="minorEastAsia"/>
          <w:b w:val="0"/>
          <w:bCs w:val="0"/>
          <w:color w:val="FF0000"/>
          <w:lang w:val="en-US" w:bidi="zh-CN"/>
        </w:rPr>
        <w:drawing>
          <wp:inline distT="0" distB="0" distL="114300" distR="114300">
            <wp:extent cx="3599815" cy="2026285"/>
            <wp:effectExtent l="0" t="0" r="6985" b="5715"/>
            <wp:docPr id="22" name="图片 22" descr="cce95e652f4d2a764e0c649a630131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ce95e652f4d2a764e0c649a630131c5"/>
                    <pic:cNvPicPr>
                      <a:picLocks noChangeAspect="1"/>
                    </pic:cNvPicPr>
                  </pic:nvPicPr>
                  <pic:blipFill>
                    <a:blip r:embed="rId55">
                      <a:lum bright="-6000"/>
                    </a:blip>
                    <a:stretch>
                      <a:fillRect/>
                    </a:stretch>
                  </pic:blipFill>
                  <pic:spPr>
                    <a:xfrm>
                      <a:off x="0" y="0"/>
                      <a:ext cx="3599815" cy="2026285"/>
                    </a:xfrm>
                    <a:prstGeom prst="rect">
                      <a:avLst/>
                    </a:prstGeom>
                  </pic:spPr>
                </pic:pic>
              </a:graphicData>
            </a:graphic>
          </wp:inline>
        </w:drawing>
      </w:r>
    </w:p>
    <w:p w14:paraId="75CD30C1">
      <w:pPr>
        <w:pStyle w:val="112"/>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eastAsiaTheme="minorEastAsia"/>
          <w:b w:val="0"/>
          <w:bCs w:val="0"/>
          <w:color w:val="FF0000"/>
          <w:lang w:val="en-US" w:bidi="zh-CN"/>
        </w:rPr>
      </w:pPr>
      <w:r>
        <w:rPr>
          <w:rFonts w:hint="eastAsia" w:cs="Times New Roman" w:eastAsiaTheme="minorEastAsia"/>
          <w:b w:val="0"/>
          <w:bCs w:val="0"/>
          <w:color w:val="FF0000"/>
          <w:lang w:val="en-US" w:bidi="zh-CN"/>
        </w:rPr>
        <w:t>防风抑尘网及场地现状</w:t>
      </w:r>
    </w:p>
    <w:p w14:paraId="18F2EA2E">
      <w:pPr>
        <w:pStyle w:val="3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cs="Times New Roman" w:eastAsiaTheme="minorEastAsia"/>
          <w:b w:val="0"/>
          <w:bCs w:val="0"/>
          <w:color w:val="FF0000"/>
          <w:sz w:val="21"/>
          <w:szCs w:val="21"/>
          <w:lang w:val="en-US" w:bidi="zh-CN"/>
        </w:rPr>
      </w:pPr>
      <w:r>
        <w:rPr>
          <w:rFonts w:hint="eastAsia" w:cs="Times New Roman"/>
          <w:b w:val="0"/>
          <w:bCs w:val="0"/>
          <w:color w:val="FF0000"/>
          <w:sz w:val="21"/>
          <w:szCs w:val="21"/>
          <w:lang w:val="en-US" w:bidi="zh-CN"/>
        </w:rPr>
        <w:t>（注：厂内无燃料及灰渣露天堆场，堆存石料为本次项目拟用材料，目前入场暂存）</w:t>
      </w:r>
    </w:p>
    <w:p w14:paraId="2B3D473B">
      <w:pPr>
        <w:pStyle w:val="34"/>
        <w:ind w:left="0" w:leftChars="0" w:firstLine="0" w:firstLineChars="0"/>
        <w:jc w:val="center"/>
        <w:rPr>
          <w:rFonts w:hint="default"/>
          <w:color w:val="FF0000"/>
          <w:lang w:val="en-US" w:eastAsia="zh-CN"/>
        </w:rPr>
      </w:pPr>
      <w:r>
        <w:rPr>
          <w:rFonts w:hint="default" w:ascii="Times New Roman" w:hAnsi="Times New Roman" w:eastAsia="黑体" w:cs="Times New Roman"/>
          <w:color w:val="FF0000"/>
          <w:kern w:val="2"/>
          <w:sz w:val="24"/>
          <w:szCs w:val="24"/>
          <w:lang w:val="en-US" w:eastAsia="zh-CN" w:bidi="ar-SA"/>
        </w:rPr>
        <w:t>图</w:t>
      </w:r>
      <w:r>
        <w:rPr>
          <w:rFonts w:hint="eastAsia" w:ascii="Times New Roman" w:hAnsi="Times New Roman" w:eastAsia="黑体" w:cs="Times New Roman"/>
          <w:color w:val="FF0000"/>
          <w:kern w:val="2"/>
          <w:sz w:val="24"/>
          <w:szCs w:val="24"/>
          <w:lang w:val="en-US" w:eastAsia="zh-CN" w:bidi="ar-SA"/>
        </w:rPr>
        <w:t>3.1</w:t>
      </w:r>
      <w:r>
        <w:rPr>
          <w:rFonts w:hint="default" w:ascii="Times New Roman" w:hAnsi="Times New Roman" w:eastAsia="黑体" w:cs="Times New Roman"/>
          <w:color w:val="FF0000"/>
          <w:kern w:val="2"/>
          <w:sz w:val="24"/>
          <w:szCs w:val="24"/>
          <w:lang w:val="en-US" w:eastAsia="zh-CN" w:bidi="ar-SA"/>
        </w:rPr>
        <w:t>-</w:t>
      </w:r>
      <w:r>
        <w:rPr>
          <w:rFonts w:hint="eastAsia" w:ascii="Times New Roman" w:hAnsi="Times New Roman" w:eastAsia="黑体" w:cs="Times New Roman"/>
          <w:color w:val="FF0000"/>
          <w:kern w:val="2"/>
          <w:sz w:val="24"/>
          <w:szCs w:val="24"/>
          <w:lang w:val="en-US" w:eastAsia="zh-CN" w:bidi="ar-SA"/>
        </w:rPr>
        <w:t>5</w:t>
      </w:r>
      <w:r>
        <w:rPr>
          <w:rFonts w:hint="default" w:ascii="Times New Roman" w:hAnsi="Times New Roman" w:eastAsia="黑体" w:cs="Times New Roman"/>
          <w:color w:val="FF0000"/>
          <w:kern w:val="2"/>
          <w:sz w:val="24"/>
          <w:szCs w:val="24"/>
          <w:lang w:val="en-US" w:eastAsia="zh-CN" w:bidi="ar-SA"/>
        </w:rPr>
        <w:t xml:space="preserve"> </w:t>
      </w:r>
      <w:r>
        <w:rPr>
          <w:rFonts w:hint="eastAsia" w:ascii="Times New Roman" w:hAnsi="Times New Roman" w:eastAsia="黑体" w:cs="Times New Roman"/>
          <w:color w:val="FF0000"/>
          <w:kern w:val="2"/>
          <w:sz w:val="24"/>
          <w:szCs w:val="24"/>
          <w:lang w:val="en-US" w:eastAsia="zh-CN" w:bidi="ar-SA"/>
        </w:rPr>
        <w:t xml:space="preserve"> 现有厂区污染防治措施照片</w:t>
      </w:r>
    </w:p>
    <w:p w14:paraId="01A1697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3.1.4.6 厂区现有工程污染物排放总量</w:t>
      </w:r>
    </w:p>
    <w:p w14:paraId="638F9AB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（1）现有工程核定排放总量</w:t>
      </w:r>
    </w:p>
    <w:p w14:paraId="17D4BEC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根据排污许可管理要求，本项目</w:t>
      </w:r>
      <w:r>
        <w:rPr>
          <w:rFonts w:hint="default" w:ascii="Times New Roman" w:hAnsi="Times New Roman" w:eastAsia="宋体" w:cs="Times New Roman"/>
          <w:color w:val="auto"/>
          <w:sz w:val="24"/>
          <w:szCs w:val="24"/>
          <w:highlight w:val="none"/>
          <w:lang w:val="en-US" w:eastAsia="zh-CN"/>
        </w:rPr>
        <w:t>锅炉的废气污染物各污染物排放量情况如下：</w:t>
      </w:r>
    </w:p>
    <w:p w14:paraId="7489193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3.1</w:t>
      </w:r>
      <w:r>
        <w:rPr>
          <w:rFonts w:hint="default" w:ascii="Times New Roman" w:hAnsi="Times New Roman" w:eastAsia="宋体" w:cs="Times New Roman"/>
          <w:b/>
          <w:bCs/>
          <w:color w:val="auto"/>
          <w:sz w:val="24"/>
          <w:szCs w:val="24"/>
          <w:lang w:val="en-US" w:eastAsia="zh-CN"/>
        </w:rPr>
        <w:t>-</w:t>
      </w:r>
      <w:r>
        <w:rPr>
          <w:rFonts w:hint="eastAsia" w:cs="Times New Roman"/>
          <w:b/>
          <w:bCs/>
          <w:color w:val="auto"/>
          <w:sz w:val="24"/>
          <w:szCs w:val="24"/>
          <w:lang w:val="en-US" w:eastAsia="zh-CN"/>
        </w:rPr>
        <w:t>10</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本项目</w:t>
      </w:r>
      <w:r>
        <w:rPr>
          <w:rFonts w:hint="default" w:ascii="Times New Roman" w:hAnsi="Times New Roman" w:eastAsia="宋体" w:cs="Times New Roman"/>
          <w:b/>
          <w:bCs/>
          <w:color w:val="auto"/>
          <w:sz w:val="24"/>
          <w:szCs w:val="24"/>
          <w:lang w:val="en-US" w:eastAsia="zh-CN"/>
        </w:rPr>
        <w:t>年许可排放量核算表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26C17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tcBorders>
              <w:top w:val="single" w:color="auto" w:sz="4" w:space="0"/>
              <w:left w:val="single" w:color="auto" w:sz="4" w:space="0"/>
            </w:tcBorders>
            <w:noWrap w:val="0"/>
            <w:vAlign w:val="center"/>
          </w:tcPr>
          <w:p w14:paraId="181C2B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项目</w:t>
            </w:r>
          </w:p>
        </w:tc>
        <w:tc>
          <w:tcPr>
            <w:tcW w:w="1249" w:type="pct"/>
            <w:tcBorders>
              <w:top w:val="single" w:color="auto" w:sz="4" w:space="0"/>
            </w:tcBorders>
            <w:noWrap w:val="0"/>
            <w:vAlign w:val="center"/>
          </w:tcPr>
          <w:p w14:paraId="305E66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颗粒物排放量（t/a）</w:t>
            </w:r>
          </w:p>
        </w:tc>
        <w:tc>
          <w:tcPr>
            <w:tcW w:w="1250" w:type="pct"/>
            <w:tcBorders>
              <w:top w:val="single" w:color="auto" w:sz="4" w:space="0"/>
            </w:tcBorders>
            <w:noWrap w:val="0"/>
            <w:vAlign w:val="center"/>
          </w:tcPr>
          <w:p w14:paraId="18BB4C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SO</w:t>
            </w:r>
            <w:r>
              <w:rPr>
                <w:rFonts w:hint="default" w:ascii="Times New Roman" w:hAnsi="Times New Roman" w:cs="Times New Roman"/>
                <w:color w:val="auto"/>
                <w:sz w:val="21"/>
                <w:szCs w:val="21"/>
                <w:highlight w:val="none"/>
                <w:vertAlign w:val="subscript"/>
                <w:lang w:val="en-US" w:eastAsia="zh-CN"/>
              </w:rPr>
              <w:t>2</w:t>
            </w:r>
            <w:r>
              <w:rPr>
                <w:rFonts w:hint="default" w:ascii="Times New Roman" w:hAnsi="Times New Roman" w:cs="Times New Roman"/>
                <w:color w:val="auto"/>
                <w:sz w:val="21"/>
                <w:szCs w:val="21"/>
                <w:highlight w:val="none"/>
                <w:lang w:val="en-US" w:eastAsia="zh-CN"/>
              </w:rPr>
              <w:t>排放量（t/a）</w:t>
            </w:r>
          </w:p>
        </w:tc>
        <w:tc>
          <w:tcPr>
            <w:tcW w:w="1250" w:type="pct"/>
            <w:tcBorders>
              <w:top w:val="single" w:color="auto" w:sz="4" w:space="0"/>
              <w:right w:val="single" w:color="auto" w:sz="4" w:space="0"/>
            </w:tcBorders>
            <w:noWrap w:val="0"/>
            <w:vAlign w:val="center"/>
          </w:tcPr>
          <w:p w14:paraId="79EFFA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NO</w:t>
            </w:r>
            <w:r>
              <w:rPr>
                <w:rFonts w:hint="eastAsia" w:ascii="Times New Roman" w:hAnsi="Times New Roman" w:cs="Times New Roman"/>
                <w:color w:val="auto"/>
                <w:sz w:val="21"/>
                <w:szCs w:val="21"/>
                <w:highlight w:val="none"/>
                <w:vertAlign w:val="subscript"/>
                <w:lang w:val="en-US" w:eastAsia="zh-CN"/>
              </w:rPr>
              <w:t>x</w:t>
            </w:r>
            <w:r>
              <w:rPr>
                <w:rFonts w:hint="default" w:ascii="Times New Roman" w:hAnsi="Times New Roman" w:cs="Times New Roman"/>
                <w:color w:val="auto"/>
                <w:sz w:val="21"/>
                <w:szCs w:val="21"/>
                <w:highlight w:val="none"/>
                <w:lang w:val="en-US" w:eastAsia="zh-CN"/>
              </w:rPr>
              <w:t>排放量（t/a）</w:t>
            </w:r>
          </w:p>
        </w:tc>
      </w:tr>
      <w:tr w14:paraId="41875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tcBorders>
              <w:left w:val="single" w:color="auto" w:sz="4" w:space="0"/>
              <w:bottom w:val="single" w:color="auto" w:sz="4" w:space="0"/>
            </w:tcBorders>
            <w:noWrap w:val="0"/>
            <w:vAlign w:val="center"/>
          </w:tcPr>
          <w:p w14:paraId="3BF744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总量指标</w:t>
            </w:r>
          </w:p>
        </w:tc>
        <w:tc>
          <w:tcPr>
            <w:tcW w:w="1249" w:type="pct"/>
            <w:tcBorders>
              <w:bottom w:val="single" w:color="auto" w:sz="4" w:space="0"/>
            </w:tcBorders>
            <w:noWrap w:val="0"/>
            <w:vAlign w:val="center"/>
          </w:tcPr>
          <w:p w14:paraId="1F9C75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25.09</w:t>
            </w:r>
          </w:p>
        </w:tc>
        <w:tc>
          <w:tcPr>
            <w:tcW w:w="1250" w:type="pct"/>
            <w:tcBorders>
              <w:bottom w:val="single" w:color="auto" w:sz="4" w:space="0"/>
            </w:tcBorders>
            <w:noWrap w:val="0"/>
            <w:vAlign w:val="center"/>
          </w:tcPr>
          <w:p w14:paraId="7FFDC9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100.36</w:t>
            </w:r>
          </w:p>
        </w:tc>
        <w:tc>
          <w:tcPr>
            <w:tcW w:w="1250" w:type="pct"/>
            <w:tcBorders>
              <w:bottom w:val="single" w:color="auto" w:sz="4" w:space="0"/>
              <w:right w:val="single" w:color="auto" w:sz="4" w:space="0"/>
            </w:tcBorders>
            <w:noWrap w:val="0"/>
            <w:vAlign w:val="center"/>
          </w:tcPr>
          <w:p w14:paraId="27F838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125.45</w:t>
            </w:r>
          </w:p>
        </w:tc>
      </w:tr>
    </w:tbl>
    <w:p w14:paraId="6292A1E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锅炉运行产生的废水全部回用于厂区给煤系统的洒水降尘、除灰渣系统的冷却降温，不外排。生活污水污染物浓度满足《污水综合排放标准》（GB8978-1996）表4三级标准，经市政污水管网排入八五二农场污水处理厂处理，经处理后污水排放浓度达到《城镇污水处理厂污染物排放标准》（GB18918-2002）一级A标准后排入蛤蟆通河。本项目无需申请水污染物总量指标。</w:t>
      </w:r>
    </w:p>
    <w:p w14:paraId="12F5E79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（2）现有工程实际排放总量</w:t>
      </w:r>
    </w:p>
    <w:p w14:paraId="7FF6F24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根据建设单位提供“重点排污单位自动监控与基础数据库系统信息”数据</w:t>
      </w:r>
    </w:p>
    <w:p w14:paraId="36614A8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2024年全年污染物（污染防治措施常规状态情况下）颗粒物、二氧化硫和氮氧化物排放量分别为6.15495t/a、52.07398t/a和73.13853t/a。2025年全年污染物（对污染防治措施进行升级，以超低排放管理进行调试，运行并不稳定，本次评价以2024年为基准年进行评价。）颗粒物、二氧化硫和氮氧化物排放量分别为5.40003t/a、2.53732t/a和7.94305t/a，均低于批复及排污许可要求总量25.09t/a、100.36t/a和125.45t/a。</w:t>
      </w:r>
    </w:p>
    <w:p w14:paraId="230368F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bookmarkStart w:id="191" w:name="_Toc30067"/>
      <w:bookmarkStart w:id="192" w:name="_Toc23339"/>
      <w:bookmarkStart w:id="193" w:name="_Toc22501"/>
      <w:r>
        <w:rPr>
          <w:rFonts w:hint="eastAsia" w:ascii="Times New Roman" w:hAnsi="Times New Roman" w:eastAsia="宋体" w:cs="Times New Roman"/>
          <w:color w:val="auto"/>
          <w:sz w:val="24"/>
          <w:szCs w:val="24"/>
          <w:highlight w:val="none"/>
          <w:lang w:val="en-US" w:eastAsia="zh-CN"/>
        </w:rPr>
        <w:t>根据《黑龙江省八五二农场保障性安居工程基础设施配套供热建设项目竣工环境保护验收监测报告》本项目污染物COD和氨氮排放量为0.012t/a和0.001t/a，</w:t>
      </w:r>
      <w:r>
        <w:rPr>
          <w:rFonts w:hint="default" w:ascii="Times New Roman" w:hAnsi="Times New Roman" w:eastAsia="宋体" w:cs="Times New Roman"/>
          <w:color w:val="auto"/>
          <w:sz w:val="24"/>
          <w:szCs w:val="24"/>
          <w:highlight w:val="none"/>
          <w:lang w:val="en-US" w:eastAsia="zh-CN"/>
        </w:rPr>
        <w:t>经市政污水管网排入八五二农场污水处理厂处理</w:t>
      </w:r>
      <w:r>
        <w:rPr>
          <w:rFonts w:hint="eastAsia" w:ascii="Times New Roman" w:hAnsi="Times New Roman" w:eastAsia="宋体" w:cs="Times New Roman"/>
          <w:color w:val="auto"/>
          <w:sz w:val="24"/>
          <w:szCs w:val="24"/>
          <w:highlight w:val="none"/>
          <w:lang w:val="en-US" w:eastAsia="zh-CN"/>
        </w:rPr>
        <w:t>，项目不须申请总量指标。项目污染物排放浓度低于环评中预测浓度，低于环评预测分担量COD0.0177t/a和氨氮0.0044t/a。</w:t>
      </w:r>
    </w:p>
    <w:p w14:paraId="31798E3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 xml:space="preserve">3.1.5 </w:t>
      </w:r>
      <w:r>
        <w:rPr>
          <w:rFonts w:hint="eastAsia" w:ascii="Times New Roman" w:hAnsi="Times New Roman" w:eastAsia="宋体" w:cs="Times New Roman"/>
          <w:b/>
          <w:bCs/>
          <w:color w:val="auto"/>
          <w:sz w:val="28"/>
          <w:szCs w:val="28"/>
          <w:lang w:val="en-US" w:eastAsia="zh-CN"/>
        </w:rPr>
        <w:t>现有工程风险防范措施</w:t>
      </w:r>
      <w:bookmarkEnd w:id="191"/>
      <w:bookmarkEnd w:id="192"/>
      <w:bookmarkEnd w:id="193"/>
      <w:r>
        <w:rPr>
          <w:rFonts w:hint="eastAsia" w:ascii="Times New Roman" w:hAnsi="Times New Roman" w:cs="Times New Roman"/>
          <w:b/>
          <w:bCs/>
          <w:color w:val="auto"/>
          <w:sz w:val="28"/>
          <w:szCs w:val="28"/>
          <w:lang w:val="en-US" w:eastAsia="zh-CN"/>
        </w:rPr>
        <w:t>情况</w:t>
      </w:r>
    </w:p>
    <w:p w14:paraId="50463F0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根据《突发环境事件风险评估报告》，企业现有环境风险防范措施如下：</w:t>
      </w:r>
    </w:p>
    <w:p w14:paraId="3A59316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bookmarkStart w:id="194" w:name="_Toc7915"/>
      <w:bookmarkStart w:id="195" w:name="_Toc31421"/>
      <w:bookmarkStart w:id="196" w:name="_Toc3949"/>
      <w:r>
        <w:rPr>
          <w:rFonts w:hint="default" w:ascii="Times New Roman" w:hAnsi="Times New Roman" w:eastAsia="宋体" w:cs="Times New Roman"/>
          <w:color w:val="auto"/>
          <w:sz w:val="24"/>
          <w:szCs w:val="24"/>
          <w:highlight w:val="none"/>
          <w:lang w:val="en-US" w:eastAsia="zh-CN"/>
        </w:rPr>
        <w:t>1、风险源监控</w:t>
      </w:r>
    </w:p>
    <w:p w14:paraId="61F9F01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全场视频监控系统：全场设置视频监控系统，可全天实时监控、各类环境风险。</w:t>
      </w:r>
    </w:p>
    <w:p w14:paraId="6A0EEA9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防爆系统：锅炉房设置防爆监控系统，可以方便的实现多区域联网和远程控制，安全监控。</w:t>
      </w:r>
    </w:p>
    <w:p w14:paraId="597E96A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2、工程防控措施</w:t>
      </w:r>
    </w:p>
    <w:p w14:paraId="6EDFF8E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事故排水系统：项目设置</w:t>
      </w:r>
      <w:r>
        <w:rPr>
          <w:rFonts w:hint="eastAsia" w:ascii="Times New Roman" w:hAnsi="Times New Roman" w:eastAsia="宋体" w:cs="Times New Roman"/>
          <w:color w:val="auto"/>
          <w:sz w:val="24"/>
          <w:szCs w:val="24"/>
          <w:highlight w:val="none"/>
          <w:lang w:val="en-US" w:eastAsia="zh-CN"/>
        </w:rPr>
        <w:t>废水暂存</w:t>
      </w:r>
      <w:r>
        <w:rPr>
          <w:rFonts w:hint="default" w:ascii="Times New Roman" w:hAnsi="Times New Roman" w:eastAsia="宋体" w:cs="Times New Roman"/>
          <w:color w:val="auto"/>
          <w:sz w:val="24"/>
          <w:szCs w:val="24"/>
          <w:highlight w:val="none"/>
          <w:lang w:val="en-US" w:eastAsia="zh-CN"/>
        </w:rPr>
        <w:t>池，事故发生时同时使用消防沙和沙袋等对消防废水进行收集、覆盖和围堵。</w:t>
      </w:r>
    </w:p>
    <w:p w14:paraId="049430F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3、日常管理控制措施</w:t>
      </w:r>
    </w:p>
    <w:p w14:paraId="67BF2C5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环境安全管理制度：项目正在制定</w:t>
      </w:r>
      <w:r>
        <w:rPr>
          <w:rFonts w:hint="eastAsia" w:ascii="Times New Roman" w:hAnsi="Times New Roman" w:eastAsia="宋体" w:cs="Times New Roman"/>
          <w:color w:val="auto"/>
          <w:sz w:val="24"/>
          <w:szCs w:val="24"/>
          <w:highlight w:val="none"/>
          <w:lang w:val="en-US" w:eastAsia="zh-CN"/>
        </w:rPr>
        <w:t>公司</w:t>
      </w:r>
      <w:r>
        <w:rPr>
          <w:rFonts w:hint="default" w:ascii="Times New Roman" w:hAnsi="Times New Roman" w:eastAsia="宋体" w:cs="Times New Roman"/>
          <w:color w:val="auto"/>
          <w:sz w:val="24"/>
          <w:szCs w:val="24"/>
          <w:highlight w:val="none"/>
          <w:lang w:val="en-US" w:eastAsia="zh-CN"/>
        </w:rPr>
        <w:t>日常环境安全检查管理制度，要求分工明确，定期进行隐患排查，形成规章制度，落实到人；</w:t>
      </w:r>
    </w:p>
    <w:p w14:paraId="2383885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重要设施检测维护制度：对供水、供电、火灾报警、监控等设施进行日常检查，填写检查记录，发现问题及时上报，限时整改；对事故处置装备、设施、物资进行定期巡查、补充。</w:t>
      </w:r>
    </w:p>
    <w:p w14:paraId="6B98B20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环境风险评估制度：针对风险源的变化，本单位定期进行场内环境风险评估，制定突发环境事件应急预案。</w:t>
      </w:r>
    </w:p>
    <w:p w14:paraId="7C9570F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日常环境监测制度：对</w:t>
      </w:r>
      <w:r>
        <w:rPr>
          <w:rFonts w:hint="eastAsia" w:ascii="Times New Roman" w:hAnsi="Times New Roman" w:eastAsia="宋体" w:cs="Times New Roman"/>
          <w:color w:val="auto"/>
          <w:sz w:val="24"/>
          <w:szCs w:val="24"/>
          <w:highlight w:val="none"/>
          <w:lang w:val="en-US" w:eastAsia="zh-CN"/>
        </w:rPr>
        <w:t>公司</w:t>
      </w:r>
      <w:r>
        <w:rPr>
          <w:rFonts w:hint="default" w:ascii="Times New Roman" w:hAnsi="Times New Roman" w:eastAsia="宋体" w:cs="Times New Roman"/>
          <w:color w:val="auto"/>
          <w:sz w:val="24"/>
          <w:szCs w:val="24"/>
          <w:highlight w:val="none"/>
          <w:lang w:val="en-US" w:eastAsia="zh-CN"/>
        </w:rPr>
        <w:t>进行定期的环境监测，保证各设备的环保达标排放。</w:t>
      </w:r>
    </w:p>
    <w:p w14:paraId="0DF43A4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 xml:space="preserve">3.1.6 </w:t>
      </w:r>
      <w:r>
        <w:rPr>
          <w:rFonts w:hint="eastAsia" w:ascii="Times New Roman" w:hAnsi="Times New Roman" w:eastAsia="宋体" w:cs="Times New Roman"/>
          <w:b/>
          <w:bCs/>
          <w:color w:val="auto"/>
          <w:sz w:val="28"/>
          <w:szCs w:val="28"/>
          <w:lang w:val="en-US" w:eastAsia="zh-CN"/>
        </w:rPr>
        <w:t>现有主要环境问题</w:t>
      </w:r>
      <w:bookmarkEnd w:id="194"/>
      <w:bookmarkEnd w:id="195"/>
      <w:bookmarkEnd w:id="196"/>
    </w:p>
    <w:p w14:paraId="375E8C1F">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3.1.6.1现有环境问题</w:t>
      </w:r>
    </w:p>
    <w:p w14:paraId="6C8E198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1、碎煤间和灰渣库进行了封闭处理，但现场踏查期间未设置封闭门</w:t>
      </w:r>
    </w:p>
    <w:p w14:paraId="49DFDCA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2、因更换运营单位，应及时更新突发环境事件应急预案材料。</w:t>
      </w:r>
    </w:p>
    <w:p w14:paraId="2648B9F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3、厂区室外地面未进行地面硬化。</w:t>
      </w:r>
    </w:p>
    <w:p w14:paraId="4DA0328B">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3.1.6.2 整改措施</w:t>
      </w:r>
    </w:p>
    <w:p w14:paraId="4CF4099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bookmarkStart w:id="197" w:name="_Toc13626"/>
      <w:r>
        <w:rPr>
          <w:rFonts w:hint="eastAsia" w:ascii="Times New Roman" w:hAnsi="Times New Roman" w:eastAsia="宋体" w:cs="Times New Roman"/>
          <w:color w:val="auto"/>
          <w:sz w:val="24"/>
          <w:szCs w:val="24"/>
          <w:highlight w:val="none"/>
          <w:lang w:val="en-US" w:eastAsia="zh-CN"/>
        </w:rPr>
        <w:t>1、对碎煤间和灰渣库进行全封闭设置</w:t>
      </w:r>
    </w:p>
    <w:p w14:paraId="1F6A290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2、本次环评取得批复后，建设单位依法编制环境风险突发应急预案并在当地的环境管理部门进行备案。</w:t>
      </w:r>
    </w:p>
    <w:p w14:paraId="6BC115F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3、按照简单防渗区要求，对厂区室外地面进行硬化处理。</w:t>
      </w:r>
    </w:p>
    <w:p w14:paraId="695F4E7A">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198" w:name="_Toc22011"/>
      <w:r>
        <w:rPr>
          <w:rFonts w:hint="eastAsia" w:ascii="Times New Roman" w:hAnsi="Times New Roman" w:cs="Times New Roman"/>
          <w:b/>
          <w:bCs/>
          <w:color w:val="auto"/>
          <w:lang w:val="en-US" w:eastAsia="zh-CN"/>
        </w:rPr>
        <w:t xml:space="preserve">3.2 </w:t>
      </w:r>
      <w:r>
        <w:rPr>
          <w:rFonts w:hint="eastAsia" w:ascii="Times New Roman" w:hAnsi="Times New Roman" w:eastAsia="宋体" w:cs="Times New Roman"/>
          <w:b/>
          <w:bCs/>
          <w:color w:val="auto"/>
        </w:rPr>
        <w:t>拟建工程建设内容</w:t>
      </w:r>
      <w:bookmarkEnd w:id="197"/>
      <w:bookmarkEnd w:id="198"/>
    </w:p>
    <w:p w14:paraId="2599038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199" w:name="_Toc32668"/>
      <w:bookmarkStart w:id="200" w:name="_Toc24982"/>
      <w:bookmarkStart w:id="201" w:name="_Toc8405"/>
      <w:r>
        <w:rPr>
          <w:rFonts w:hint="eastAsia" w:ascii="Times New Roman" w:hAnsi="Times New Roman" w:cs="Times New Roman"/>
          <w:b/>
          <w:bCs/>
          <w:color w:val="auto"/>
          <w:sz w:val="28"/>
          <w:szCs w:val="28"/>
          <w:lang w:val="en-US" w:eastAsia="zh-CN"/>
        </w:rPr>
        <w:t xml:space="preserve">3.2.1 </w:t>
      </w:r>
      <w:r>
        <w:rPr>
          <w:rFonts w:hint="eastAsia" w:ascii="Times New Roman" w:hAnsi="Times New Roman" w:eastAsia="宋体" w:cs="Times New Roman"/>
          <w:b/>
          <w:bCs/>
          <w:color w:val="auto"/>
          <w:sz w:val="28"/>
          <w:szCs w:val="28"/>
          <w:lang w:val="en-US" w:eastAsia="zh-CN"/>
        </w:rPr>
        <w:t>本项目基本情况</w:t>
      </w:r>
      <w:bookmarkEnd w:id="199"/>
      <w:bookmarkEnd w:id="200"/>
      <w:bookmarkEnd w:id="201"/>
    </w:p>
    <w:p w14:paraId="316F0D5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（1）项目名称：北大荒集团八五二农场两供两治一业供热改造项目</w:t>
      </w:r>
    </w:p>
    <w:p w14:paraId="5E5CA67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（2）建设单位：</w:t>
      </w:r>
      <w:r>
        <w:rPr>
          <w:rFonts w:hint="default" w:ascii="Times New Roman" w:hAnsi="Times New Roman" w:eastAsia="宋体" w:cs="Times New Roman"/>
          <w:color w:val="auto"/>
          <w:sz w:val="24"/>
          <w:szCs w:val="24"/>
          <w:highlight w:val="none"/>
          <w:lang w:val="en-US" w:eastAsia="zh-CN"/>
        </w:rPr>
        <w:t>北大荒集团黑龙江八五二农场有限公司</w:t>
      </w:r>
    </w:p>
    <w:p w14:paraId="6273EAF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（3）建设地点：</w:t>
      </w:r>
      <w:r>
        <w:rPr>
          <w:rFonts w:hint="default" w:ascii="Times New Roman" w:hAnsi="Times New Roman" w:eastAsia="宋体" w:cs="Times New Roman"/>
          <w:color w:val="auto"/>
          <w:sz w:val="24"/>
          <w:szCs w:val="24"/>
          <w:highlight w:val="none"/>
          <w:lang w:val="zh-CN" w:eastAsia="zh-CN"/>
        </w:rPr>
        <w:t>黑龙江省宝清县红兴隆管理局八五二农场场部</w:t>
      </w:r>
      <w:r>
        <w:rPr>
          <w:rFonts w:hint="default" w:ascii="Times New Roman" w:hAnsi="Times New Roman" w:eastAsia="宋体" w:cs="Times New Roman"/>
          <w:color w:val="auto"/>
          <w:sz w:val="24"/>
          <w:szCs w:val="24"/>
          <w:highlight w:val="none"/>
          <w:lang w:val="en-US" w:eastAsia="zh-CN"/>
        </w:rPr>
        <w:t>，其中锅炉改造工程位于北大荒集团黑龙江八五二农场有限公司热源厂现有厂区内</w:t>
      </w:r>
    </w:p>
    <w:p w14:paraId="291B8A7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（4）建设性质：改扩建</w:t>
      </w:r>
    </w:p>
    <w:p w14:paraId="3AC92B7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（5）建设规模：</w:t>
      </w:r>
      <w:r>
        <w:rPr>
          <w:rFonts w:hint="default" w:ascii="Times New Roman" w:hAnsi="Times New Roman" w:eastAsia="宋体" w:cs="Times New Roman"/>
          <w:color w:val="FF0000"/>
          <w:sz w:val="24"/>
          <w:szCs w:val="24"/>
          <w:highlight w:val="none"/>
          <w:lang w:val="en-US" w:eastAsia="zh-CN"/>
        </w:rPr>
        <w:t>拆除淘汰原有的2台46MW锅炉，在原址现有锅炉房建设2台42MW锅炉，锅炉配套布袋除尘器+氧化镁法脱硫（依托）+SNCR-SCR联合脱硝+</w:t>
      </w:r>
      <w:r>
        <w:rPr>
          <w:rFonts w:hint="eastAsia" w:ascii="Times New Roman" w:hAnsi="Times New Roman" w:eastAsia="宋体" w:cs="Times New Roman"/>
          <w:color w:val="FF0000"/>
          <w:sz w:val="24"/>
          <w:szCs w:val="24"/>
          <w:highlight w:val="none"/>
          <w:lang w:val="en-US" w:eastAsia="zh-CN"/>
        </w:rPr>
        <w:t>100</w:t>
      </w:r>
      <w:r>
        <w:rPr>
          <w:rFonts w:hint="default" w:ascii="Times New Roman" w:hAnsi="Times New Roman" w:eastAsia="宋体" w:cs="Times New Roman"/>
          <w:color w:val="FF0000"/>
          <w:sz w:val="24"/>
          <w:szCs w:val="24"/>
          <w:highlight w:val="none"/>
          <w:lang w:val="en-US" w:eastAsia="zh-CN"/>
        </w:rPr>
        <w:t>m烟囱排放（通过改造烟气走向，</w:t>
      </w:r>
      <w:r>
        <w:rPr>
          <w:rFonts w:hint="eastAsia" w:ascii="Times New Roman" w:hAnsi="Times New Roman" w:eastAsia="宋体" w:cs="Times New Roman"/>
          <w:color w:val="FF0000"/>
          <w:sz w:val="24"/>
          <w:szCs w:val="24"/>
          <w:highlight w:val="none"/>
          <w:lang w:val="en-US" w:eastAsia="zh-CN"/>
        </w:rPr>
        <w:t>利用原脱硫系统处理后，烟气</w:t>
      </w:r>
      <w:r>
        <w:rPr>
          <w:rFonts w:hint="default" w:ascii="Times New Roman" w:hAnsi="Times New Roman" w:eastAsia="宋体" w:cs="Times New Roman"/>
          <w:color w:val="FF0000"/>
          <w:sz w:val="24"/>
          <w:szCs w:val="24"/>
          <w:highlight w:val="none"/>
          <w:lang w:val="en-US" w:eastAsia="zh-CN"/>
        </w:rPr>
        <w:t>由原58m烟塔合一</w:t>
      </w:r>
      <w:r>
        <w:rPr>
          <w:rFonts w:hint="eastAsia" w:ascii="Times New Roman" w:hAnsi="Times New Roman" w:eastAsia="宋体" w:cs="Times New Roman"/>
          <w:color w:val="FF0000"/>
          <w:sz w:val="24"/>
          <w:szCs w:val="24"/>
          <w:highlight w:val="none"/>
          <w:lang w:val="en-US" w:eastAsia="zh-CN"/>
        </w:rPr>
        <w:t>排放，</w:t>
      </w:r>
      <w:r>
        <w:rPr>
          <w:rFonts w:hint="default" w:ascii="Times New Roman" w:hAnsi="Times New Roman" w:eastAsia="宋体" w:cs="Times New Roman"/>
          <w:color w:val="FF0000"/>
          <w:sz w:val="24"/>
          <w:szCs w:val="24"/>
          <w:highlight w:val="none"/>
          <w:lang w:val="en-US" w:eastAsia="zh-CN"/>
        </w:rPr>
        <w:t>改为依托厂内现有100m砖结构烟囱</w:t>
      </w:r>
      <w:r>
        <w:rPr>
          <w:rFonts w:hint="eastAsia" w:ascii="Times New Roman" w:hAnsi="Times New Roman" w:eastAsia="宋体" w:cs="Times New Roman"/>
          <w:color w:val="FF0000"/>
          <w:sz w:val="24"/>
          <w:szCs w:val="24"/>
          <w:highlight w:val="none"/>
          <w:lang w:val="en-US" w:eastAsia="zh-CN"/>
        </w:rPr>
        <w:t>排放。注：企业最初建设时烟气即通过该100m烟囱排放，后进行烟塔合一改造后烟气改变排放路线，本次项目项目保留原脱硫系统的情况下，改回原排放路线从工程施工角度是可实现的，且从考虑到企业始建时期批复及运行情况，该排放方式是可行的。</w:t>
      </w:r>
      <w:r>
        <w:rPr>
          <w:rFonts w:hint="default" w:ascii="Times New Roman" w:hAnsi="Times New Roman" w:eastAsia="宋体" w:cs="Times New Roman"/>
          <w:color w:val="FF0000"/>
          <w:sz w:val="24"/>
          <w:szCs w:val="24"/>
          <w:highlight w:val="none"/>
          <w:lang w:val="en-US" w:eastAsia="zh-CN"/>
        </w:rPr>
        <w:t>）；新建脱硫副产品间（7.2m×4m×9.3m）；新建消防泵房及消防水池，建筑面积238.9m</w:t>
      </w:r>
      <w:r>
        <w:rPr>
          <w:rFonts w:hint="default" w:ascii="Times New Roman" w:hAnsi="Times New Roman" w:eastAsia="宋体" w:cs="Times New Roman"/>
          <w:color w:val="FF0000"/>
          <w:sz w:val="24"/>
          <w:szCs w:val="24"/>
          <w:highlight w:val="none"/>
          <w:vertAlign w:val="superscript"/>
          <w:lang w:val="en-US" w:eastAsia="zh-CN"/>
        </w:rPr>
        <w:t>2</w:t>
      </w:r>
      <w:r>
        <w:rPr>
          <w:rFonts w:hint="default" w:ascii="Times New Roman" w:hAnsi="Times New Roman" w:eastAsia="宋体" w:cs="Times New Roman"/>
          <w:color w:val="FF0000"/>
          <w:sz w:val="24"/>
          <w:szCs w:val="24"/>
          <w:highlight w:val="none"/>
          <w:lang w:val="en-US" w:eastAsia="zh-CN"/>
        </w:rPr>
        <w:t>，地下占地面积207.4m</w:t>
      </w:r>
      <w:r>
        <w:rPr>
          <w:rFonts w:hint="default" w:ascii="Times New Roman" w:hAnsi="Times New Roman" w:eastAsia="宋体" w:cs="Times New Roman"/>
          <w:color w:val="FF0000"/>
          <w:sz w:val="24"/>
          <w:szCs w:val="24"/>
          <w:highlight w:val="none"/>
          <w:vertAlign w:val="superscript"/>
          <w:lang w:val="en-US" w:eastAsia="zh-CN"/>
        </w:rPr>
        <w:t>2</w:t>
      </w:r>
      <w:r>
        <w:rPr>
          <w:rFonts w:hint="default" w:ascii="Times New Roman" w:hAnsi="Times New Roman" w:eastAsia="宋体" w:cs="Times New Roman"/>
          <w:color w:val="FF0000"/>
          <w:sz w:val="24"/>
          <w:szCs w:val="24"/>
          <w:highlight w:val="none"/>
          <w:lang w:val="en-US" w:eastAsia="zh-CN"/>
        </w:rPr>
        <w:t>；地上建筑面积31.5m</w:t>
      </w:r>
      <w:r>
        <w:rPr>
          <w:rFonts w:hint="default" w:ascii="Times New Roman" w:hAnsi="Times New Roman" w:eastAsia="宋体" w:cs="Times New Roman"/>
          <w:color w:val="FF0000"/>
          <w:sz w:val="24"/>
          <w:szCs w:val="24"/>
          <w:highlight w:val="none"/>
          <w:vertAlign w:val="superscript"/>
          <w:lang w:val="en-US" w:eastAsia="zh-CN"/>
        </w:rPr>
        <w:t>2</w:t>
      </w:r>
      <w:r>
        <w:rPr>
          <w:rFonts w:hint="default" w:ascii="Times New Roman" w:hAnsi="Times New Roman" w:eastAsia="宋体" w:cs="Times New Roman"/>
          <w:color w:val="FF0000"/>
          <w:sz w:val="24"/>
          <w:szCs w:val="24"/>
          <w:highlight w:val="none"/>
          <w:lang w:val="en-US" w:eastAsia="zh-CN"/>
        </w:rPr>
        <w:t>，新建部分围墙（</w:t>
      </w:r>
      <w:r>
        <w:rPr>
          <w:rFonts w:hint="eastAsia" w:ascii="Times New Roman" w:hAnsi="Times New Roman" w:eastAsia="宋体" w:cs="Times New Roman"/>
          <w:color w:val="FF0000"/>
          <w:sz w:val="24"/>
          <w:szCs w:val="24"/>
          <w:highlight w:val="none"/>
          <w:lang w:val="en-US" w:eastAsia="zh-CN"/>
        </w:rPr>
        <w:t>300</w:t>
      </w:r>
      <w:r>
        <w:rPr>
          <w:rFonts w:hint="default" w:ascii="Times New Roman" w:hAnsi="Times New Roman" w:eastAsia="宋体" w:cs="Times New Roman"/>
          <w:color w:val="FF0000"/>
          <w:sz w:val="24"/>
          <w:szCs w:val="24"/>
          <w:highlight w:val="none"/>
          <w:lang w:val="en-US" w:eastAsia="zh-CN"/>
        </w:rPr>
        <w:t>m）及电动大门门库，对市政供热管线4.15km进行维修更换。依托厂区现有煤库、锅炉房、渣仓和库房等。</w:t>
      </w:r>
    </w:p>
    <w:p w14:paraId="142BBEC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（6）总投资：</w:t>
      </w:r>
      <w:r>
        <w:rPr>
          <w:rFonts w:hint="eastAsia" w:ascii="Times New Roman" w:hAnsi="Times New Roman" w:eastAsia="宋体" w:cs="Times New Roman"/>
          <w:color w:val="auto"/>
          <w:sz w:val="24"/>
          <w:szCs w:val="24"/>
          <w:highlight w:val="none"/>
          <w:lang w:val="en-US" w:eastAsia="zh-CN"/>
        </w:rPr>
        <w:t>2420</w:t>
      </w:r>
      <w:r>
        <w:rPr>
          <w:rFonts w:hint="default" w:ascii="Times New Roman" w:hAnsi="Times New Roman" w:eastAsia="宋体" w:cs="Times New Roman"/>
          <w:color w:val="auto"/>
          <w:sz w:val="24"/>
          <w:szCs w:val="24"/>
          <w:highlight w:val="none"/>
          <w:lang w:val="en-US" w:eastAsia="zh-CN"/>
        </w:rPr>
        <w:t>万元</w:t>
      </w:r>
      <w:r>
        <w:rPr>
          <w:rFonts w:hint="eastAsia" w:ascii="Times New Roman" w:hAnsi="Times New Roman" w:eastAsia="宋体" w:cs="Times New Roman"/>
          <w:color w:val="auto"/>
          <w:sz w:val="24"/>
          <w:szCs w:val="24"/>
          <w:highlight w:val="none"/>
          <w:lang w:val="en-US" w:eastAsia="zh-CN"/>
        </w:rPr>
        <w:t>。</w:t>
      </w:r>
    </w:p>
    <w:p w14:paraId="053526F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（7）劳动定员：</w:t>
      </w:r>
      <w:r>
        <w:rPr>
          <w:rFonts w:hint="eastAsia" w:ascii="Times New Roman" w:hAnsi="Times New Roman" w:eastAsia="宋体" w:cs="Times New Roman"/>
          <w:color w:val="auto"/>
          <w:sz w:val="24"/>
          <w:szCs w:val="24"/>
          <w:highlight w:val="none"/>
          <w:lang w:val="en-US" w:eastAsia="zh-CN"/>
        </w:rPr>
        <w:t>本项目现有员工25人，不新增员工。</w:t>
      </w:r>
    </w:p>
    <w:p w14:paraId="1014F6C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（8）运行时数：锅炉年运行时间为4320小时，日运行时间为24小时；锅炉满负荷年利用小时数2880小时，日利用小时数16小时，供暖期为每年10月15日—4月15日。</w:t>
      </w:r>
      <w:r>
        <w:rPr>
          <w:rFonts w:hint="eastAsia" w:ascii="Times New Roman" w:hAnsi="Times New Roman" w:eastAsia="宋体" w:cs="Times New Roman"/>
          <w:color w:val="auto"/>
          <w:sz w:val="24"/>
          <w:szCs w:val="24"/>
          <w:highlight w:val="none"/>
          <w:lang w:val="en-US" w:eastAsia="zh-CN"/>
        </w:rPr>
        <w:t>与现有工作时间保持不变。</w:t>
      </w:r>
    </w:p>
    <w:p w14:paraId="00F6D64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02" w:name="_Toc14952"/>
      <w:bookmarkStart w:id="203" w:name="_Toc15314"/>
      <w:bookmarkStart w:id="204" w:name="_Toc21498"/>
      <w:r>
        <w:rPr>
          <w:rFonts w:hint="eastAsia" w:ascii="Times New Roman" w:hAnsi="Times New Roman" w:eastAsia="宋体" w:cs="Times New Roman"/>
          <w:b/>
          <w:bCs/>
          <w:color w:val="auto"/>
          <w:sz w:val="28"/>
          <w:szCs w:val="28"/>
          <w:lang w:val="en-US" w:eastAsia="zh-CN"/>
        </w:rPr>
        <w:t>3.2.2 本项目工程内容</w:t>
      </w:r>
      <w:bookmarkEnd w:id="202"/>
      <w:bookmarkEnd w:id="203"/>
      <w:bookmarkEnd w:id="204"/>
    </w:p>
    <w:p w14:paraId="0797EF0B">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3.2.2.1 项目基本组成</w:t>
      </w:r>
    </w:p>
    <w:p w14:paraId="0A96434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本项目改建工程建设内容见表3.2-1。</w:t>
      </w:r>
    </w:p>
    <w:p w14:paraId="1A1D1F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p>
    <w:p w14:paraId="2F82AE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eastAsia="宋体" w:cs="Times New Roman"/>
          <w:b/>
          <w:bCs/>
          <w:color w:val="auto"/>
          <w:sz w:val="24"/>
          <w:szCs w:val="24"/>
          <w:lang w:val="en-US" w:eastAsia="zh-CN"/>
        </w:rPr>
        <w:t>表3.2</w:t>
      </w:r>
      <w:r>
        <w:rPr>
          <w:rFonts w:hint="eastAsia" w:ascii="Times New Roman" w:hAnsi="Times New Roman" w:eastAsia="宋体" w:cs="Times New Roman"/>
          <w:b/>
          <w:bCs/>
          <w:color w:val="auto"/>
          <w:sz w:val="24"/>
          <w:szCs w:val="24"/>
          <w:lang w:val="en-US" w:eastAsia="zh-CN"/>
        </w:rPr>
        <w:t>-1  本项目</w:t>
      </w:r>
      <w:r>
        <w:rPr>
          <w:rFonts w:hint="default" w:ascii="Times New Roman" w:hAnsi="Times New Roman" w:eastAsia="宋体" w:cs="Times New Roman"/>
          <w:b/>
          <w:bCs/>
          <w:color w:val="auto"/>
          <w:sz w:val="24"/>
          <w:szCs w:val="24"/>
          <w:lang w:val="en-US" w:eastAsia="zh-CN"/>
        </w:rPr>
        <w:t>主要建设内容一览表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811"/>
        <w:gridCol w:w="557"/>
        <w:gridCol w:w="739"/>
        <w:gridCol w:w="5130"/>
        <w:gridCol w:w="716"/>
      </w:tblGrid>
      <w:tr w14:paraId="4F3D5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33" w:type="pct"/>
            <w:tcBorders>
              <w:tl2br w:val="nil"/>
              <w:tr2bl w:val="nil"/>
            </w:tcBorders>
            <w:vAlign w:val="center"/>
          </w:tcPr>
          <w:p w14:paraId="212016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工程类别</w:t>
            </w:r>
          </w:p>
        </w:tc>
        <w:tc>
          <w:tcPr>
            <w:tcW w:w="4246" w:type="pct"/>
            <w:gridSpan w:val="4"/>
            <w:tcBorders>
              <w:tl2br w:val="nil"/>
              <w:tr2bl w:val="nil"/>
            </w:tcBorders>
            <w:vAlign w:val="center"/>
          </w:tcPr>
          <w:p w14:paraId="6F6EF3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建设内容</w:t>
            </w:r>
          </w:p>
        </w:tc>
        <w:tc>
          <w:tcPr>
            <w:tcW w:w="420" w:type="pct"/>
            <w:tcBorders>
              <w:tl2br w:val="nil"/>
              <w:tr2bl w:val="nil"/>
            </w:tcBorders>
            <w:vAlign w:val="center"/>
          </w:tcPr>
          <w:p w14:paraId="1E0D69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备注</w:t>
            </w:r>
          </w:p>
        </w:tc>
      </w:tr>
      <w:tr w14:paraId="1D441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tcBorders>
              <w:tl2br w:val="nil"/>
              <w:tr2bl w:val="nil"/>
            </w:tcBorders>
            <w:vAlign w:val="center"/>
          </w:tcPr>
          <w:p w14:paraId="3B377A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主体工程</w:t>
            </w:r>
          </w:p>
        </w:tc>
        <w:tc>
          <w:tcPr>
            <w:tcW w:w="475" w:type="pct"/>
            <w:tcBorders>
              <w:tl2br w:val="nil"/>
              <w:tr2bl w:val="nil"/>
            </w:tcBorders>
            <w:vAlign w:val="center"/>
          </w:tcPr>
          <w:p w14:paraId="02189D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FF0000"/>
                <w:sz w:val="21"/>
                <w:szCs w:val="21"/>
                <w:highlight w:val="none"/>
                <w:lang w:val="en-US" w:eastAsia="zh-CN"/>
              </w:rPr>
              <w:t>2台42MW</w:t>
            </w:r>
            <w:r>
              <w:rPr>
                <w:rFonts w:hint="eastAsia" w:cs="Times New Roman"/>
                <w:color w:val="FF0000"/>
                <w:sz w:val="21"/>
                <w:szCs w:val="21"/>
                <w:highlight w:val="none"/>
                <w:lang w:val="en-US" w:eastAsia="zh-CN"/>
              </w:rPr>
              <w:t>链条炉排</w:t>
            </w:r>
            <w:r>
              <w:rPr>
                <w:rFonts w:hint="eastAsia" w:ascii="Times New Roman" w:hAnsi="Times New Roman" w:cs="Times New Roman"/>
                <w:color w:val="FF0000"/>
                <w:sz w:val="21"/>
                <w:szCs w:val="21"/>
                <w:highlight w:val="none"/>
                <w:lang w:val="en-US" w:eastAsia="zh-CN"/>
              </w:rPr>
              <w:t>燃煤热水</w:t>
            </w:r>
            <w:r>
              <w:rPr>
                <w:rFonts w:hint="default" w:ascii="Times New Roman" w:hAnsi="Times New Roman" w:cs="Times New Roman"/>
                <w:color w:val="FF0000"/>
                <w:sz w:val="21"/>
                <w:szCs w:val="21"/>
                <w:highlight w:val="none"/>
                <w:lang w:val="en-US" w:eastAsia="zh-CN"/>
              </w:rPr>
              <w:t>锅炉</w:t>
            </w:r>
          </w:p>
        </w:tc>
        <w:tc>
          <w:tcPr>
            <w:tcW w:w="3770" w:type="pct"/>
            <w:gridSpan w:val="3"/>
            <w:tcBorders>
              <w:tl2br w:val="nil"/>
              <w:tr2bl w:val="nil"/>
            </w:tcBorders>
            <w:vAlign w:val="center"/>
          </w:tcPr>
          <w:p w14:paraId="331442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在现有厂区内建设，</w:t>
            </w:r>
            <w:r>
              <w:rPr>
                <w:rFonts w:hint="default" w:ascii="Times New Roman" w:hAnsi="Times New Roman" w:cs="Times New Roman"/>
                <w:color w:val="auto"/>
                <w:sz w:val="21"/>
                <w:szCs w:val="21"/>
                <w:highlight w:val="none"/>
                <w:lang w:val="en-US" w:eastAsia="zh-CN"/>
              </w:rPr>
              <w:t>拆除淘汰原有的2台46MW锅炉</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配套</w:t>
            </w:r>
            <w:r>
              <w:rPr>
                <w:rFonts w:hint="eastAsia" w:ascii="Times New Roman" w:hAnsi="Times New Roman" w:cs="Times New Roman"/>
                <w:color w:val="auto"/>
                <w:sz w:val="21"/>
                <w:szCs w:val="21"/>
                <w:highlight w:val="none"/>
                <w:lang w:val="en-US" w:eastAsia="zh-CN"/>
              </w:rPr>
              <w:t>设置炉内脱硝设施，现有</w:t>
            </w:r>
            <w:r>
              <w:rPr>
                <w:rFonts w:hint="default" w:ascii="Times New Roman" w:hAnsi="Times New Roman" w:cs="Times New Roman"/>
                <w:color w:val="auto"/>
                <w:sz w:val="21"/>
                <w:szCs w:val="21"/>
                <w:highlight w:val="none"/>
                <w:lang w:val="en-US" w:eastAsia="zh-CN"/>
              </w:rPr>
              <w:t>除尘</w:t>
            </w:r>
            <w:r>
              <w:rPr>
                <w:rFonts w:hint="eastAsia" w:ascii="Times New Roman" w:hAnsi="Times New Roman" w:cs="Times New Roman"/>
                <w:color w:val="auto"/>
                <w:sz w:val="21"/>
                <w:szCs w:val="21"/>
                <w:highlight w:val="none"/>
                <w:lang w:val="en-US" w:eastAsia="zh-CN"/>
              </w:rPr>
              <w:t>脱硫等设施进行维修等</w:t>
            </w:r>
            <w:r>
              <w:rPr>
                <w:rFonts w:hint="eastAsia" w:cs="Times New Roman"/>
                <w:color w:val="auto"/>
                <w:sz w:val="21"/>
                <w:szCs w:val="21"/>
                <w:highlight w:val="none"/>
                <w:lang w:val="en-US" w:eastAsia="zh-CN"/>
              </w:rPr>
              <w:t>。同时，</w:t>
            </w:r>
            <w:r>
              <w:rPr>
                <w:rFonts w:hint="eastAsia" w:ascii="Times New Roman" w:hAnsi="Times New Roman" w:cs="Times New Roman"/>
                <w:color w:val="auto"/>
                <w:sz w:val="21"/>
                <w:szCs w:val="21"/>
                <w:highlight w:val="none"/>
                <w:lang w:val="en-US" w:eastAsia="zh-CN"/>
              </w:rPr>
              <w:t>通过改造烟气走向，由原58m烟塔合一改为依托厂内现有100m砖结构烟囱</w:t>
            </w:r>
            <w:r>
              <w:rPr>
                <w:rFonts w:hint="default" w:ascii="Times New Roman" w:hAnsi="Times New Roman" w:cs="Times New Roman"/>
                <w:color w:val="auto"/>
                <w:sz w:val="21"/>
                <w:szCs w:val="21"/>
                <w:highlight w:val="none"/>
                <w:lang w:val="en-US" w:eastAsia="zh-CN"/>
              </w:rPr>
              <w:t>，内径</w:t>
            </w:r>
            <w:r>
              <w:rPr>
                <w:rFonts w:hint="eastAsia" w:cs="Times New Roman"/>
                <w:color w:val="auto"/>
                <w:sz w:val="21"/>
                <w:szCs w:val="21"/>
                <w:highlight w:val="none"/>
                <w:lang w:val="en-US" w:eastAsia="zh-CN"/>
              </w:rPr>
              <w:t>3.2</w:t>
            </w:r>
            <w:r>
              <w:rPr>
                <w:rFonts w:hint="default" w:ascii="Times New Roman" w:hAnsi="Times New Roman" w:cs="Times New Roman"/>
                <w:color w:val="auto"/>
                <w:sz w:val="21"/>
                <w:szCs w:val="21"/>
                <w:highlight w:val="none"/>
                <w:lang w:val="en-US" w:eastAsia="zh-CN"/>
              </w:rPr>
              <w:t>m，设置在线监测系统。锅炉房高度25m</w:t>
            </w:r>
            <w:r>
              <w:rPr>
                <w:rFonts w:hint="eastAsia" w:cs="Times New Roman"/>
                <w:color w:val="auto"/>
                <w:sz w:val="21"/>
                <w:szCs w:val="21"/>
                <w:highlight w:val="none"/>
                <w:lang w:val="en-US" w:eastAsia="zh-CN"/>
              </w:rPr>
              <w:t>不变。</w:t>
            </w:r>
          </w:p>
        </w:tc>
        <w:tc>
          <w:tcPr>
            <w:tcW w:w="420" w:type="pct"/>
            <w:tcBorders>
              <w:tl2br w:val="nil"/>
              <w:tr2bl w:val="nil"/>
            </w:tcBorders>
            <w:vAlign w:val="center"/>
          </w:tcPr>
          <w:p w14:paraId="638AAE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改建+利旧</w:t>
            </w:r>
          </w:p>
        </w:tc>
      </w:tr>
      <w:tr w14:paraId="4AE3A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vMerge w:val="restart"/>
            <w:tcBorders>
              <w:tl2br w:val="nil"/>
              <w:tr2bl w:val="nil"/>
            </w:tcBorders>
            <w:vAlign w:val="center"/>
          </w:tcPr>
          <w:p w14:paraId="166E9B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辅助工程</w:t>
            </w:r>
          </w:p>
        </w:tc>
        <w:tc>
          <w:tcPr>
            <w:tcW w:w="475" w:type="pct"/>
            <w:tcBorders>
              <w:tl2br w:val="nil"/>
              <w:tr2bl w:val="nil"/>
            </w:tcBorders>
            <w:vAlign w:val="center"/>
          </w:tcPr>
          <w:p w14:paraId="622E03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燃料供应系统</w:t>
            </w:r>
          </w:p>
        </w:tc>
        <w:tc>
          <w:tcPr>
            <w:tcW w:w="3770" w:type="pct"/>
            <w:gridSpan w:val="3"/>
            <w:tcBorders>
              <w:tl2br w:val="nil"/>
              <w:tr2bl w:val="nil"/>
            </w:tcBorders>
            <w:vAlign w:val="center"/>
          </w:tcPr>
          <w:p w14:paraId="2E7B5E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燃煤</w:t>
            </w:r>
            <w:r>
              <w:rPr>
                <w:rFonts w:hint="eastAsia" w:ascii="Times New Roman" w:hAnsi="Times New Roman" w:cs="Times New Roman"/>
                <w:color w:val="auto"/>
                <w:sz w:val="21"/>
                <w:szCs w:val="21"/>
                <w:highlight w:val="none"/>
                <w:lang w:val="en-US" w:eastAsia="zh-CN"/>
              </w:rPr>
              <w:t>于宝清县采购</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再经过汽车运输至本项目锅炉房封闭煤库内，运输距离约60km</w:t>
            </w:r>
            <w:r>
              <w:rPr>
                <w:rFonts w:hint="default" w:ascii="Times New Roman" w:hAnsi="Times New Roman" w:cs="Times New Roman"/>
                <w:color w:val="auto"/>
                <w:sz w:val="21"/>
                <w:szCs w:val="21"/>
                <w:highlight w:val="none"/>
                <w:lang w:val="en-US" w:eastAsia="zh-CN"/>
              </w:rPr>
              <w:t>。燃料由汽车运至厂区贮煤场，原煤经100m输煤廊运至各炉前密闭煤仓。锅炉设有有效容积200m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的密闭钢煤仓，可供单台锅炉8～10小时的燃烧煤量。煤场内配一台推土机，用于上煤、运煤、倒煤之用。</w:t>
            </w:r>
          </w:p>
        </w:tc>
        <w:tc>
          <w:tcPr>
            <w:tcW w:w="420" w:type="pct"/>
            <w:tcBorders>
              <w:tl2br w:val="nil"/>
              <w:tr2bl w:val="nil"/>
            </w:tcBorders>
            <w:vAlign w:val="center"/>
          </w:tcPr>
          <w:p w14:paraId="408BCD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19091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0F9D4F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shd w:val="clear" w:color="auto" w:fill="auto"/>
            <w:vAlign w:val="center"/>
          </w:tcPr>
          <w:p w14:paraId="09BAA8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上煤</w:t>
            </w:r>
            <w:r>
              <w:rPr>
                <w:rFonts w:hint="default" w:ascii="Times New Roman" w:hAnsi="Times New Roman" w:cs="Times New Roman"/>
                <w:color w:val="auto"/>
                <w:sz w:val="21"/>
                <w:szCs w:val="21"/>
                <w:highlight w:val="none"/>
                <w:lang w:val="en-US" w:eastAsia="zh-CN"/>
              </w:rPr>
              <w:t>系统</w:t>
            </w:r>
          </w:p>
        </w:tc>
        <w:tc>
          <w:tcPr>
            <w:tcW w:w="3770" w:type="pct"/>
            <w:gridSpan w:val="3"/>
            <w:tcBorders>
              <w:tl2br w:val="nil"/>
              <w:tr2bl w:val="nil"/>
            </w:tcBorders>
            <w:shd w:val="clear" w:color="auto" w:fill="auto"/>
            <w:vAlign w:val="center"/>
          </w:tcPr>
          <w:p w14:paraId="5314BD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贮煤场的原煤经输煤系统运至各炉前密闭煤仓，原煤经溜煤管后落在炉前分层给煤机中进入锅炉炉膛。炉排的减速机采用无级变速，能按要求随时调节炉排的运行速度以调节进入炉膛的给煤量。</w:t>
            </w:r>
            <w:r>
              <w:rPr>
                <w:rFonts w:hint="eastAsia" w:ascii="Times New Roman" w:hAnsi="Times New Roman" w:cs="Times New Roman"/>
                <w:color w:val="auto"/>
                <w:sz w:val="21"/>
                <w:szCs w:val="21"/>
                <w:highlight w:val="none"/>
                <w:lang w:val="en-US" w:eastAsia="zh-CN"/>
              </w:rPr>
              <w:t>原设备老旧，更换往复式给煤机、配套减速机及电动机</w:t>
            </w:r>
          </w:p>
        </w:tc>
        <w:tc>
          <w:tcPr>
            <w:tcW w:w="420" w:type="pct"/>
            <w:tcBorders>
              <w:tl2br w:val="nil"/>
              <w:tr2bl w:val="nil"/>
            </w:tcBorders>
            <w:shd w:val="clear" w:color="auto" w:fill="auto"/>
            <w:vAlign w:val="center"/>
          </w:tcPr>
          <w:p w14:paraId="635603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改造</w:t>
            </w:r>
          </w:p>
        </w:tc>
      </w:tr>
      <w:tr w14:paraId="69D22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vMerge w:val="continue"/>
            <w:tcBorders>
              <w:tl2br w:val="nil"/>
              <w:tr2bl w:val="nil"/>
            </w:tcBorders>
            <w:vAlign w:val="center"/>
          </w:tcPr>
          <w:p w14:paraId="3CF2A9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shd w:val="clear" w:color="auto" w:fill="auto"/>
            <w:vAlign w:val="center"/>
          </w:tcPr>
          <w:p w14:paraId="1A9C0D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输煤</w:t>
            </w:r>
            <w:r>
              <w:rPr>
                <w:rFonts w:hint="eastAsia" w:ascii="Times New Roman" w:hAnsi="Times New Roman" w:cs="Times New Roman"/>
                <w:color w:val="auto"/>
                <w:sz w:val="21"/>
                <w:szCs w:val="21"/>
                <w:highlight w:val="none"/>
                <w:lang w:val="en-US" w:eastAsia="zh-CN"/>
              </w:rPr>
              <w:t>系统</w:t>
            </w:r>
          </w:p>
        </w:tc>
        <w:tc>
          <w:tcPr>
            <w:tcW w:w="3770" w:type="pct"/>
            <w:gridSpan w:val="3"/>
            <w:tcBorders>
              <w:tl2br w:val="nil"/>
              <w:tr2bl w:val="nil"/>
            </w:tcBorders>
            <w:shd w:val="clear" w:color="auto" w:fill="auto"/>
            <w:vAlign w:val="center"/>
          </w:tcPr>
          <w:p w14:paraId="1BA090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输煤系统为单路，输煤采用单路皮带运输系统。为方便检修、减少占地面积，皮带运输机械由1段普通带式运输机及1段大倾角带式运输机构成；按二班制运行计算，满足其出力不应小于总耗煤量的300%的要求，输煤系统设计出力为60t/h。运行系统一班运行2～3小时，其余时间为设备检修。</w:t>
            </w:r>
            <w:r>
              <w:rPr>
                <w:rFonts w:hint="eastAsia" w:ascii="Times New Roman" w:hAnsi="Times New Roman" w:cs="Times New Roman"/>
                <w:color w:val="auto"/>
                <w:sz w:val="21"/>
                <w:szCs w:val="21"/>
                <w:highlight w:val="none"/>
                <w:lang w:val="en-US" w:eastAsia="zh-CN"/>
              </w:rPr>
              <w:t>输煤栈桥为全封闭设计</w:t>
            </w:r>
            <w:r>
              <w:rPr>
                <w:rFonts w:hint="default" w:ascii="Times New Roman" w:hAnsi="Times New Roman" w:cs="Times New Roman"/>
                <w:color w:val="auto"/>
                <w:sz w:val="21"/>
                <w:szCs w:val="21"/>
                <w:highlight w:val="none"/>
                <w:lang w:val="en-US" w:eastAsia="zh-CN"/>
              </w:rPr>
              <w:t>。</w:t>
            </w:r>
          </w:p>
        </w:tc>
        <w:tc>
          <w:tcPr>
            <w:tcW w:w="420" w:type="pct"/>
            <w:tcBorders>
              <w:tl2br w:val="nil"/>
              <w:tr2bl w:val="nil"/>
            </w:tcBorders>
            <w:shd w:val="clear" w:color="auto" w:fill="auto"/>
            <w:vAlign w:val="center"/>
          </w:tcPr>
          <w:p w14:paraId="0DA563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6F8E3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6BD803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shd w:val="clear" w:color="auto" w:fill="auto"/>
            <w:vAlign w:val="center"/>
          </w:tcPr>
          <w:p w14:paraId="257C9A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燃烧系统</w:t>
            </w:r>
          </w:p>
        </w:tc>
        <w:tc>
          <w:tcPr>
            <w:tcW w:w="3770" w:type="pct"/>
            <w:gridSpan w:val="3"/>
            <w:tcBorders>
              <w:tl2br w:val="nil"/>
              <w:tr2bl w:val="nil"/>
            </w:tcBorders>
            <w:shd w:val="clear" w:color="auto" w:fill="auto"/>
            <w:vAlign w:val="center"/>
          </w:tcPr>
          <w:p w14:paraId="400281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燃料经皮带输送系统送至燃烧室燃烧。送风机安装在锅炉间内，送风机由锅炉间上部取风，经送风机加压送入锅炉尾部的进风口，沿炉侧的风道进入锅炉。锅炉燃烧产生的烟气经“SNCR-SCR联合脱硝+布袋除尘器除尘+氧化镁法脱硫”处理后由</w:t>
            </w:r>
            <w:r>
              <w:rPr>
                <w:rFonts w:hint="eastAsia" w:cs="Times New Roman"/>
                <w:color w:val="auto"/>
                <w:sz w:val="21"/>
                <w:szCs w:val="21"/>
                <w:highlight w:val="none"/>
                <w:lang w:val="en-US" w:eastAsia="zh-CN"/>
              </w:rPr>
              <w:t>100</w:t>
            </w:r>
            <w:r>
              <w:rPr>
                <w:rFonts w:hint="default" w:ascii="Times New Roman" w:hAnsi="Times New Roman" w:cs="Times New Roman"/>
                <w:color w:val="auto"/>
                <w:sz w:val="21"/>
                <w:szCs w:val="21"/>
                <w:highlight w:val="none"/>
                <w:lang w:val="en-US" w:eastAsia="zh-CN"/>
              </w:rPr>
              <w:t>m高烟囱排放。</w:t>
            </w:r>
          </w:p>
        </w:tc>
        <w:tc>
          <w:tcPr>
            <w:tcW w:w="420" w:type="pct"/>
            <w:tcBorders>
              <w:tl2br w:val="nil"/>
              <w:tr2bl w:val="nil"/>
            </w:tcBorders>
            <w:shd w:val="clear" w:color="auto" w:fill="auto"/>
            <w:vAlign w:val="center"/>
          </w:tcPr>
          <w:p w14:paraId="5CECD6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46438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062D88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784722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热力系统</w:t>
            </w:r>
          </w:p>
        </w:tc>
        <w:tc>
          <w:tcPr>
            <w:tcW w:w="3770" w:type="pct"/>
            <w:gridSpan w:val="3"/>
            <w:tcBorders>
              <w:tl2br w:val="nil"/>
              <w:tr2bl w:val="nil"/>
            </w:tcBorders>
            <w:vAlign w:val="center"/>
          </w:tcPr>
          <w:p w14:paraId="3C9E72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供水管道均采用集中母管制，即锅炉的出水管集中汇集到一条供水母管上，供回水母管之间设带有电动调节阀的混水装置来调节锅炉房出口供水温度。热网的回水首先经除污器除污后，再由循环水泵加压进入锅炉的回水母管，分别进入各台锅炉的回水入口。</w:t>
            </w:r>
          </w:p>
          <w:p w14:paraId="038CE2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热网补水为软化水。化学水处理间来的软化水进入补水箱由补水泵补到热网循环水泵的回水母管上。</w:t>
            </w:r>
          </w:p>
        </w:tc>
        <w:tc>
          <w:tcPr>
            <w:tcW w:w="420" w:type="pct"/>
            <w:tcBorders>
              <w:tl2br w:val="nil"/>
              <w:tr2bl w:val="nil"/>
            </w:tcBorders>
            <w:shd w:val="clear" w:color="auto" w:fill="auto"/>
            <w:vAlign w:val="center"/>
          </w:tcPr>
          <w:p w14:paraId="101763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71624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vMerge w:val="continue"/>
            <w:tcBorders>
              <w:tl2br w:val="nil"/>
              <w:tr2bl w:val="nil"/>
            </w:tcBorders>
            <w:vAlign w:val="center"/>
          </w:tcPr>
          <w:p w14:paraId="06C977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299C99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软化水系统</w:t>
            </w:r>
          </w:p>
        </w:tc>
        <w:tc>
          <w:tcPr>
            <w:tcW w:w="3770" w:type="pct"/>
            <w:gridSpan w:val="3"/>
            <w:tcBorders>
              <w:tl2br w:val="nil"/>
              <w:tr2bl w:val="nil"/>
            </w:tcBorders>
            <w:vAlign w:val="center"/>
          </w:tcPr>
          <w:p w14:paraId="1E3368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采用离子交换树脂工艺，主要为生水箱→生水泵→全自动软水器→软化水箱→软化水泵→除氧器</w:t>
            </w:r>
            <w:r>
              <w:rPr>
                <w:rFonts w:hint="default" w:ascii="Times New Roman" w:hAnsi="Times New Roman" w:cs="Times New Roman"/>
                <w:color w:val="FF0000"/>
                <w:sz w:val="21"/>
                <w:szCs w:val="21"/>
                <w:highlight w:val="none"/>
                <w:lang w:val="en-US" w:eastAsia="zh-CN"/>
              </w:rPr>
              <w:t>。</w:t>
            </w:r>
          </w:p>
        </w:tc>
        <w:tc>
          <w:tcPr>
            <w:tcW w:w="420" w:type="pct"/>
            <w:tcBorders>
              <w:tl2br w:val="nil"/>
              <w:tr2bl w:val="nil"/>
            </w:tcBorders>
            <w:shd w:val="clear" w:color="auto" w:fill="auto"/>
            <w:vAlign w:val="center"/>
          </w:tcPr>
          <w:p w14:paraId="06245D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利旧</w:t>
            </w:r>
          </w:p>
        </w:tc>
      </w:tr>
      <w:tr w14:paraId="7823D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1F312D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5CF88A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除灰渣系统</w:t>
            </w:r>
          </w:p>
        </w:tc>
        <w:tc>
          <w:tcPr>
            <w:tcW w:w="3770" w:type="pct"/>
            <w:gridSpan w:val="3"/>
            <w:tcBorders>
              <w:tl2br w:val="nil"/>
              <w:tr2bl w:val="nil"/>
            </w:tcBorders>
            <w:vAlign w:val="center"/>
          </w:tcPr>
          <w:p w14:paraId="41E616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炉下布置1#重型板链除渣机，炉下渣斗及落灰管直接插入刮板捞渣机水封槽内，除尘器下细灰经落灰管直接落入2#刮板除渣机内，两台除渣机将渣运至3#重型板链除渣机内，再由3#重型板链除渣机运至灰渣</w:t>
            </w:r>
            <w:r>
              <w:rPr>
                <w:rFonts w:hint="eastAsia" w:ascii="Times New Roman" w:hAnsi="Times New Roman" w:cs="Times New Roman"/>
                <w:color w:val="auto"/>
                <w:sz w:val="21"/>
                <w:szCs w:val="21"/>
                <w:highlight w:val="none"/>
                <w:lang w:val="en-US" w:eastAsia="zh-CN"/>
              </w:rPr>
              <w:t>仓</w:t>
            </w:r>
            <w:r>
              <w:rPr>
                <w:rFonts w:hint="default" w:ascii="Times New Roman" w:hAnsi="Times New Roman" w:cs="Times New Roman"/>
                <w:color w:val="auto"/>
                <w:sz w:val="21"/>
                <w:szCs w:val="21"/>
                <w:highlight w:val="none"/>
                <w:lang w:val="en-US" w:eastAsia="zh-CN"/>
              </w:rPr>
              <w:t>内，可存炉渣8小时左右</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灰渣仓长10m、宽7m、高10m</w:t>
            </w:r>
            <w:r>
              <w:rPr>
                <w:rFonts w:hint="eastAsia" w:ascii="Times New Roman" w:hAnsi="Times New Roman" w:cs="Times New Roman"/>
                <w:color w:val="auto"/>
                <w:sz w:val="21"/>
                <w:szCs w:val="21"/>
                <w:highlight w:val="none"/>
                <w:lang w:val="en-US" w:eastAsia="zh-CN"/>
              </w:rPr>
              <w:t>，目前灰渣仓未完全封闭</w:t>
            </w:r>
          </w:p>
        </w:tc>
        <w:tc>
          <w:tcPr>
            <w:tcW w:w="420" w:type="pct"/>
            <w:tcBorders>
              <w:tl2br w:val="nil"/>
              <w:tr2bl w:val="nil"/>
            </w:tcBorders>
            <w:shd w:val="clear" w:color="auto" w:fill="auto"/>
            <w:vAlign w:val="center"/>
          </w:tcPr>
          <w:p w14:paraId="416839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利旧+改造</w:t>
            </w:r>
          </w:p>
        </w:tc>
      </w:tr>
      <w:tr w14:paraId="0854D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15B707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7F1E42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点火系统</w:t>
            </w:r>
          </w:p>
        </w:tc>
        <w:tc>
          <w:tcPr>
            <w:tcW w:w="3770" w:type="pct"/>
            <w:gridSpan w:val="3"/>
            <w:tcBorders>
              <w:tl2br w:val="nil"/>
              <w:tr2bl w:val="nil"/>
            </w:tcBorders>
            <w:vAlign w:val="center"/>
          </w:tcPr>
          <w:p w14:paraId="597DCE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本项目锅炉点火使用轻柴油，使用量约</w:t>
            </w: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t，并且在使用时临时购买，不在场区内储存，场区内不设置柴油储罐</w:t>
            </w:r>
            <w:r>
              <w:rPr>
                <w:rFonts w:hint="eastAsia" w:ascii="Times New Roman" w:hAnsi="Times New Roman" w:cs="Times New Roman"/>
                <w:color w:val="auto"/>
                <w:sz w:val="21"/>
                <w:szCs w:val="21"/>
                <w:highlight w:val="none"/>
                <w:lang w:val="en-US" w:eastAsia="zh-CN"/>
              </w:rPr>
              <w:t>。</w:t>
            </w:r>
          </w:p>
        </w:tc>
        <w:tc>
          <w:tcPr>
            <w:tcW w:w="420" w:type="pct"/>
            <w:tcBorders>
              <w:tl2br w:val="nil"/>
              <w:tr2bl w:val="nil"/>
            </w:tcBorders>
            <w:shd w:val="clear" w:color="auto" w:fill="auto"/>
            <w:vAlign w:val="center"/>
          </w:tcPr>
          <w:p w14:paraId="02B3C0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7F840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76D2A9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4BCA06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烟囱</w:t>
            </w:r>
          </w:p>
        </w:tc>
        <w:tc>
          <w:tcPr>
            <w:tcW w:w="3770" w:type="pct"/>
            <w:gridSpan w:val="3"/>
            <w:tcBorders>
              <w:tl2br w:val="nil"/>
              <w:tr2bl w:val="nil"/>
            </w:tcBorders>
            <w:vAlign w:val="center"/>
          </w:tcPr>
          <w:p w14:paraId="0C99FA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烟囱高</w:t>
            </w:r>
            <w:r>
              <w:rPr>
                <w:rFonts w:hint="eastAsia" w:cs="Times New Roman"/>
                <w:color w:val="auto"/>
                <w:sz w:val="21"/>
                <w:szCs w:val="21"/>
                <w:highlight w:val="none"/>
                <w:lang w:val="en-US" w:eastAsia="zh-CN"/>
              </w:rPr>
              <w:t>100</w:t>
            </w:r>
            <w:r>
              <w:rPr>
                <w:rFonts w:hint="default" w:ascii="Times New Roman" w:hAnsi="Times New Roman" w:cs="Times New Roman"/>
                <w:color w:val="auto"/>
                <w:sz w:val="21"/>
                <w:szCs w:val="21"/>
                <w:highlight w:val="none"/>
                <w:lang w:val="en-US" w:eastAsia="zh-CN"/>
              </w:rPr>
              <w:t>m，内径</w:t>
            </w:r>
            <w:r>
              <w:rPr>
                <w:rFonts w:hint="eastAsia" w:cs="Times New Roman"/>
                <w:color w:val="auto"/>
                <w:sz w:val="21"/>
                <w:szCs w:val="21"/>
                <w:highlight w:val="none"/>
                <w:lang w:val="en-US" w:eastAsia="zh-CN"/>
              </w:rPr>
              <w:t>3.2</w:t>
            </w:r>
            <w:r>
              <w:rPr>
                <w:rFonts w:hint="default" w:ascii="Times New Roman" w:hAnsi="Times New Roman" w:cs="Times New Roman"/>
                <w:color w:val="auto"/>
                <w:sz w:val="21"/>
                <w:szCs w:val="21"/>
                <w:highlight w:val="none"/>
                <w:lang w:val="en-US" w:eastAsia="zh-CN"/>
              </w:rPr>
              <w:t>m</w:t>
            </w:r>
          </w:p>
        </w:tc>
        <w:tc>
          <w:tcPr>
            <w:tcW w:w="420" w:type="pct"/>
            <w:tcBorders>
              <w:tl2br w:val="nil"/>
              <w:tr2bl w:val="nil"/>
            </w:tcBorders>
            <w:shd w:val="clear" w:color="auto" w:fill="auto"/>
            <w:vAlign w:val="center"/>
          </w:tcPr>
          <w:p w14:paraId="121EFF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3BAF5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22B93E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696517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消防泵房</w:t>
            </w:r>
          </w:p>
        </w:tc>
        <w:tc>
          <w:tcPr>
            <w:tcW w:w="3770" w:type="pct"/>
            <w:gridSpan w:val="3"/>
            <w:tcBorders>
              <w:tl2br w:val="nil"/>
              <w:tr2bl w:val="nil"/>
            </w:tcBorders>
            <w:vAlign w:val="center"/>
          </w:tcPr>
          <w:p w14:paraId="64BA90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新建消防泵房及消防水池，建筑面积238.9m</w:t>
            </w:r>
            <w:r>
              <w:rPr>
                <w:rFonts w:hint="default"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color w:val="auto"/>
                <w:sz w:val="21"/>
                <w:szCs w:val="21"/>
                <w:highlight w:val="none"/>
                <w:lang w:val="en-US" w:eastAsia="zh-CN"/>
              </w:rPr>
              <w:t>，地下占地面积207.4m</w:t>
            </w:r>
            <w:r>
              <w:rPr>
                <w:rFonts w:hint="default"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color w:val="auto"/>
                <w:sz w:val="21"/>
                <w:szCs w:val="21"/>
                <w:highlight w:val="none"/>
                <w:lang w:val="en-US" w:eastAsia="zh-CN"/>
              </w:rPr>
              <w:t>；地上建筑面积31.5m</w:t>
            </w:r>
            <w:r>
              <w:rPr>
                <w:rFonts w:hint="default"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color w:val="auto"/>
                <w:sz w:val="21"/>
                <w:szCs w:val="21"/>
                <w:highlight w:val="none"/>
                <w:lang w:val="en-US" w:eastAsia="zh-CN"/>
              </w:rPr>
              <w:t>，</w:t>
            </w:r>
          </w:p>
        </w:tc>
        <w:tc>
          <w:tcPr>
            <w:tcW w:w="420" w:type="pct"/>
            <w:tcBorders>
              <w:tl2br w:val="nil"/>
              <w:tr2bl w:val="nil"/>
            </w:tcBorders>
            <w:shd w:val="clear" w:color="auto" w:fill="auto"/>
            <w:vAlign w:val="center"/>
          </w:tcPr>
          <w:p w14:paraId="4E2EA1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w:t>
            </w:r>
          </w:p>
        </w:tc>
      </w:tr>
      <w:tr w14:paraId="028B3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29AD77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1E79F6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围墙及电动大门门库</w:t>
            </w:r>
          </w:p>
        </w:tc>
        <w:tc>
          <w:tcPr>
            <w:tcW w:w="3770" w:type="pct"/>
            <w:gridSpan w:val="3"/>
            <w:tcBorders>
              <w:tl2br w:val="nil"/>
              <w:tr2bl w:val="nil"/>
            </w:tcBorders>
            <w:vAlign w:val="center"/>
          </w:tcPr>
          <w:p w14:paraId="6DD821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新建部分围墙（</w:t>
            </w:r>
            <w:r>
              <w:rPr>
                <w:rFonts w:hint="eastAsia" w:ascii="Times New Roman" w:hAnsi="Times New Roman" w:cs="Times New Roman"/>
                <w:color w:val="auto"/>
                <w:sz w:val="21"/>
                <w:szCs w:val="21"/>
                <w:highlight w:val="none"/>
                <w:lang w:val="en-US" w:eastAsia="zh-CN"/>
              </w:rPr>
              <w:t>300</w:t>
            </w:r>
            <w:r>
              <w:rPr>
                <w:rFonts w:hint="default" w:ascii="Times New Roman" w:hAnsi="Times New Roman" w:cs="Times New Roman"/>
                <w:color w:val="auto"/>
                <w:sz w:val="21"/>
                <w:szCs w:val="21"/>
                <w:highlight w:val="none"/>
                <w:lang w:val="en-US" w:eastAsia="zh-CN"/>
              </w:rPr>
              <w:t>m）及电动大门门库</w:t>
            </w:r>
          </w:p>
        </w:tc>
        <w:tc>
          <w:tcPr>
            <w:tcW w:w="420" w:type="pct"/>
            <w:tcBorders>
              <w:tl2br w:val="nil"/>
              <w:tr2bl w:val="nil"/>
            </w:tcBorders>
            <w:shd w:val="clear" w:color="auto" w:fill="auto"/>
            <w:vAlign w:val="center"/>
          </w:tcPr>
          <w:p w14:paraId="65825F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w:t>
            </w:r>
          </w:p>
        </w:tc>
      </w:tr>
      <w:tr w14:paraId="384BE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restart"/>
            <w:tcBorders>
              <w:tl2br w:val="nil"/>
              <w:tr2bl w:val="nil"/>
            </w:tcBorders>
            <w:vAlign w:val="center"/>
          </w:tcPr>
          <w:p w14:paraId="39F352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公用工程</w:t>
            </w:r>
          </w:p>
        </w:tc>
        <w:tc>
          <w:tcPr>
            <w:tcW w:w="475" w:type="pct"/>
            <w:tcBorders>
              <w:tl2br w:val="nil"/>
              <w:tr2bl w:val="nil"/>
            </w:tcBorders>
            <w:vAlign w:val="center"/>
          </w:tcPr>
          <w:p w14:paraId="425D49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给水系统</w:t>
            </w:r>
          </w:p>
        </w:tc>
        <w:tc>
          <w:tcPr>
            <w:tcW w:w="3770" w:type="pct"/>
            <w:gridSpan w:val="3"/>
            <w:tcBorders>
              <w:tl2br w:val="nil"/>
              <w:tr2bl w:val="nil"/>
            </w:tcBorders>
            <w:vAlign w:val="center"/>
          </w:tcPr>
          <w:p w14:paraId="0DE4AB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热源厂水源由八五二农场市政管网供给，供水管径100mm，供水量满足厂区生产、生活用水。</w:t>
            </w:r>
            <w:r>
              <w:rPr>
                <w:rFonts w:hint="default" w:ascii="Times New Roman" w:hAnsi="Times New Roman" w:cs="Times New Roman"/>
                <w:color w:val="FF0000"/>
                <w:sz w:val="21"/>
                <w:szCs w:val="21"/>
                <w:highlight w:val="none"/>
                <w:lang w:val="en-US" w:eastAsia="zh-CN"/>
              </w:rPr>
              <w:t>厂区建设软化水系统，采用离子交换树脂工艺</w:t>
            </w:r>
            <w:r>
              <w:rPr>
                <w:rFonts w:hint="eastAsia" w:cs="Times New Roman"/>
                <w:color w:val="FF0000"/>
                <w:sz w:val="21"/>
                <w:szCs w:val="21"/>
                <w:highlight w:val="none"/>
                <w:lang w:val="en-US" w:eastAsia="zh-CN"/>
              </w:rPr>
              <w:t>，</w:t>
            </w:r>
            <w:r>
              <w:rPr>
                <w:rFonts w:hint="default" w:ascii="Times New Roman" w:hAnsi="Times New Roman" w:cs="Times New Roman"/>
                <w:color w:val="FF0000"/>
                <w:sz w:val="21"/>
                <w:szCs w:val="21"/>
                <w:highlight w:val="none"/>
                <w:lang w:val="en-US" w:eastAsia="zh-CN"/>
              </w:rPr>
              <w:t>其出力能够满足工程的用水需求。</w:t>
            </w:r>
          </w:p>
        </w:tc>
        <w:tc>
          <w:tcPr>
            <w:tcW w:w="420" w:type="pct"/>
            <w:tcBorders>
              <w:tl2br w:val="nil"/>
              <w:tr2bl w:val="nil"/>
            </w:tcBorders>
            <w:vAlign w:val="center"/>
          </w:tcPr>
          <w:p w14:paraId="7DDA1C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依托</w:t>
            </w:r>
          </w:p>
        </w:tc>
      </w:tr>
      <w:tr w14:paraId="765EF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39593D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1CE3DE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排水系统</w:t>
            </w:r>
          </w:p>
        </w:tc>
        <w:tc>
          <w:tcPr>
            <w:tcW w:w="3770" w:type="pct"/>
            <w:gridSpan w:val="3"/>
            <w:tcBorders>
              <w:tl2br w:val="nil"/>
              <w:tr2bl w:val="nil"/>
            </w:tcBorders>
            <w:vAlign w:val="center"/>
          </w:tcPr>
          <w:p w14:paraId="242866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锅炉运行产生的废水全部回用于厂区给煤系统的洒水降尘、除灰渣系统的冷却降温，不外排，生活污水污染物浓度满足《污水综合排放标准》（GB8978-1996）表4三级标准，经市政污水管网排入八五二农场污水处理厂处理，经处理后污水排放浓度达到《城镇污水处理厂污染物排放标准》（GB18918-2002）一级A标准后排入蛤蟆通河。</w:t>
            </w:r>
          </w:p>
          <w:p w14:paraId="70F992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厂区采用雨污分流排水系统，初期雨水经初期雨水收集池处理后用于厂区洒水降尘，后期雨水靠重力作用经厂区内雨水排水沟收集后，经雨水排放口排放至蛤蟆通河。</w:t>
            </w:r>
          </w:p>
        </w:tc>
        <w:tc>
          <w:tcPr>
            <w:tcW w:w="420" w:type="pct"/>
            <w:tcBorders>
              <w:tl2br w:val="nil"/>
              <w:tr2bl w:val="nil"/>
            </w:tcBorders>
            <w:vAlign w:val="center"/>
          </w:tcPr>
          <w:p w14:paraId="5D283D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依托</w:t>
            </w:r>
          </w:p>
        </w:tc>
      </w:tr>
      <w:tr w14:paraId="0FB8C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30D72A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638B16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供电系统</w:t>
            </w:r>
          </w:p>
        </w:tc>
        <w:tc>
          <w:tcPr>
            <w:tcW w:w="3770" w:type="pct"/>
            <w:gridSpan w:val="3"/>
            <w:tcBorders>
              <w:tl2br w:val="nil"/>
              <w:tr2bl w:val="nil"/>
            </w:tcBorders>
            <w:vAlign w:val="center"/>
          </w:tcPr>
          <w:p w14:paraId="1773EA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农场场部现有一座63KV枢纽变电所，变电所主变电压比63/35/10KV。负责向农场供电，电力充足，项目建设地点距离400V低压线路较近，可满足用电要求。</w:t>
            </w:r>
          </w:p>
        </w:tc>
        <w:tc>
          <w:tcPr>
            <w:tcW w:w="420" w:type="pct"/>
            <w:tcBorders>
              <w:tl2br w:val="nil"/>
              <w:tr2bl w:val="nil"/>
            </w:tcBorders>
            <w:vAlign w:val="center"/>
          </w:tcPr>
          <w:p w14:paraId="3844F7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依托</w:t>
            </w:r>
          </w:p>
        </w:tc>
      </w:tr>
      <w:tr w14:paraId="2F102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vMerge w:val="restart"/>
            <w:tcBorders>
              <w:tl2br w:val="nil"/>
              <w:tr2bl w:val="nil"/>
            </w:tcBorders>
            <w:vAlign w:val="center"/>
          </w:tcPr>
          <w:p w14:paraId="58CE5D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储运工程</w:t>
            </w:r>
          </w:p>
        </w:tc>
        <w:tc>
          <w:tcPr>
            <w:tcW w:w="475" w:type="pct"/>
            <w:tcBorders>
              <w:tl2br w:val="nil"/>
              <w:tr2bl w:val="nil"/>
            </w:tcBorders>
            <w:vAlign w:val="center"/>
          </w:tcPr>
          <w:p w14:paraId="4EDA6C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煤库</w:t>
            </w:r>
          </w:p>
        </w:tc>
        <w:tc>
          <w:tcPr>
            <w:tcW w:w="3770" w:type="pct"/>
            <w:gridSpan w:val="3"/>
            <w:tcBorders>
              <w:tl2br w:val="nil"/>
              <w:tr2bl w:val="nil"/>
            </w:tcBorders>
            <w:vAlign w:val="center"/>
          </w:tcPr>
          <w:p w14:paraId="1A8F25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设置</w:t>
            </w:r>
            <w:r>
              <w:rPr>
                <w:rFonts w:hint="eastAsia" w:cs="Times New Roman"/>
                <w:color w:val="FF0000"/>
                <w:sz w:val="21"/>
                <w:szCs w:val="21"/>
                <w:highlight w:val="none"/>
                <w:lang w:val="en-US" w:eastAsia="zh-CN"/>
              </w:rPr>
              <w:t>长约72m，宽约32m，建筑面积2300</w:t>
            </w:r>
            <w:r>
              <w:rPr>
                <w:rFonts w:hint="eastAsia" w:ascii="Times New Roman" w:hAnsi="Times New Roman" w:cs="Times New Roman"/>
                <w:color w:val="FF0000"/>
                <w:sz w:val="21"/>
                <w:szCs w:val="21"/>
                <w:highlight w:val="none"/>
                <w:lang w:val="en-US" w:eastAsia="zh-CN"/>
              </w:rPr>
              <w:t>m</w:t>
            </w:r>
            <w:r>
              <w:rPr>
                <w:rFonts w:hint="eastAsia" w:ascii="Times New Roman" w:hAnsi="Times New Roman" w:cs="Times New Roman"/>
                <w:color w:val="FF0000"/>
                <w:sz w:val="21"/>
                <w:szCs w:val="21"/>
                <w:highlight w:val="none"/>
                <w:vertAlign w:val="superscript"/>
                <w:lang w:val="en-US" w:eastAsia="zh-CN"/>
              </w:rPr>
              <w:t>2</w:t>
            </w:r>
            <w:r>
              <w:rPr>
                <w:rFonts w:hint="eastAsia" w:ascii="Times New Roman" w:hAnsi="Times New Roman" w:cs="Times New Roman"/>
                <w:color w:val="FF0000"/>
                <w:sz w:val="21"/>
                <w:szCs w:val="21"/>
                <w:highlight w:val="none"/>
                <w:lang w:val="en-US" w:eastAsia="zh-CN"/>
              </w:rPr>
              <w:t>封闭贮煤库</w:t>
            </w:r>
            <w:r>
              <w:rPr>
                <w:rFonts w:hint="default" w:ascii="Times New Roman" w:hAnsi="Times New Roman" w:cs="Times New Roman"/>
                <w:color w:val="FF0000"/>
                <w:sz w:val="21"/>
                <w:szCs w:val="21"/>
                <w:highlight w:val="none"/>
                <w:lang w:val="en-US" w:eastAsia="zh-CN"/>
              </w:rPr>
              <w:t>，地面做防渗处理。煤堆高度为5m，储煤量2000t满足锅炉约7天的用量。</w:t>
            </w:r>
          </w:p>
        </w:tc>
        <w:tc>
          <w:tcPr>
            <w:tcW w:w="420" w:type="pct"/>
            <w:tcBorders>
              <w:tl2br w:val="nil"/>
              <w:tr2bl w:val="nil"/>
            </w:tcBorders>
            <w:vAlign w:val="center"/>
          </w:tcPr>
          <w:p w14:paraId="68C3D0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利旧</w:t>
            </w:r>
          </w:p>
        </w:tc>
      </w:tr>
      <w:tr w14:paraId="43E54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28634F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7ED39E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灰渣仓</w:t>
            </w:r>
          </w:p>
        </w:tc>
        <w:tc>
          <w:tcPr>
            <w:tcW w:w="3770" w:type="pct"/>
            <w:gridSpan w:val="3"/>
            <w:tcBorders>
              <w:tl2br w:val="nil"/>
              <w:tr2bl w:val="nil"/>
            </w:tcBorders>
            <w:vAlign w:val="center"/>
          </w:tcPr>
          <w:p w14:paraId="30C4F5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灰渣仓长10m、宽7m、高10m。</w:t>
            </w:r>
            <w:r>
              <w:rPr>
                <w:rFonts w:hint="eastAsia" w:ascii="Times New Roman" w:hAnsi="Times New Roman" w:cs="Times New Roman"/>
                <w:color w:val="auto"/>
                <w:sz w:val="21"/>
                <w:szCs w:val="21"/>
                <w:highlight w:val="none"/>
                <w:lang w:val="en-US" w:eastAsia="zh-CN"/>
              </w:rPr>
              <w:t>对门窗进行全封闭维修</w:t>
            </w:r>
          </w:p>
        </w:tc>
        <w:tc>
          <w:tcPr>
            <w:tcW w:w="420" w:type="pct"/>
            <w:tcBorders>
              <w:tl2br w:val="nil"/>
              <w:tr2bl w:val="nil"/>
            </w:tcBorders>
            <w:vAlign w:val="center"/>
          </w:tcPr>
          <w:p w14:paraId="5FA447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利旧+改造</w:t>
            </w:r>
          </w:p>
        </w:tc>
      </w:tr>
      <w:tr w14:paraId="6FC3E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333" w:type="pct"/>
            <w:vMerge w:val="continue"/>
            <w:tcBorders>
              <w:tl2br w:val="nil"/>
              <w:tr2bl w:val="nil"/>
            </w:tcBorders>
            <w:vAlign w:val="center"/>
          </w:tcPr>
          <w:p w14:paraId="1BB994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3FA792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脱硫副产品间</w:t>
            </w:r>
          </w:p>
        </w:tc>
        <w:tc>
          <w:tcPr>
            <w:tcW w:w="3770" w:type="pct"/>
            <w:gridSpan w:val="3"/>
            <w:tcBorders>
              <w:tl2br w:val="nil"/>
              <w:tr2bl w:val="nil"/>
            </w:tcBorders>
            <w:vAlign w:val="center"/>
          </w:tcPr>
          <w:p w14:paraId="279F05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脱硫副产品间长</w:t>
            </w:r>
            <w:r>
              <w:rPr>
                <w:rFonts w:hint="default" w:ascii="Times New Roman" w:hAnsi="Times New Roman" w:cs="Times New Roman"/>
                <w:color w:val="auto"/>
                <w:sz w:val="21"/>
                <w:szCs w:val="21"/>
                <w:highlight w:val="none"/>
                <w:lang w:val="en-US" w:eastAsia="zh-CN"/>
              </w:rPr>
              <w:t>7.2m</w:t>
            </w:r>
            <w:r>
              <w:rPr>
                <w:rFonts w:hint="eastAsia" w:ascii="Times New Roman" w:hAnsi="Times New Roman" w:cs="Times New Roman"/>
                <w:color w:val="auto"/>
                <w:sz w:val="21"/>
                <w:szCs w:val="21"/>
                <w:highlight w:val="none"/>
                <w:lang w:val="en-US" w:eastAsia="zh-CN"/>
              </w:rPr>
              <w:t>、宽</w:t>
            </w:r>
            <w:r>
              <w:rPr>
                <w:rFonts w:hint="default" w:ascii="Times New Roman" w:hAnsi="Times New Roman" w:cs="Times New Roman"/>
                <w:color w:val="auto"/>
                <w:sz w:val="21"/>
                <w:szCs w:val="21"/>
                <w:highlight w:val="none"/>
                <w:lang w:val="en-US" w:eastAsia="zh-CN"/>
              </w:rPr>
              <w:t>4m</w:t>
            </w:r>
            <w:r>
              <w:rPr>
                <w:rFonts w:hint="eastAsia" w:ascii="Times New Roman" w:hAnsi="Times New Roman" w:cs="Times New Roman"/>
                <w:color w:val="auto"/>
                <w:sz w:val="21"/>
                <w:szCs w:val="21"/>
                <w:highlight w:val="none"/>
                <w:lang w:val="en-US" w:eastAsia="zh-CN"/>
              </w:rPr>
              <w:t>、高</w:t>
            </w:r>
            <w:r>
              <w:rPr>
                <w:rFonts w:hint="default" w:ascii="Times New Roman" w:hAnsi="Times New Roman" w:cs="Times New Roman"/>
                <w:color w:val="auto"/>
                <w:sz w:val="21"/>
                <w:szCs w:val="21"/>
                <w:highlight w:val="none"/>
                <w:lang w:val="en-US" w:eastAsia="zh-CN"/>
              </w:rPr>
              <w:t>9.3m</w:t>
            </w:r>
            <w:r>
              <w:rPr>
                <w:rFonts w:hint="eastAsia" w:ascii="Times New Roman" w:hAnsi="Times New Roman" w:cs="Times New Roman"/>
                <w:color w:val="auto"/>
                <w:sz w:val="21"/>
                <w:szCs w:val="21"/>
                <w:highlight w:val="none"/>
                <w:lang w:val="en-US" w:eastAsia="zh-CN"/>
              </w:rPr>
              <w:t>，为封闭厂房</w:t>
            </w:r>
          </w:p>
        </w:tc>
        <w:tc>
          <w:tcPr>
            <w:tcW w:w="420" w:type="pct"/>
            <w:tcBorders>
              <w:tl2br w:val="nil"/>
              <w:tr2bl w:val="nil"/>
            </w:tcBorders>
            <w:vAlign w:val="center"/>
          </w:tcPr>
          <w:p w14:paraId="2A8E33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w:t>
            </w:r>
          </w:p>
        </w:tc>
      </w:tr>
      <w:tr w14:paraId="4F147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333" w:type="pct"/>
            <w:tcBorders>
              <w:tl2br w:val="nil"/>
              <w:tr2bl w:val="nil"/>
            </w:tcBorders>
            <w:shd w:val="clear" w:color="auto" w:fill="auto"/>
            <w:vAlign w:val="center"/>
          </w:tcPr>
          <w:p w14:paraId="1682B4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配套工程</w:t>
            </w:r>
          </w:p>
        </w:tc>
        <w:tc>
          <w:tcPr>
            <w:tcW w:w="475" w:type="pct"/>
            <w:tcBorders>
              <w:tl2br w:val="nil"/>
              <w:tr2bl w:val="nil"/>
            </w:tcBorders>
            <w:shd w:val="clear" w:color="auto" w:fill="auto"/>
            <w:vAlign w:val="center"/>
          </w:tcPr>
          <w:p w14:paraId="74070E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管网工程</w:t>
            </w:r>
          </w:p>
        </w:tc>
        <w:tc>
          <w:tcPr>
            <w:tcW w:w="3770" w:type="pct"/>
            <w:gridSpan w:val="3"/>
            <w:tcBorders>
              <w:tl2br w:val="nil"/>
              <w:tr2bl w:val="nil"/>
            </w:tcBorders>
            <w:shd w:val="clear" w:color="auto" w:fill="auto"/>
            <w:vAlign w:val="center"/>
          </w:tcPr>
          <w:p w14:paraId="686E33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对市政供热管线4.15km进行维修更换。</w:t>
            </w:r>
            <w:r>
              <w:rPr>
                <w:rFonts w:hint="eastAsia" w:cs="Times New Roman"/>
                <w:color w:val="FF0000"/>
                <w:sz w:val="21"/>
                <w:szCs w:val="21"/>
                <w:highlight w:val="none"/>
                <w:lang w:val="en-US" w:eastAsia="zh-CN"/>
              </w:rPr>
              <w:t>旧管线主要材质为钢管，拆除后外售。</w:t>
            </w:r>
          </w:p>
        </w:tc>
        <w:tc>
          <w:tcPr>
            <w:tcW w:w="420" w:type="pct"/>
            <w:tcBorders>
              <w:tl2br w:val="nil"/>
              <w:tr2bl w:val="nil"/>
            </w:tcBorders>
            <w:shd w:val="clear" w:color="auto" w:fill="auto"/>
            <w:vAlign w:val="center"/>
          </w:tcPr>
          <w:p w14:paraId="33914F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改造</w:t>
            </w:r>
          </w:p>
        </w:tc>
      </w:tr>
      <w:tr w14:paraId="44550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333" w:type="pct"/>
            <w:vMerge w:val="restart"/>
            <w:tcBorders>
              <w:tl2br w:val="nil"/>
              <w:tr2bl w:val="nil"/>
            </w:tcBorders>
            <w:vAlign w:val="center"/>
          </w:tcPr>
          <w:p w14:paraId="656917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环保工程</w:t>
            </w:r>
          </w:p>
        </w:tc>
        <w:tc>
          <w:tcPr>
            <w:tcW w:w="475" w:type="pct"/>
            <w:vMerge w:val="restart"/>
            <w:tcBorders>
              <w:tl2br w:val="nil"/>
              <w:tr2bl w:val="nil"/>
            </w:tcBorders>
            <w:vAlign w:val="center"/>
          </w:tcPr>
          <w:p w14:paraId="0349D3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废气处理</w:t>
            </w:r>
          </w:p>
        </w:tc>
        <w:tc>
          <w:tcPr>
            <w:tcW w:w="327" w:type="pct"/>
            <w:vMerge w:val="restart"/>
            <w:tcBorders>
              <w:tl2br w:val="nil"/>
              <w:tr2bl w:val="nil"/>
            </w:tcBorders>
            <w:shd w:val="clear" w:color="auto" w:fill="auto"/>
            <w:vAlign w:val="center"/>
          </w:tcPr>
          <w:p w14:paraId="6872B8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锅炉烟气防治措施</w:t>
            </w:r>
          </w:p>
        </w:tc>
        <w:tc>
          <w:tcPr>
            <w:tcW w:w="433" w:type="pct"/>
            <w:tcBorders>
              <w:tl2br w:val="nil"/>
              <w:tr2bl w:val="nil"/>
            </w:tcBorders>
            <w:vAlign w:val="center"/>
          </w:tcPr>
          <w:p w14:paraId="0E810A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除尘</w:t>
            </w:r>
          </w:p>
        </w:tc>
        <w:tc>
          <w:tcPr>
            <w:tcW w:w="3009" w:type="pct"/>
            <w:tcBorders>
              <w:tl2br w:val="nil"/>
              <w:tr2bl w:val="nil"/>
            </w:tcBorders>
            <w:vAlign w:val="center"/>
          </w:tcPr>
          <w:p w14:paraId="43510A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采用高效布袋除尘器对锅炉烟气进行净化处理，本项目新建锅炉采用高效布袋除尘器，布袋除尘系统的颗粒物处理效率高于99</w:t>
            </w:r>
            <w:r>
              <w:rPr>
                <w:rFonts w:hint="eastAsia" w:cs="Times New Roman"/>
                <w:color w:val="auto"/>
                <w:sz w:val="21"/>
                <w:szCs w:val="21"/>
                <w:highlight w:val="none"/>
                <w:lang w:val="en-US" w:eastAsia="zh-CN"/>
              </w:rPr>
              <w:t>.8</w:t>
            </w:r>
            <w:r>
              <w:rPr>
                <w:rFonts w:hint="eastAsia" w:ascii="Times New Roman" w:hAnsi="Times New Roman" w:cs="Times New Roman"/>
                <w:color w:val="auto"/>
                <w:sz w:val="21"/>
                <w:szCs w:val="21"/>
                <w:highlight w:val="none"/>
                <w:lang w:val="en-US" w:eastAsia="zh-CN"/>
              </w:rPr>
              <w:t>%。</w:t>
            </w:r>
          </w:p>
        </w:tc>
        <w:tc>
          <w:tcPr>
            <w:tcW w:w="420" w:type="pct"/>
            <w:tcBorders>
              <w:tl2br w:val="nil"/>
              <w:tr2bl w:val="nil"/>
            </w:tcBorders>
            <w:vAlign w:val="center"/>
          </w:tcPr>
          <w:p w14:paraId="35E433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更换维修</w:t>
            </w:r>
          </w:p>
        </w:tc>
      </w:tr>
      <w:tr w14:paraId="37EB8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333" w:type="pct"/>
            <w:vMerge w:val="continue"/>
            <w:tcBorders>
              <w:tl2br w:val="nil"/>
              <w:tr2bl w:val="nil"/>
            </w:tcBorders>
            <w:vAlign w:val="center"/>
          </w:tcPr>
          <w:p w14:paraId="2AA950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continue"/>
            <w:tcBorders>
              <w:tl2br w:val="nil"/>
              <w:tr2bl w:val="nil"/>
            </w:tcBorders>
            <w:vAlign w:val="center"/>
          </w:tcPr>
          <w:p w14:paraId="45E10D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27" w:type="pct"/>
            <w:vMerge w:val="continue"/>
            <w:tcBorders>
              <w:tl2br w:val="nil"/>
              <w:tr2bl w:val="nil"/>
            </w:tcBorders>
            <w:vAlign w:val="center"/>
          </w:tcPr>
          <w:p w14:paraId="1791B3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33" w:type="pct"/>
            <w:tcBorders>
              <w:tl2br w:val="nil"/>
              <w:tr2bl w:val="nil"/>
            </w:tcBorders>
            <w:vAlign w:val="center"/>
          </w:tcPr>
          <w:p w14:paraId="176E00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w:t>
            </w:r>
          </w:p>
        </w:tc>
        <w:tc>
          <w:tcPr>
            <w:tcW w:w="3009" w:type="pct"/>
            <w:tcBorders>
              <w:tl2br w:val="nil"/>
              <w:tr2bl w:val="nil"/>
            </w:tcBorders>
            <w:vAlign w:val="center"/>
          </w:tcPr>
          <w:p w14:paraId="74B53E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采用氧化镁法脱硫，脱硫系统采用的是采用2炉1塔布置方案，脱硫效率不小于9</w:t>
            </w:r>
            <w:r>
              <w:rPr>
                <w:rFonts w:hint="eastAsia"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w:t>
            </w:r>
          </w:p>
        </w:tc>
        <w:tc>
          <w:tcPr>
            <w:tcW w:w="420" w:type="pct"/>
            <w:tcBorders>
              <w:tl2br w:val="nil"/>
              <w:tr2bl w:val="nil"/>
            </w:tcBorders>
            <w:vAlign w:val="center"/>
          </w:tcPr>
          <w:p w14:paraId="43DD82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改造烟道并</w:t>
            </w:r>
            <w:r>
              <w:rPr>
                <w:rFonts w:hint="eastAsia" w:ascii="Times New Roman" w:hAnsi="Times New Roman" w:cs="Times New Roman"/>
                <w:color w:val="auto"/>
                <w:sz w:val="21"/>
                <w:szCs w:val="21"/>
                <w:highlight w:val="none"/>
                <w:lang w:val="en-US" w:eastAsia="zh-CN"/>
              </w:rPr>
              <w:t>利旧</w:t>
            </w:r>
            <w:r>
              <w:rPr>
                <w:rFonts w:hint="eastAsia" w:cs="Times New Roman"/>
                <w:color w:val="auto"/>
                <w:sz w:val="21"/>
                <w:szCs w:val="21"/>
                <w:highlight w:val="none"/>
                <w:lang w:val="en-US" w:eastAsia="zh-CN"/>
              </w:rPr>
              <w:t>脱硫塔</w:t>
            </w:r>
          </w:p>
        </w:tc>
      </w:tr>
      <w:tr w14:paraId="72056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333" w:type="pct"/>
            <w:vMerge w:val="continue"/>
            <w:tcBorders>
              <w:tl2br w:val="nil"/>
              <w:tr2bl w:val="nil"/>
            </w:tcBorders>
            <w:vAlign w:val="center"/>
          </w:tcPr>
          <w:p w14:paraId="4C4E6B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continue"/>
            <w:tcBorders>
              <w:tl2br w:val="nil"/>
              <w:tr2bl w:val="nil"/>
            </w:tcBorders>
            <w:vAlign w:val="center"/>
          </w:tcPr>
          <w:p w14:paraId="2883EB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27" w:type="pct"/>
            <w:vMerge w:val="continue"/>
            <w:tcBorders>
              <w:tl2br w:val="nil"/>
              <w:tr2bl w:val="nil"/>
            </w:tcBorders>
            <w:vAlign w:val="center"/>
          </w:tcPr>
          <w:p w14:paraId="1B520B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33" w:type="pct"/>
            <w:tcBorders>
              <w:tl2br w:val="nil"/>
              <w:tr2bl w:val="nil"/>
            </w:tcBorders>
            <w:vAlign w:val="center"/>
          </w:tcPr>
          <w:p w14:paraId="06BA14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w:t>
            </w:r>
          </w:p>
        </w:tc>
        <w:tc>
          <w:tcPr>
            <w:tcW w:w="3009" w:type="pct"/>
            <w:tcBorders>
              <w:tl2br w:val="nil"/>
              <w:tr2bl w:val="nil"/>
            </w:tcBorders>
            <w:vAlign w:val="center"/>
          </w:tcPr>
          <w:p w14:paraId="64501E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本工程拟采取SNCR-SCR脱硝，本工程脱硝剂选用尿素，整体脱硝效率不低于</w:t>
            </w:r>
            <w:r>
              <w:rPr>
                <w:rFonts w:hint="eastAsia" w:cs="Times New Roman"/>
                <w:color w:val="auto"/>
                <w:sz w:val="21"/>
                <w:szCs w:val="21"/>
                <w:highlight w:val="none"/>
                <w:lang w:val="en-US" w:eastAsia="zh-CN"/>
              </w:rPr>
              <w:t>65</w:t>
            </w:r>
            <w:r>
              <w:rPr>
                <w:rFonts w:hint="eastAsia" w:ascii="Times New Roman" w:hAnsi="Times New Roman" w:cs="Times New Roman"/>
                <w:color w:val="auto"/>
                <w:sz w:val="21"/>
                <w:szCs w:val="21"/>
                <w:highlight w:val="none"/>
                <w:lang w:val="en-US" w:eastAsia="zh-CN"/>
              </w:rPr>
              <w:t>%。</w:t>
            </w:r>
          </w:p>
        </w:tc>
        <w:tc>
          <w:tcPr>
            <w:tcW w:w="420" w:type="pct"/>
            <w:tcBorders>
              <w:tl2br w:val="nil"/>
              <w:tr2bl w:val="nil"/>
            </w:tcBorders>
            <w:vAlign w:val="center"/>
          </w:tcPr>
          <w:p w14:paraId="41BDFE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新建+利旧</w:t>
            </w:r>
          </w:p>
        </w:tc>
      </w:tr>
      <w:tr w14:paraId="01E20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vMerge w:val="continue"/>
            <w:tcBorders>
              <w:tl2br w:val="nil"/>
              <w:tr2bl w:val="nil"/>
            </w:tcBorders>
            <w:vAlign w:val="center"/>
          </w:tcPr>
          <w:p w14:paraId="27D0F0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continue"/>
            <w:tcBorders>
              <w:tl2br w:val="nil"/>
              <w:tr2bl w:val="nil"/>
            </w:tcBorders>
            <w:vAlign w:val="center"/>
          </w:tcPr>
          <w:p w14:paraId="40F730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27" w:type="pct"/>
            <w:vMerge w:val="continue"/>
            <w:tcBorders>
              <w:tl2br w:val="nil"/>
              <w:tr2bl w:val="nil"/>
            </w:tcBorders>
            <w:vAlign w:val="center"/>
          </w:tcPr>
          <w:p w14:paraId="7605B6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33" w:type="pct"/>
            <w:tcBorders>
              <w:tl2br w:val="nil"/>
              <w:tr2bl w:val="nil"/>
            </w:tcBorders>
            <w:vAlign w:val="center"/>
          </w:tcPr>
          <w:p w14:paraId="161192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汞及其化合物</w:t>
            </w:r>
          </w:p>
        </w:tc>
        <w:tc>
          <w:tcPr>
            <w:tcW w:w="3009" w:type="pct"/>
            <w:tcBorders>
              <w:tl2br w:val="nil"/>
              <w:tr2bl w:val="nil"/>
            </w:tcBorders>
            <w:vAlign w:val="center"/>
          </w:tcPr>
          <w:p w14:paraId="65CDA6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本项目锅炉烟气汞及其化合物采用协同去除，去除效率可达70%以上</w:t>
            </w:r>
          </w:p>
        </w:tc>
        <w:tc>
          <w:tcPr>
            <w:tcW w:w="420" w:type="pct"/>
            <w:tcBorders>
              <w:tl2br w:val="nil"/>
              <w:tr2bl w:val="nil"/>
            </w:tcBorders>
            <w:vAlign w:val="center"/>
          </w:tcPr>
          <w:p w14:paraId="13CDE0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新建+利旧</w:t>
            </w:r>
          </w:p>
        </w:tc>
      </w:tr>
      <w:tr w14:paraId="31FA4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00E321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continue"/>
            <w:tcBorders>
              <w:tl2br w:val="nil"/>
              <w:tr2bl w:val="nil"/>
            </w:tcBorders>
            <w:vAlign w:val="center"/>
          </w:tcPr>
          <w:p w14:paraId="3E2C22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27" w:type="pct"/>
            <w:vMerge w:val="continue"/>
            <w:tcBorders>
              <w:tl2br w:val="nil"/>
              <w:tr2bl w:val="nil"/>
            </w:tcBorders>
            <w:vAlign w:val="center"/>
          </w:tcPr>
          <w:p w14:paraId="48F6A3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33" w:type="pct"/>
            <w:tcBorders>
              <w:tl2br w:val="nil"/>
              <w:tr2bl w:val="nil"/>
            </w:tcBorders>
            <w:vAlign w:val="center"/>
          </w:tcPr>
          <w:p w14:paraId="4FC2F8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在线监测系统</w:t>
            </w:r>
          </w:p>
        </w:tc>
        <w:tc>
          <w:tcPr>
            <w:tcW w:w="3009" w:type="pct"/>
            <w:tcBorders>
              <w:tl2br w:val="nil"/>
              <w:tr2bl w:val="nil"/>
            </w:tcBorders>
            <w:vAlign w:val="center"/>
          </w:tcPr>
          <w:p w14:paraId="2DE2C7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本工程设一套在线监测系统，监测指标须满足排放</w:t>
            </w:r>
            <w:r>
              <w:rPr>
                <w:rFonts w:hint="eastAsia" w:cs="Times New Roman"/>
                <w:color w:val="auto"/>
                <w:sz w:val="21"/>
                <w:szCs w:val="21"/>
                <w:highlight w:val="none"/>
                <w:lang w:val="en-US" w:eastAsia="zh-CN"/>
              </w:rPr>
              <w:t>标准</w:t>
            </w:r>
            <w:r>
              <w:rPr>
                <w:rFonts w:hint="eastAsia" w:ascii="Times New Roman" w:hAnsi="Times New Roman" w:cs="Times New Roman"/>
                <w:color w:val="auto"/>
                <w:sz w:val="21"/>
                <w:szCs w:val="21"/>
                <w:highlight w:val="none"/>
                <w:lang w:val="en-US" w:eastAsia="zh-CN"/>
              </w:rPr>
              <w:t>要求。监测的项目有颗粒物、SO</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、NO</w:t>
            </w:r>
            <w:r>
              <w:rPr>
                <w:rFonts w:hint="eastAsia" w:cs="Times New Roman"/>
                <w:color w:val="auto"/>
                <w:sz w:val="21"/>
                <w:szCs w:val="21"/>
                <w:highlight w:val="none"/>
                <w:vertAlign w:val="subscript"/>
                <w:lang w:val="en-US" w:eastAsia="zh-CN"/>
              </w:rPr>
              <w:t>x</w:t>
            </w:r>
            <w:r>
              <w:rPr>
                <w:rFonts w:hint="eastAsia" w:ascii="Times New Roman" w:hAnsi="Times New Roman" w:cs="Times New Roman"/>
                <w:color w:val="auto"/>
                <w:sz w:val="21"/>
                <w:szCs w:val="21"/>
                <w:highlight w:val="none"/>
                <w:lang w:val="en-US" w:eastAsia="zh-CN"/>
              </w:rPr>
              <w:t>排放浓度以及温度、含氧量、流量、压力、湿度等参数并与地方环保部门联网。</w:t>
            </w:r>
          </w:p>
        </w:tc>
        <w:tc>
          <w:tcPr>
            <w:tcW w:w="420" w:type="pct"/>
            <w:tcBorders>
              <w:tl2br w:val="nil"/>
              <w:tr2bl w:val="nil"/>
            </w:tcBorders>
            <w:vAlign w:val="center"/>
          </w:tcPr>
          <w:p w14:paraId="1B5B42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57598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333" w:type="pct"/>
            <w:vMerge w:val="continue"/>
            <w:tcBorders>
              <w:tl2br w:val="nil"/>
              <w:tr2bl w:val="nil"/>
            </w:tcBorders>
            <w:vAlign w:val="center"/>
          </w:tcPr>
          <w:p w14:paraId="0A87C2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continue"/>
            <w:tcBorders>
              <w:tl2br w:val="nil"/>
              <w:tr2bl w:val="nil"/>
            </w:tcBorders>
            <w:vAlign w:val="center"/>
          </w:tcPr>
          <w:p w14:paraId="64EEAC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27" w:type="pct"/>
            <w:tcBorders>
              <w:tl2br w:val="nil"/>
              <w:tr2bl w:val="nil"/>
            </w:tcBorders>
            <w:shd w:val="clear" w:color="auto" w:fill="auto"/>
            <w:vAlign w:val="center"/>
          </w:tcPr>
          <w:p w14:paraId="3C4A56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无组织废气</w:t>
            </w:r>
          </w:p>
        </w:tc>
        <w:tc>
          <w:tcPr>
            <w:tcW w:w="433" w:type="pct"/>
            <w:tcBorders>
              <w:tl2br w:val="nil"/>
              <w:tr2bl w:val="nil"/>
            </w:tcBorders>
            <w:shd w:val="clear" w:color="auto" w:fill="auto"/>
            <w:vAlign w:val="center"/>
          </w:tcPr>
          <w:p w14:paraId="1725DC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储煤场、渣仓、输煤系统</w:t>
            </w:r>
          </w:p>
        </w:tc>
        <w:tc>
          <w:tcPr>
            <w:tcW w:w="3009" w:type="pct"/>
            <w:tcBorders>
              <w:tl2br w:val="nil"/>
              <w:tr2bl w:val="nil"/>
            </w:tcBorders>
            <w:vAlign w:val="center"/>
          </w:tcPr>
          <w:p w14:paraId="522D93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本项目运营期无组织废气主要来自碎煤机室、渣仓等。</w:t>
            </w:r>
          </w:p>
          <w:p w14:paraId="252B19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碎煤机为全封闭式，定期洒水降尘。</w:t>
            </w:r>
          </w:p>
          <w:p w14:paraId="6A473C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输煤栈桥为全封闭式，喷水降尘</w:t>
            </w:r>
          </w:p>
          <w:p w14:paraId="42794A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灰渣仓为全封闭式，定期洒水降尘。</w:t>
            </w:r>
          </w:p>
          <w:p w14:paraId="287481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设封闭煤库，且厂区设防风抑尘网</w:t>
            </w:r>
          </w:p>
        </w:tc>
        <w:tc>
          <w:tcPr>
            <w:tcW w:w="420" w:type="pct"/>
            <w:tcBorders>
              <w:tl2br w:val="nil"/>
              <w:tr2bl w:val="nil"/>
            </w:tcBorders>
            <w:vAlign w:val="center"/>
          </w:tcPr>
          <w:p w14:paraId="3E1CDF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改造维修+利旧</w:t>
            </w:r>
          </w:p>
        </w:tc>
      </w:tr>
      <w:tr w14:paraId="15FEF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333" w:type="pct"/>
            <w:vMerge w:val="continue"/>
            <w:tcBorders>
              <w:tl2br w:val="nil"/>
              <w:tr2bl w:val="nil"/>
            </w:tcBorders>
            <w:vAlign w:val="center"/>
          </w:tcPr>
          <w:p w14:paraId="429C7D3B">
            <w:pPr>
              <w:pStyle w:val="66"/>
              <w:rPr>
                <w:rFonts w:ascii="Times New Roman" w:hAnsi="Times New Roman" w:eastAsia="宋体"/>
                <w:color w:val="auto"/>
              </w:rPr>
            </w:pPr>
          </w:p>
        </w:tc>
        <w:tc>
          <w:tcPr>
            <w:tcW w:w="475" w:type="pct"/>
            <w:vMerge w:val="restart"/>
            <w:tcBorders>
              <w:tl2br w:val="nil"/>
              <w:tr2bl w:val="nil"/>
            </w:tcBorders>
            <w:vAlign w:val="center"/>
          </w:tcPr>
          <w:p w14:paraId="75758ECD">
            <w:pPr>
              <w:pStyle w:val="75"/>
              <w:spacing w:after="0" w:line="240" w:lineRule="auto"/>
              <w:ind w:firstLine="0"/>
              <w:jc w:val="center"/>
              <w:rPr>
                <w:rFonts w:ascii="Times New Roman" w:hAnsi="Times New Roman" w:cs="Times New Roman"/>
                <w:color w:val="auto"/>
                <w:sz w:val="21"/>
                <w:szCs w:val="21"/>
                <w:lang w:val="en-US" w:eastAsia="zh-CN"/>
              </w:rPr>
            </w:pPr>
            <w:r>
              <w:rPr>
                <w:rFonts w:ascii="Times New Roman" w:hAnsi="Times New Roman" w:cs="Times New Roman"/>
                <w:color w:val="auto"/>
                <w:sz w:val="21"/>
                <w:szCs w:val="21"/>
                <w:lang w:val="en-US" w:eastAsia="zh-CN"/>
              </w:rPr>
              <w:t>废水处理</w:t>
            </w:r>
          </w:p>
        </w:tc>
        <w:tc>
          <w:tcPr>
            <w:tcW w:w="761" w:type="pct"/>
            <w:gridSpan w:val="2"/>
            <w:tcBorders>
              <w:tl2br w:val="nil"/>
              <w:tr2bl w:val="nil"/>
            </w:tcBorders>
            <w:vAlign w:val="center"/>
          </w:tcPr>
          <w:p w14:paraId="4A75B129">
            <w:pPr>
              <w:pStyle w:val="75"/>
              <w:spacing w:after="0" w:line="240" w:lineRule="auto"/>
              <w:ind w:firstLine="0"/>
              <w:jc w:val="center"/>
              <w:rPr>
                <w:rFonts w:ascii="Times New Roman" w:hAnsi="Times New Roman" w:cs="Times New Roman"/>
                <w:color w:val="auto"/>
                <w:sz w:val="21"/>
                <w:szCs w:val="21"/>
                <w:lang w:val="en-US" w:eastAsia="zh-CN"/>
              </w:rPr>
            </w:pPr>
            <w:r>
              <w:rPr>
                <w:rFonts w:ascii="Times New Roman" w:hAnsi="Times New Roman" w:cs="Times New Roman"/>
                <w:color w:val="auto"/>
                <w:sz w:val="21"/>
                <w:szCs w:val="21"/>
                <w:lang w:val="en-US" w:eastAsia="zh-CN"/>
              </w:rPr>
              <w:t>生产废水</w:t>
            </w:r>
          </w:p>
        </w:tc>
        <w:tc>
          <w:tcPr>
            <w:tcW w:w="3009" w:type="pct"/>
            <w:tcBorders>
              <w:tl2br w:val="nil"/>
              <w:tr2bl w:val="nil"/>
            </w:tcBorders>
            <w:vAlign w:val="center"/>
          </w:tcPr>
          <w:p w14:paraId="53D1D558">
            <w:pPr>
              <w:pStyle w:val="75"/>
              <w:spacing w:after="0" w:line="240" w:lineRule="auto"/>
              <w:ind w:firstLine="0"/>
              <w:jc w:val="both"/>
              <w:rPr>
                <w:rFonts w:hint="default" w:ascii="Times New Roman" w:hAnsi="Times New Roman" w:cs="Times New Roman"/>
                <w:color w:val="auto"/>
                <w:sz w:val="21"/>
                <w:szCs w:val="21"/>
                <w:vertAlign w:val="baseline"/>
                <w:lang w:val="en-US" w:eastAsia="zh-CN"/>
              </w:rPr>
            </w:pPr>
            <w:r>
              <w:rPr>
                <w:rFonts w:hint="default" w:ascii="Times New Roman" w:hAnsi="Times New Roman" w:eastAsia="宋体" w:cs="Times New Roman"/>
                <w:color w:val="auto"/>
                <w:sz w:val="21"/>
                <w:szCs w:val="21"/>
                <w:highlight w:val="none"/>
              </w:rPr>
              <w:t>锅炉运行产生的</w:t>
            </w:r>
            <w:r>
              <w:rPr>
                <w:rFonts w:hint="eastAsia" w:ascii="Times New Roman" w:hAnsi="Times New Roman" w:eastAsia="宋体" w:cs="Times New Roman"/>
                <w:color w:val="auto"/>
                <w:sz w:val="21"/>
                <w:szCs w:val="21"/>
                <w:highlight w:val="none"/>
                <w:lang w:val="en-US" w:eastAsia="zh-CN"/>
              </w:rPr>
              <w:t>排污水等</w:t>
            </w:r>
            <w:r>
              <w:rPr>
                <w:rFonts w:hint="default" w:ascii="Times New Roman" w:hAnsi="Times New Roman" w:eastAsia="宋体" w:cs="Times New Roman"/>
                <w:color w:val="auto"/>
                <w:sz w:val="21"/>
                <w:szCs w:val="21"/>
                <w:highlight w:val="none"/>
              </w:rPr>
              <w:t>废水全部回用于厂区</w:t>
            </w:r>
            <w:r>
              <w:rPr>
                <w:rFonts w:hint="eastAsia" w:ascii="Times New Roman" w:hAnsi="Times New Roman" w:cs="Times New Roman"/>
                <w:color w:val="auto"/>
                <w:sz w:val="21"/>
                <w:szCs w:val="21"/>
                <w:highlight w:val="none"/>
                <w:lang w:val="en-US" w:eastAsia="zh-CN"/>
              </w:rPr>
              <w:t>降尘及冲渣，不外排</w:t>
            </w:r>
            <w:r>
              <w:rPr>
                <w:rFonts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地下沉淀池有效容积215m</w:t>
            </w:r>
            <w:r>
              <w:rPr>
                <w:rFonts w:hint="eastAsia" w:ascii="Times New Roman" w:hAnsi="Times New Roman" w:cs="Times New Roman"/>
                <w:color w:val="auto"/>
                <w:sz w:val="21"/>
                <w:szCs w:val="21"/>
                <w:vertAlign w:val="superscript"/>
                <w:lang w:val="en-US" w:eastAsia="zh-CN"/>
              </w:rPr>
              <w:t>3</w:t>
            </w:r>
            <w:r>
              <w:rPr>
                <w:rFonts w:hint="eastAsia" w:ascii="Times New Roman" w:hAnsi="Times New Roman" w:cs="Times New Roman"/>
                <w:color w:val="auto"/>
                <w:sz w:val="21"/>
                <w:szCs w:val="21"/>
                <w:vertAlign w:val="baseline"/>
                <w:lang w:val="en-US" w:eastAsia="zh-CN"/>
              </w:rPr>
              <w:t>。</w:t>
            </w:r>
          </w:p>
        </w:tc>
        <w:tc>
          <w:tcPr>
            <w:tcW w:w="420" w:type="pct"/>
            <w:vMerge w:val="restart"/>
            <w:tcBorders>
              <w:tl2br w:val="nil"/>
              <w:tr2bl w:val="nil"/>
            </w:tcBorders>
            <w:vAlign w:val="center"/>
          </w:tcPr>
          <w:p w14:paraId="4C819590">
            <w:pPr>
              <w:pStyle w:val="66"/>
              <w:rPr>
                <w:rFonts w:hint="eastAsia" w:ascii="Times New Roman" w:hAnsi="Times New Roman" w:eastAsia="宋体"/>
                <w:color w:val="auto"/>
                <w:lang w:eastAsia="zh-CN"/>
              </w:rPr>
            </w:pPr>
            <w:r>
              <w:rPr>
                <w:rFonts w:hint="eastAsia" w:ascii="Times New Roman" w:hAnsi="Times New Roman" w:eastAsia="宋体"/>
                <w:color w:val="auto"/>
                <w:lang w:val="en-US" w:eastAsia="zh-CN"/>
              </w:rPr>
              <w:t>利旧</w:t>
            </w:r>
          </w:p>
        </w:tc>
      </w:tr>
      <w:tr w14:paraId="63C75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333" w:type="pct"/>
            <w:vMerge w:val="continue"/>
            <w:tcBorders>
              <w:tl2br w:val="nil"/>
              <w:tr2bl w:val="nil"/>
            </w:tcBorders>
            <w:vAlign w:val="center"/>
          </w:tcPr>
          <w:p w14:paraId="369C3F8F">
            <w:pPr>
              <w:pStyle w:val="66"/>
              <w:rPr>
                <w:rFonts w:ascii="Times New Roman" w:hAnsi="Times New Roman" w:eastAsia="宋体"/>
                <w:color w:val="auto"/>
              </w:rPr>
            </w:pPr>
          </w:p>
        </w:tc>
        <w:tc>
          <w:tcPr>
            <w:tcW w:w="475" w:type="pct"/>
            <w:vMerge w:val="continue"/>
            <w:tcBorders>
              <w:tl2br w:val="nil"/>
              <w:tr2bl w:val="nil"/>
            </w:tcBorders>
            <w:vAlign w:val="center"/>
          </w:tcPr>
          <w:p w14:paraId="70743B0A">
            <w:pPr>
              <w:pStyle w:val="75"/>
              <w:spacing w:after="0" w:line="240" w:lineRule="auto"/>
              <w:ind w:firstLine="0"/>
              <w:jc w:val="center"/>
              <w:rPr>
                <w:rFonts w:ascii="Times New Roman" w:hAnsi="Times New Roman" w:cs="Times New Roman"/>
                <w:color w:val="auto"/>
                <w:sz w:val="21"/>
                <w:szCs w:val="21"/>
                <w:lang w:val="en-US" w:eastAsia="zh-CN"/>
              </w:rPr>
            </w:pPr>
          </w:p>
        </w:tc>
        <w:tc>
          <w:tcPr>
            <w:tcW w:w="761" w:type="pct"/>
            <w:gridSpan w:val="2"/>
            <w:tcBorders>
              <w:tl2br w:val="nil"/>
              <w:tr2bl w:val="nil"/>
            </w:tcBorders>
            <w:vAlign w:val="center"/>
          </w:tcPr>
          <w:p w14:paraId="77525C0C">
            <w:pPr>
              <w:pStyle w:val="75"/>
              <w:spacing w:after="0" w:line="240" w:lineRule="auto"/>
              <w:ind w:firstLine="0"/>
              <w:jc w:val="center"/>
              <w:rPr>
                <w:rFonts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脱硫废水</w:t>
            </w:r>
          </w:p>
        </w:tc>
        <w:tc>
          <w:tcPr>
            <w:tcW w:w="3009" w:type="pct"/>
            <w:tcBorders>
              <w:tl2br w:val="nil"/>
              <w:tr2bl w:val="nil"/>
            </w:tcBorders>
            <w:vAlign w:val="center"/>
          </w:tcPr>
          <w:p w14:paraId="63651DA2">
            <w:pPr>
              <w:pStyle w:val="75"/>
              <w:spacing w:after="0" w:line="240" w:lineRule="auto"/>
              <w:ind w:firstLine="0"/>
              <w:jc w:val="both"/>
              <w:rPr>
                <w:rFonts w:ascii="Times New Roman" w:hAnsi="Times New Roman" w:cs="Times New Roman"/>
                <w:color w:val="auto"/>
                <w:sz w:val="21"/>
                <w:szCs w:val="21"/>
                <w:lang w:val="en-US" w:eastAsia="zh-CN"/>
              </w:rPr>
            </w:pPr>
            <w:r>
              <w:rPr>
                <w:rFonts w:hint="eastAsia" w:ascii="Times New Roman" w:hAnsi="Times New Roman" w:eastAsia="宋体" w:cs="Times New Roman"/>
                <w:color w:val="auto"/>
                <w:szCs w:val="24"/>
                <w:lang w:eastAsia="zh-CN"/>
              </w:rPr>
              <w:t>脱硫废水经</w:t>
            </w:r>
            <w:r>
              <w:rPr>
                <w:rFonts w:hint="eastAsia" w:ascii="Times New Roman" w:hAnsi="Times New Roman" w:cs="Times New Roman"/>
                <w:color w:val="auto"/>
                <w:szCs w:val="24"/>
                <w:lang w:val="en-US" w:eastAsia="zh-CN"/>
              </w:rPr>
              <w:t>沉淀</w:t>
            </w:r>
            <w:r>
              <w:rPr>
                <w:rFonts w:hint="eastAsia" w:ascii="Times New Roman" w:hAnsi="Times New Roman" w:eastAsia="宋体" w:cs="Times New Roman"/>
                <w:color w:val="auto"/>
                <w:szCs w:val="24"/>
                <w:lang w:eastAsia="zh-CN"/>
              </w:rPr>
              <w:t>处理后，</w:t>
            </w:r>
            <w:r>
              <w:rPr>
                <w:rFonts w:hint="eastAsia" w:ascii="Times New Roman" w:hAnsi="Times New Roman" w:cs="Times New Roman"/>
                <w:color w:val="auto"/>
                <w:szCs w:val="24"/>
                <w:lang w:val="en-US" w:eastAsia="zh-CN"/>
              </w:rPr>
              <w:t>回</w:t>
            </w:r>
            <w:r>
              <w:rPr>
                <w:rFonts w:hint="eastAsia" w:ascii="Times New Roman" w:hAnsi="Times New Roman" w:eastAsia="宋体" w:cs="Times New Roman"/>
                <w:color w:val="auto"/>
                <w:szCs w:val="24"/>
                <w:lang w:eastAsia="zh-CN"/>
              </w:rPr>
              <w:t>用于煤块加湿，不外排</w:t>
            </w:r>
            <w:r>
              <w:rPr>
                <w:rFonts w:ascii="Times New Roman" w:hAnsi="Times New Roman" w:eastAsia="宋体"/>
                <w:color w:val="auto"/>
              </w:rPr>
              <w:t>。</w:t>
            </w:r>
          </w:p>
        </w:tc>
        <w:tc>
          <w:tcPr>
            <w:tcW w:w="420" w:type="pct"/>
            <w:vMerge w:val="continue"/>
            <w:tcBorders>
              <w:tl2br w:val="nil"/>
              <w:tr2bl w:val="nil"/>
            </w:tcBorders>
            <w:vAlign w:val="center"/>
          </w:tcPr>
          <w:p w14:paraId="32E99B5D">
            <w:pPr>
              <w:pStyle w:val="66"/>
              <w:rPr>
                <w:rFonts w:ascii="Times New Roman" w:hAnsi="Times New Roman" w:eastAsia="宋体"/>
                <w:color w:val="auto"/>
              </w:rPr>
            </w:pPr>
          </w:p>
        </w:tc>
      </w:tr>
      <w:tr w14:paraId="203EE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0271FFD1">
            <w:pPr>
              <w:pStyle w:val="66"/>
              <w:rPr>
                <w:rFonts w:ascii="Times New Roman" w:hAnsi="Times New Roman" w:eastAsia="宋体"/>
                <w:color w:val="auto"/>
              </w:rPr>
            </w:pPr>
          </w:p>
        </w:tc>
        <w:tc>
          <w:tcPr>
            <w:tcW w:w="475" w:type="pct"/>
            <w:vMerge w:val="continue"/>
            <w:tcBorders>
              <w:tl2br w:val="nil"/>
              <w:tr2bl w:val="nil"/>
            </w:tcBorders>
            <w:vAlign w:val="center"/>
          </w:tcPr>
          <w:p w14:paraId="3A988854">
            <w:pPr>
              <w:pStyle w:val="75"/>
              <w:spacing w:after="0" w:line="240" w:lineRule="auto"/>
              <w:ind w:firstLine="0"/>
              <w:jc w:val="center"/>
              <w:rPr>
                <w:rFonts w:ascii="Times New Roman" w:hAnsi="Times New Roman" w:cs="Times New Roman"/>
                <w:color w:val="auto"/>
                <w:sz w:val="21"/>
                <w:szCs w:val="21"/>
                <w:lang w:val="en-US" w:eastAsia="zh-CN"/>
              </w:rPr>
            </w:pPr>
          </w:p>
        </w:tc>
        <w:tc>
          <w:tcPr>
            <w:tcW w:w="761" w:type="pct"/>
            <w:gridSpan w:val="2"/>
            <w:tcBorders>
              <w:tl2br w:val="nil"/>
              <w:tr2bl w:val="nil"/>
            </w:tcBorders>
            <w:vAlign w:val="center"/>
          </w:tcPr>
          <w:p w14:paraId="23C3A8EE">
            <w:pPr>
              <w:autoSpaceDE w:val="0"/>
              <w:autoSpaceDN w:val="0"/>
              <w:adjustRightInd w:val="0"/>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初期</w:t>
            </w:r>
            <w:r>
              <w:rPr>
                <w:rFonts w:ascii="Times New Roman" w:hAnsi="Times New Roman" w:eastAsia="宋体" w:cs="Times New Roman"/>
                <w:color w:val="auto"/>
                <w:sz w:val="21"/>
                <w:szCs w:val="21"/>
              </w:rPr>
              <w:t>雨水收集</w:t>
            </w:r>
          </w:p>
        </w:tc>
        <w:tc>
          <w:tcPr>
            <w:tcW w:w="3009" w:type="pct"/>
            <w:tcBorders>
              <w:tl2br w:val="nil"/>
              <w:tr2bl w:val="nil"/>
            </w:tcBorders>
            <w:vAlign w:val="center"/>
          </w:tcPr>
          <w:p w14:paraId="18A01459">
            <w:pPr>
              <w:spacing w:line="240" w:lineRule="auto"/>
              <w:ind w:firstLine="0" w:firstLineChars="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初期</w:t>
            </w:r>
            <w:r>
              <w:rPr>
                <w:rFonts w:hint="eastAsia" w:ascii="Times New Roman" w:hAnsi="Times New Roman" w:eastAsia="宋体" w:cs="Times New Roman"/>
                <w:color w:val="auto"/>
                <w:kern w:val="0"/>
                <w:sz w:val="21"/>
                <w:szCs w:val="21"/>
              </w:rPr>
              <w:t>雨水</w:t>
            </w:r>
            <w:r>
              <w:rPr>
                <w:rFonts w:hint="eastAsia" w:ascii="Times New Roman" w:hAnsi="Times New Roman" w:eastAsia="宋体" w:cs="Times New Roman"/>
                <w:color w:val="auto"/>
                <w:kern w:val="0"/>
                <w:sz w:val="21"/>
                <w:szCs w:val="21"/>
                <w:lang w:val="en-US" w:eastAsia="zh-CN"/>
              </w:rPr>
              <w:t>利用现有收集</w:t>
            </w:r>
            <w:r>
              <w:rPr>
                <w:rFonts w:hint="eastAsia" w:ascii="Times New Roman" w:hAnsi="Times New Roman" w:eastAsia="宋体" w:cs="Times New Roman"/>
                <w:color w:val="auto"/>
                <w:kern w:val="0"/>
                <w:sz w:val="21"/>
                <w:szCs w:val="21"/>
              </w:rPr>
              <w:t>池用于初期雨水收集，项目</w:t>
            </w:r>
            <w:r>
              <w:rPr>
                <w:rFonts w:hint="default" w:ascii="Times New Roman" w:hAnsi="Times New Roman" w:eastAsia="宋体" w:cs="Times New Roman"/>
                <w:color w:val="auto"/>
                <w:sz w:val="21"/>
                <w:szCs w:val="21"/>
                <w:highlight w:val="none"/>
                <w:lang w:eastAsia="zh-CN"/>
              </w:rPr>
              <w:t>初期雨水经初期雨水收集池处理后用于厂区洒水降尘，后期雨水靠重力作用经厂区内雨水排水沟收集后，经雨水排放口排放至蛤蟆通河。</w:t>
            </w:r>
          </w:p>
        </w:tc>
        <w:tc>
          <w:tcPr>
            <w:tcW w:w="420" w:type="pct"/>
            <w:tcBorders>
              <w:tl2br w:val="nil"/>
              <w:tr2bl w:val="nil"/>
            </w:tcBorders>
            <w:vAlign w:val="center"/>
          </w:tcPr>
          <w:p w14:paraId="058F896D">
            <w:pPr>
              <w:pStyle w:val="66"/>
              <w:rPr>
                <w:rFonts w:hint="eastAsia" w:ascii="Times New Roman" w:hAnsi="Times New Roman" w:eastAsia="宋体"/>
                <w:color w:val="auto"/>
                <w:lang w:eastAsia="zh-CN"/>
              </w:rPr>
            </w:pPr>
            <w:r>
              <w:rPr>
                <w:rFonts w:hint="eastAsia" w:ascii="Times New Roman" w:hAnsi="Times New Roman" w:eastAsia="宋体"/>
                <w:color w:val="auto"/>
                <w:lang w:val="en-US" w:eastAsia="zh-CN"/>
              </w:rPr>
              <w:t>利旧</w:t>
            </w:r>
          </w:p>
        </w:tc>
      </w:tr>
      <w:tr w14:paraId="2F798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655B9E71">
            <w:pPr>
              <w:pStyle w:val="66"/>
              <w:rPr>
                <w:rFonts w:ascii="Times New Roman" w:hAnsi="Times New Roman" w:eastAsia="宋体"/>
                <w:color w:val="auto"/>
              </w:rPr>
            </w:pPr>
          </w:p>
        </w:tc>
        <w:tc>
          <w:tcPr>
            <w:tcW w:w="475" w:type="pct"/>
            <w:vMerge w:val="continue"/>
            <w:tcBorders>
              <w:tl2br w:val="nil"/>
              <w:tr2bl w:val="nil"/>
            </w:tcBorders>
            <w:vAlign w:val="center"/>
          </w:tcPr>
          <w:p w14:paraId="3E66F959">
            <w:pPr>
              <w:pStyle w:val="75"/>
              <w:spacing w:after="0" w:line="240" w:lineRule="auto"/>
              <w:ind w:firstLine="0"/>
              <w:jc w:val="center"/>
              <w:rPr>
                <w:rFonts w:ascii="Times New Roman" w:hAnsi="Times New Roman" w:cs="Times New Roman"/>
                <w:color w:val="auto"/>
                <w:sz w:val="21"/>
                <w:szCs w:val="21"/>
                <w:lang w:val="en-US" w:eastAsia="zh-CN"/>
              </w:rPr>
            </w:pPr>
          </w:p>
        </w:tc>
        <w:tc>
          <w:tcPr>
            <w:tcW w:w="761" w:type="pct"/>
            <w:gridSpan w:val="2"/>
            <w:tcBorders>
              <w:tl2br w:val="nil"/>
              <w:tr2bl w:val="nil"/>
            </w:tcBorders>
            <w:vAlign w:val="center"/>
          </w:tcPr>
          <w:p w14:paraId="5D4DB90F">
            <w:pPr>
              <w:autoSpaceDE w:val="0"/>
              <w:autoSpaceDN w:val="0"/>
              <w:adjustRightInd w:val="0"/>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地下水防渗措施</w:t>
            </w:r>
          </w:p>
        </w:tc>
        <w:tc>
          <w:tcPr>
            <w:tcW w:w="3009" w:type="pct"/>
            <w:tcBorders>
              <w:tl2br w:val="nil"/>
              <w:tr2bl w:val="nil"/>
            </w:tcBorders>
            <w:vAlign w:val="center"/>
          </w:tcPr>
          <w:p w14:paraId="573DE7C8">
            <w:pPr>
              <w:spacing w:line="240" w:lineRule="auto"/>
              <w:ind w:firstLine="0" w:firstLineChars="0"/>
              <w:rPr>
                <w:rFonts w:ascii="Times New Roman" w:hAnsi="Times New Roman" w:cs="Times New Roman"/>
                <w:color w:val="auto"/>
                <w:sz w:val="21"/>
                <w:szCs w:val="21"/>
              </w:rPr>
            </w:pPr>
            <w:r>
              <w:rPr>
                <w:rFonts w:ascii="Times New Roman" w:hAnsi="Times New Roman" w:eastAsia="宋体" w:cs="Times New Roman"/>
                <w:color w:val="auto"/>
                <w:sz w:val="21"/>
                <w:szCs w:val="21"/>
              </w:rPr>
              <w:t>①重点防渗区为</w:t>
            </w:r>
            <w:r>
              <w:rPr>
                <w:rFonts w:hint="eastAsia" w:ascii="Times New Roman" w:hAnsi="Times New Roman" w:eastAsia="宋体" w:cs="Times New Roman"/>
                <w:color w:val="auto"/>
                <w:sz w:val="21"/>
                <w:szCs w:val="21"/>
              </w:rPr>
              <w:t>危废贮存</w:t>
            </w:r>
            <w:r>
              <w:rPr>
                <w:rFonts w:hint="eastAsia" w:ascii="Times New Roman" w:hAnsi="Times New Roman" w:eastAsia="宋体" w:cs="Times New Roman"/>
                <w:color w:val="auto"/>
                <w:sz w:val="21"/>
                <w:szCs w:val="21"/>
                <w:lang w:val="en-US" w:eastAsia="zh-CN"/>
              </w:rPr>
              <w:t>点</w:t>
            </w:r>
            <w:r>
              <w:rPr>
                <w:rFonts w:ascii="Times New Roman" w:hAnsi="Times New Roman" w:eastAsia="宋体" w:cs="Times New Roman"/>
                <w:color w:val="auto"/>
                <w:sz w:val="21"/>
                <w:szCs w:val="21"/>
              </w:rPr>
              <w:t>。</w:t>
            </w:r>
            <w:r>
              <w:rPr>
                <w:rFonts w:hint="eastAsia" w:ascii="Times New Roman" w:hAnsi="Times New Roman" w:cs="Times New Roman"/>
                <w:color w:val="auto"/>
                <w:sz w:val="21"/>
                <w:szCs w:val="21"/>
              </w:rPr>
              <w:t>重点防渗区危险废物贮存点需满足《危险废物贮存污染控制标准》（GB18597-2023）要求，</w:t>
            </w:r>
            <w:r>
              <w:rPr>
                <w:rFonts w:ascii="Times New Roman" w:hAnsi="Times New Roman" w:cs="Times New Roman"/>
                <w:color w:val="auto"/>
                <w:sz w:val="21"/>
                <w:szCs w:val="21"/>
              </w:rPr>
              <w:t>采用高密度聚乙烯HDPE膜处理，土工膜厚度不应小于2mm，防渗系数不大于10</w:t>
            </w:r>
            <w:r>
              <w:rPr>
                <w:rFonts w:ascii="Times New Roman" w:hAnsi="Times New Roman" w:cs="Times New Roman"/>
                <w:color w:val="auto"/>
                <w:sz w:val="21"/>
                <w:szCs w:val="21"/>
                <w:vertAlign w:val="superscript"/>
              </w:rPr>
              <w:t>-10</w:t>
            </w:r>
            <w:r>
              <w:rPr>
                <w:rFonts w:ascii="Times New Roman" w:hAnsi="Times New Roman" w:cs="Times New Roman"/>
                <w:color w:val="auto"/>
                <w:sz w:val="21"/>
                <w:szCs w:val="21"/>
              </w:rPr>
              <w:t>cm/s，埋深不宜小于300mm，膜上、下应设置保护层；重点防渗区防渗层的防渗性能不应低于6.0m，厚渗透系数为1×10</w:t>
            </w:r>
            <w:r>
              <w:rPr>
                <w:rFonts w:ascii="Times New Roman" w:hAnsi="Times New Roman" w:cs="Times New Roman"/>
                <w:color w:val="auto"/>
                <w:sz w:val="21"/>
                <w:szCs w:val="21"/>
                <w:vertAlign w:val="superscript"/>
              </w:rPr>
              <w:t>-7</w:t>
            </w:r>
            <w:r>
              <w:rPr>
                <w:rFonts w:ascii="Times New Roman" w:hAnsi="Times New Roman" w:cs="Times New Roman"/>
                <w:color w:val="auto"/>
                <w:sz w:val="21"/>
                <w:szCs w:val="21"/>
              </w:rPr>
              <w:t>cm/s的黏土层的防渗性能。</w:t>
            </w:r>
          </w:p>
          <w:p w14:paraId="0D49755C">
            <w:pPr>
              <w:spacing w:line="240" w:lineRule="auto"/>
              <w:ind w:firstLine="0" w:firstLineChars="0"/>
              <w:rPr>
                <w:rFonts w:ascii="Times New Roman" w:hAnsi="Times New Roman" w:cs="Times New Roman"/>
                <w:color w:val="auto"/>
                <w:sz w:val="21"/>
                <w:szCs w:val="21"/>
              </w:rPr>
            </w:pPr>
            <w:r>
              <w:rPr>
                <w:rFonts w:ascii="Times New Roman" w:hAnsi="Times New Roman" w:eastAsia="宋体" w:cs="Times New Roman"/>
                <w:color w:val="auto"/>
                <w:sz w:val="21"/>
                <w:szCs w:val="21"/>
              </w:rPr>
              <w:t>②一般防渗区</w:t>
            </w:r>
            <w:r>
              <w:rPr>
                <w:rFonts w:hint="eastAsia" w:ascii="Times New Roman" w:hAnsi="Times New Roman" w:eastAsia="宋体" w:cs="Times New Roman"/>
                <w:color w:val="auto"/>
                <w:sz w:val="21"/>
                <w:szCs w:val="21"/>
              </w:rPr>
              <w:t>主要包括</w:t>
            </w:r>
            <w:r>
              <w:rPr>
                <w:rFonts w:hint="eastAsia" w:ascii="Times New Roman" w:hAnsi="Times New Roman" w:eastAsia="宋体" w:cs="Times New Roman"/>
                <w:color w:val="auto"/>
                <w:sz w:val="21"/>
                <w:szCs w:val="21"/>
                <w:lang w:eastAsia="zh-CN"/>
              </w:rPr>
              <w:t>新建</w:t>
            </w:r>
            <w:r>
              <w:rPr>
                <w:rFonts w:hint="eastAsia" w:ascii="Times New Roman" w:hAnsi="Times New Roman" w:eastAsia="宋体" w:cs="Times New Roman"/>
                <w:color w:val="auto"/>
                <w:sz w:val="21"/>
                <w:szCs w:val="21"/>
                <w:lang w:val="en-US" w:eastAsia="zh-CN"/>
              </w:rPr>
              <w:t>脱硫副产品间</w:t>
            </w:r>
            <w:r>
              <w:rPr>
                <w:rFonts w:hint="eastAsia" w:ascii="Times New Roman" w:hAnsi="Times New Roman" w:eastAsia="宋体" w:cs="Times New Roman"/>
                <w:color w:val="auto"/>
                <w:sz w:val="21"/>
                <w:szCs w:val="21"/>
                <w:lang w:eastAsia="zh-CN"/>
              </w:rPr>
              <w:t>、现有锅炉房、煤库、</w:t>
            </w:r>
            <w:r>
              <w:rPr>
                <w:rFonts w:hint="eastAsia" w:ascii="Times New Roman" w:hAnsi="Times New Roman" w:eastAsia="宋体" w:cs="Times New Roman"/>
                <w:color w:val="auto"/>
                <w:sz w:val="21"/>
                <w:szCs w:val="21"/>
                <w:lang w:val="en-US" w:eastAsia="zh-CN"/>
              </w:rPr>
              <w:t>消防泵</w:t>
            </w:r>
            <w:r>
              <w:rPr>
                <w:rFonts w:hint="eastAsia" w:ascii="Times New Roman" w:hAnsi="Times New Roman" w:eastAsia="宋体" w:cs="Times New Roman"/>
                <w:color w:val="auto"/>
                <w:sz w:val="21"/>
                <w:szCs w:val="21"/>
                <w:lang w:eastAsia="zh-CN"/>
              </w:rPr>
              <w:t>房、消防水池</w:t>
            </w:r>
            <w:r>
              <w:rPr>
                <w:rFonts w:hint="eastAsia" w:ascii="Times New Roman" w:hAnsi="Times New Roman" w:eastAsia="宋体" w:cs="Times New Roman"/>
                <w:color w:val="auto"/>
                <w:sz w:val="21"/>
                <w:szCs w:val="21"/>
              </w:rPr>
              <w:t>等</w:t>
            </w:r>
            <w:r>
              <w:rPr>
                <w:rFonts w:ascii="Times New Roman" w:hAnsi="Times New Roman" w:cs="Times New Roman"/>
                <w:color w:val="auto"/>
                <w:sz w:val="21"/>
                <w:szCs w:val="21"/>
              </w:rPr>
              <w:t>，一般防渗区的地面可采用抗渗混凝土作为其防渗层，混凝土强度等级不低于C25，抗渗混凝土等级不低于P6，厚度不小于100mm。一般防渗区防渗层的防渗性能不应低于1.5m厚，渗透系数为1×10</w:t>
            </w:r>
            <w:r>
              <w:rPr>
                <w:rFonts w:ascii="Times New Roman" w:hAnsi="Times New Roman" w:cs="Times New Roman"/>
                <w:color w:val="auto"/>
                <w:sz w:val="21"/>
                <w:szCs w:val="21"/>
                <w:vertAlign w:val="superscript"/>
              </w:rPr>
              <w:t>-7</w:t>
            </w:r>
            <w:r>
              <w:rPr>
                <w:rFonts w:ascii="Times New Roman" w:hAnsi="Times New Roman" w:cs="Times New Roman"/>
                <w:color w:val="auto"/>
                <w:sz w:val="21"/>
                <w:szCs w:val="21"/>
              </w:rPr>
              <w:t>cm/s的黏土层的防渗性能。</w:t>
            </w:r>
          </w:p>
          <w:p w14:paraId="745BD6D5">
            <w:pPr>
              <w:spacing w:line="240" w:lineRule="auto"/>
              <w:ind w:firstLine="0" w:firstLineChars="0"/>
              <w:rPr>
                <w:rFonts w:ascii="Times New Roman" w:hAnsi="Times New Roman" w:eastAsia="宋体" w:cs="Times New Roman"/>
                <w:color w:val="auto"/>
                <w:kern w:val="0"/>
                <w:sz w:val="21"/>
                <w:szCs w:val="21"/>
              </w:rPr>
            </w:pPr>
            <w:r>
              <w:rPr>
                <w:rFonts w:ascii="Times New Roman" w:hAnsi="Times New Roman" w:eastAsia="宋体" w:cs="Times New Roman"/>
                <w:color w:val="auto"/>
                <w:sz w:val="21"/>
                <w:szCs w:val="21"/>
              </w:rPr>
              <w:t>③简单防渗区（非污染防治区）为</w:t>
            </w:r>
            <w:r>
              <w:rPr>
                <w:rFonts w:hint="eastAsia" w:ascii="Times New Roman" w:hAnsi="Times New Roman" w:eastAsia="宋体" w:cs="Times New Roman"/>
                <w:color w:val="auto"/>
                <w:sz w:val="21"/>
                <w:szCs w:val="21"/>
              </w:rPr>
              <w:t>除重点防渗区、一般防渗区外的厂区（绿化区除外）</w:t>
            </w:r>
            <w:r>
              <w:rPr>
                <w:rFonts w:ascii="Times New Roman" w:hAnsi="Times New Roman" w:cs="Times New Roman"/>
                <w:color w:val="auto"/>
                <w:sz w:val="21"/>
                <w:szCs w:val="21"/>
              </w:rPr>
              <w:t>，简单防渗区进行地表硬化处理。</w:t>
            </w:r>
          </w:p>
        </w:tc>
        <w:tc>
          <w:tcPr>
            <w:tcW w:w="420" w:type="pct"/>
            <w:tcBorders>
              <w:tl2br w:val="nil"/>
              <w:tr2bl w:val="nil"/>
            </w:tcBorders>
            <w:vAlign w:val="center"/>
          </w:tcPr>
          <w:p w14:paraId="07BF46DB">
            <w:pPr>
              <w:pStyle w:val="66"/>
              <w:rPr>
                <w:rFonts w:hint="default" w:ascii="Times New Roman" w:hAnsi="Times New Roman" w:eastAsia="宋体"/>
                <w:color w:val="auto"/>
                <w:lang w:val="en-US" w:eastAsia="zh-CN"/>
              </w:rPr>
            </w:pPr>
            <w:r>
              <w:rPr>
                <w:rFonts w:hint="eastAsia" w:ascii="Times New Roman" w:hAnsi="Times New Roman" w:eastAsia="宋体"/>
                <w:color w:val="auto"/>
                <w:lang w:val="en-US" w:eastAsia="zh-CN"/>
              </w:rPr>
              <w:t>利旧+新建</w:t>
            </w:r>
          </w:p>
        </w:tc>
      </w:tr>
      <w:tr w14:paraId="190CE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388A34A3">
            <w:pPr>
              <w:pStyle w:val="66"/>
              <w:rPr>
                <w:rFonts w:ascii="Times New Roman" w:hAnsi="Times New Roman" w:eastAsia="宋体"/>
                <w:color w:val="auto"/>
              </w:rPr>
            </w:pPr>
          </w:p>
        </w:tc>
        <w:tc>
          <w:tcPr>
            <w:tcW w:w="475" w:type="pct"/>
            <w:vMerge w:val="continue"/>
            <w:tcBorders>
              <w:tl2br w:val="nil"/>
              <w:tr2bl w:val="nil"/>
            </w:tcBorders>
            <w:vAlign w:val="center"/>
          </w:tcPr>
          <w:p w14:paraId="7AA2D941">
            <w:pPr>
              <w:pStyle w:val="75"/>
              <w:spacing w:after="0" w:line="240" w:lineRule="auto"/>
              <w:ind w:firstLine="0"/>
              <w:jc w:val="center"/>
              <w:rPr>
                <w:rFonts w:ascii="Times New Roman" w:hAnsi="Times New Roman" w:cs="Times New Roman"/>
                <w:color w:val="auto"/>
                <w:sz w:val="21"/>
                <w:szCs w:val="21"/>
                <w:lang w:val="en-US" w:eastAsia="zh-CN"/>
              </w:rPr>
            </w:pPr>
          </w:p>
        </w:tc>
        <w:tc>
          <w:tcPr>
            <w:tcW w:w="761" w:type="pct"/>
            <w:gridSpan w:val="2"/>
            <w:tcBorders>
              <w:tl2br w:val="nil"/>
              <w:tr2bl w:val="nil"/>
            </w:tcBorders>
            <w:vAlign w:val="center"/>
          </w:tcPr>
          <w:p w14:paraId="6ADFF8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生活</w:t>
            </w:r>
          </w:p>
          <w:p w14:paraId="19A0FE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污水</w:t>
            </w:r>
          </w:p>
        </w:tc>
        <w:tc>
          <w:tcPr>
            <w:tcW w:w="3009" w:type="pct"/>
            <w:tcBorders>
              <w:tl2br w:val="nil"/>
              <w:tr2bl w:val="nil"/>
            </w:tcBorders>
            <w:vAlign w:val="center"/>
          </w:tcPr>
          <w:p w14:paraId="037B0A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本项目不新增员工，不新增生活污水。厂区现有生活污水经化粪池暂存后满足污水处理厂进水指标后通过市政污水管网进入</w:t>
            </w:r>
            <w:r>
              <w:rPr>
                <w:rFonts w:hint="default" w:ascii="Times New Roman" w:hAnsi="Times New Roman" w:cs="Times New Roman"/>
                <w:color w:val="auto"/>
                <w:sz w:val="21"/>
                <w:szCs w:val="21"/>
                <w:highlight w:val="none"/>
                <w:lang w:val="en-US" w:eastAsia="zh-CN"/>
              </w:rPr>
              <w:t>八五二农场污水处理厂</w:t>
            </w:r>
            <w:r>
              <w:rPr>
                <w:rFonts w:hint="eastAsia" w:ascii="Times New Roman" w:hAnsi="Times New Roman" w:cs="Times New Roman"/>
                <w:color w:val="auto"/>
                <w:sz w:val="21"/>
                <w:szCs w:val="21"/>
                <w:highlight w:val="none"/>
                <w:lang w:val="en-US" w:eastAsia="zh-CN"/>
              </w:rPr>
              <w:t>进行处理，达到《城镇污水处理厂污染物排放标准》（GB18918-2002）中的一级A标准后，</w:t>
            </w:r>
            <w:r>
              <w:rPr>
                <w:rFonts w:hint="default" w:ascii="Times New Roman" w:hAnsi="Times New Roman" w:cs="Times New Roman"/>
                <w:color w:val="auto"/>
                <w:sz w:val="21"/>
                <w:szCs w:val="21"/>
                <w:highlight w:val="none"/>
                <w:lang w:val="en-US" w:eastAsia="zh-CN"/>
              </w:rPr>
              <w:t>排入蛤蟆通河。</w:t>
            </w:r>
          </w:p>
        </w:tc>
        <w:tc>
          <w:tcPr>
            <w:tcW w:w="420" w:type="pct"/>
            <w:tcBorders>
              <w:tl2br w:val="nil"/>
              <w:tr2bl w:val="nil"/>
            </w:tcBorders>
            <w:vAlign w:val="center"/>
          </w:tcPr>
          <w:p w14:paraId="0AC0B8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w:t>
            </w:r>
          </w:p>
        </w:tc>
      </w:tr>
      <w:tr w14:paraId="59B7E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 w:type="pct"/>
            <w:vMerge w:val="continue"/>
            <w:tcBorders>
              <w:tl2br w:val="nil"/>
              <w:tr2bl w:val="nil"/>
            </w:tcBorders>
            <w:vAlign w:val="center"/>
          </w:tcPr>
          <w:p w14:paraId="071C6B3B">
            <w:pPr>
              <w:pStyle w:val="66"/>
              <w:rPr>
                <w:rFonts w:ascii="Times New Roman" w:hAnsi="Times New Roman" w:eastAsia="宋体"/>
                <w:color w:val="auto"/>
              </w:rPr>
            </w:pPr>
          </w:p>
        </w:tc>
        <w:tc>
          <w:tcPr>
            <w:tcW w:w="475" w:type="pct"/>
            <w:tcBorders>
              <w:tl2br w:val="nil"/>
              <w:tr2bl w:val="nil"/>
            </w:tcBorders>
            <w:vAlign w:val="center"/>
          </w:tcPr>
          <w:p w14:paraId="26938A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噪声治理</w:t>
            </w:r>
          </w:p>
        </w:tc>
        <w:tc>
          <w:tcPr>
            <w:tcW w:w="3770" w:type="pct"/>
            <w:gridSpan w:val="3"/>
            <w:tcBorders>
              <w:tl2br w:val="nil"/>
              <w:tr2bl w:val="nil"/>
            </w:tcBorders>
            <w:vAlign w:val="center"/>
          </w:tcPr>
          <w:p w14:paraId="2A3101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选用低噪声设备；设备采取基础减振、加装消声器、厂房隔声等措施。</w:t>
            </w:r>
          </w:p>
        </w:tc>
        <w:tc>
          <w:tcPr>
            <w:tcW w:w="420" w:type="pct"/>
            <w:tcBorders>
              <w:tl2br w:val="nil"/>
              <w:tr2bl w:val="nil"/>
            </w:tcBorders>
            <w:vAlign w:val="center"/>
          </w:tcPr>
          <w:p w14:paraId="0CD37A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w:t>
            </w:r>
          </w:p>
        </w:tc>
      </w:tr>
      <w:tr w14:paraId="401D4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0" w:hRule="atLeast"/>
          <w:jc w:val="center"/>
        </w:trPr>
        <w:tc>
          <w:tcPr>
            <w:tcW w:w="333" w:type="pct"/>
            <w:vMerge w:val="continue"/>
            <w:tcBorders>
              <w:tl2br w:val="nil"/>
              <w:tr2bl w:val="nil"/>
            </w:tcBorders>
            <w:vAlign w:val="center"/>
          </w:tcPr>
          <w:p w14:paraId="38E41B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restart"/>
            <w:tcBorders>
              <w:tl2br w:val="nil"/>
              <w:tr2bl w:val="nil"/>
            </w:tcBorders>
            <w:vAlign w:val="center"/>
          </w:tcPr>
          <w:p w14:paraId="50BCD6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w:t>
            </w:r>
          </w:p>
        </w:tc>
        <w:tc>
          <w:tcPr>
            <w:tcW w:w="761" w:type="pct"/>
            <w:gridSpan w:val="2"/>
            <w:tcBorders>
              <w:tl2br w:val="nil"/>
              <w:tr2bl w:val="nil"/>
            </w:tcBorders>
            <w:vAlign w:val="center"/>
          </w:tcPr>
          <w:p w14:paraId="702223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一般</w:t>
            </w:r>
          </w:p>
          <w:p w14:paraId="42FDE3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固废</w:t>
            </w:r>
          </w:p>
        </w:tc>
        <w:tc>
          <w:tcPr>
            <w:tcW w:w="3009" w:type="pct"/>
            <w:tcBorders>
              <w:tl2br w:val="nil"/>
              <w:tr2bl w:val="nil"/>
            </w:tcBorders>
            <w:vAlign w:val="center"/>
          </w:tcPr>
          <w:p w14:paraId="44CB82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锅炉灰渣、脱硫副产物集中收集定期清运，由回收单位采用封闭罐车运走外售综合利用。</w:t>
            </w:r>
            <w:r>
              <w:rPr>
                <w:rFonts w:hint="eastAsia" w:cs="Times New Roman"/>
                <w:color w:val="FF0000"/>
                <w:sz w:val="21"/>
                <w:szCs w:val="21"/>
                <w:highlight w:val="none"/>
                <w:lang w:val="en-US" w:eastAsia="zh-CN"/>
              </w:rPr>
              <w:t>本项目设置双接收单位，有效保障一般固废有效处置。</w:t>
            </w:r>
            <w:r>
              <w:rPr>
                <w:rFonts w:hint="eastAsia" w:ascii="Times New Roman" w:hAnsi="Times New Roman" w:cs="Times New Roman"/>
                <w:color w:val="auto"/>
                <w:sz w:val="21"/>
                <w:szCs w:val="21"/>
                <w:highlight w:val="none"/>
                <w:lang w:val="en-US" w:eastAsia="zh-CN"/>
              </w:rPr>
              <w:t>废布袋由厂家回收，不在厂区内堆存。</w:t>
            </w:r>
          </w:p>
        </w:tc>
        <w:tc>
          <w:tcPr>
            <w:tcW w:w="420" w:type="pct"/>
            <w:tcBorders>
              <w:tl2br w:val="nil"/>
              <w:tr2bl w:val="nil"/>
            </w:tcBorders>
            <w:vAlign w:val="center"/>
          </w:tcPr>
          <w:p w14:paraId="1145B4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利旧+新建</w:t>
            </w:r>
          </w:p>
        </w:tc>
      </w:tr>
      <w:tr w14:paraId="65242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333" w:type="pct"/>
            <w:vMerge w:val="continue"/>
            <w:tcBorders>
              <w:tl2br w:val="nil"/>
              <w:tr2bl w:val="nil"/>
            </w:tcBorders>
            <w:vAlign w:val="center"/>
          </w:tcPr>
          <w:p w14:paraId="780AFC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continue"/>
            <w:tcBorders>
              <w:tl2br w:val="nil"/>
              <w:tr2bl w:val="nil"/>
            </w:tcBorders>
            <w:vAlign w:val="center"/>
          </w:tcPr>
          <w:p w14:paraId="2CD9E0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761" w:type="pct"/>
            <w:gridSpan w:val="2"/>
            <w:tcBorders>
              <w:tl2br w:val="nil"/>
              <w:tr2bl w:val="nil"/>
            </w:tcBorders>
            <w:vAlign w:val="center"/>
          </w:tcPr>
          <w:p w14:paraId="1433CC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生活垃圾</w:t>
            </w:r>
          </w:p>
        </w:tc>
        <w:tc>
          <w:tcPr>
            <w:tcW w:w="3009" w:type="pct"/>
            <w:tcBorders>
              <w:tl2br w:val="nil"/>
              <w:tr2bl w:val="nil"/>
            </w:tcBorders>
            <w:vAlign w:val="center"/>
          </w:tcPr>
          <w:p w14:paraId="23DE40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生活垃圾由市政环卫部门集中收集、统一处理。</w:t>
            </w:r>
          </w:p>
        </w:tc>
        <w:tc>
          <w:tcPr>
            <w:tcW w:w="420" w:type="pct"/>
            <w:vMerge w:val="restart"/>
            <w:tcBorders>
              <w:tl2br w:val="nil"/>
              <w:tr2bl w:val="nil"/>
            </w:tcBorders>
            <w:vAlign w:val="center"/>
          </w:tcPr>
          <w:p w14:paraId="40F410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依托</w:t>
            </w:r>
          </w:p>
        </w:tc>
      </w:tr>
      <w:tr w14:paraId="517D8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vMerge w:val="continue"/>
            <w:tcBorders>
              <w:tl2br w:val="nil"/>
              <w:tr2bl w:val="nil"/>
            </w:tcBorders>
            <w:vAlign w:val="center"/>
          </w:tcPr>
          <w:p w14:paraId="70E56D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vMerge w:val="continue"/>
            <w:tcBorders>
              <w:tl2br w:val="nil"/>
              <w:tr2bl w:val="nil"/>
            </w:tcBorders>
            <w:vAlign w:val="center"/>
          </w:tcPr>
          <w:p w14:paraId="154096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761" w:type="pct"/>
            <w:gridSpan w:val="2"/>
            <w:tcBorders>
              <w:tl2br w:val="nil"/>
              <w:tr2bl w:val="nil"/>
            </w:tcBorders>
            <w:vAlign w:val="center"/>
          </w:tcPr>
          <w:p w14:paraId="36F288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危险废物</w:t>
            </w:r>
          </w:p>
        </w:tc>
        <w:tc>
          <w:tcPr>
            <w:tcW w:w="3009" w:type="pct"/>
            <w:tcBorders>
              <w:tl2br w:val="nil"/>
              <w:tr2bl w:val="nil"/>
            </w:tcBorders>
            <w:vAlign w:val="center"/>
          </w:tcPr>
          <w:p w14:paraId="0D83DD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废矿物油在</w:t>
            </w:r>
            <w:r>
              <w:rPr>
                <w:rFonts w:hint="eastAsia" w:ascii="Times New Roman" w:hAnsi="Times New Roman" w:cs="Times New Roman"/>
                <w:color w:val="FF0000"/>
                <w:sz w:val="21"/>
                <w:szCs w:val="21"/>
                <w:highlight w:val="none"/>
                <w:lang w:val="en-US" w:eastAsia="zh-CN"/>
              </w:rPr>
              <w:t>危废</w:t>
            </w:r>
            <w:r>
              <w:rPr>
                <w:rFonts w:hint="eastAsia" w:cs="Times New Roman"/>
                <w:color w:val="FF0000"/>
                <w:sz w:val="21"/>
                <w:szCs w:val="21"/>
                <w:highlight w:val="none"/>
                <w:lang w:val="en-US" w:eastAsia="zh-CN"/>
              </w:rPr>
              <w:t>贮存点</w:t>
            </w:r>
            <w:r>
              <w:rPr>
                <w:rFonts w:hint="eastAsia" w:ascii="Times New Roman" w:hAnsi="Times New Roman" w:cs="Times New Roman"/>
                <w:color w:val="FF0000"/>
                <w:sz w:val="21"/>
                <w:szCs w:val="21"/>
                <w:highlight w:val="none"/>
                <w:lang w:val="en-US" w:eastAsia="zh-CN"/>
              </w:rPr>
              <w:t>暂存</w:t>
            </w:r>
            <w:r>
              <w:rPr>
                <w:rFonts w:hint="eastAsia" w:ascii="Times New Roman" w:hAnsi="Times New Roman" w:cs="Times New Roman"/>
                <w:color w:val="auto"/>
                <w:sz w:val="21"/>
                <w:szCs w:val="21"/>
                <w:highlight w:val="none"/>
                <w:lang w:val="en-US" w:eastAsia="zh-CN"/>
              </w:rPr>
              <w:t>后委托有危险废物处理资质的单位处理。废催化剂属于危险废物，厂家定期更换，委托有资质单位运走、处置。</w:t>
            </w:r>
          </w:p>
        </w:tc>
        <w:tc>
          <w:tcPr>
            <w:tcW w:w="420" w:type="pct"/>
            <w:vMerge w:val="continue"/>
            <w:tcBorders>
              <w:tl2br w:val="nil"/>
              <w:tr2bl w:val="nil"/>
            </w:tcBorders>
            <w:vAlign w:val="center"/>
          </w:tcPr>
          <w:p w14:paraId="23BB45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52B01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0" w:hRule="atLeast"/>
          <w:jc w:val="center"/>
        </w:trPr>
        <w:tc>
          <w:tcPr>
            <w:tcW w:w="333" w:type="pct"/>
            <w:vMerge w:val="continue"/>
            <w:tcBorders>
              <w:tl2br w:val="nil"/>
              <w:tr2bl w:val="nil"/>
            </w:tcBorders>
            <w:vAlign w:val="center"/>
          </w:tcPr>
          <w:p w14:paraId="3542DC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75" w:type="pct"/>
            <w:tcBorders>
              <w:tl2br w:val="nil"/>
              <w:tr2bl w:val="nil"/>
            </w:tcBorders>
            <w:vAlign w:val="center"/>
          </w:tcPr>
          <w:p w14:paraId="73DA87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风险防控</w:t>
            </w:r>
          </w:p>
        </w:tc>
        <w:tc>
          <w:tcPr>
            <w:tcW w:w="3770" w:type="pct"/>
            <w:gridSpan w:val="3"/>
            <w:tcBorders>
              <w:tl2br w:val="nil"/>
              <w:tr2bl w:val="nil"/>
            </w:tcBorders>
            <w:vAlign w:val="center"/>
          </w:tcPr>
          <w:p w14:paraId="66D0F9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锅炉点火时采用燃料为轻柴油，在使用时临时购买，不在场区内存放，场区内不设置柴油储罐。老旧阀门管道应及时更换。</w:t>
            </w:r>
          </w:p>
        </w:tc>
        <w:tc>
          <w:tcPr>
            <w:tcW w:w="420" w:type="pct"/>
            <w:tcBorders>
              <w:tl2br w:val="nil"/>
              <w:tr2bl w:val="nil"/>
            </w:tcBorders>
            <w:vAlign w:val="center"/>
          </w:tcPr>
          <w:p w14:paraId="240330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依托</w:t>
            </w:r>
          </w:p>
        </w:tc>
      </w:tr>
      <w:tr w14:paraId="75368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8" w:hRule="atLeast"/>
          <w:jc w:val="center"/>
        </w:trPr>
        <w:tc>
          <w:tcPr>
            <w:tcW w:w="333" w:type="pct"/>
            <w:tcBorders>
              <w:tl2br w:val="nil"/>
              <w:tr2bl w:val="nil"/>
            </w:tcBorders>
            <w:vAlign w:val="center"/>
          </w:tcPr>
          <w:p w14:paraId="58324A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依托工程</w:t>
            </w:r>
          </w:p>
        </w:tc>
        <w:tc>
          <w:tcPr>
            <w:tcW w:w="475" w:type="pct"/>
            <w:tcBorders>
              <w:tl2br w:val="nil"/>
              <w:tr2bl w:val="nil"/>
            </w:tcBorders>
            <w:vAlign w:val="center"/>
          </w:tcPr>
          <w:p w14:paraId="6D5845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生活污水处理</w:t>
            </w:r>
          </w:p>
        </w:tc>
        <w:tc>
          <w:tcPr>
            <w:tcW w:w="3770" w:type="pct"/>
            <w:gridSpan w:val="3"/>
            <w:tcBorders>
              <w:tl2br w:val="nil"/>
              <w:tr2bl w:val="nil"/>
            </w:tcBorders>
            <w:vAlign w:val="center"/>
          </w:tcPr>
          <w:p w14:paraId="29EFA6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八五二污水处理厂位于八五二农场场部东北侧，污水处理厂占地8000m</w:t>
            </w:r>
            <w:r>
              <w:rPr>
                <w:rFonts w:hint="eastAsia" w:ascii="Times New Roman" w:hAnsi="Times New Roman" w:cs="Times New Roman"/>
                <w:color w:val="auto"/>
                <w:sz w:val="21"/>
                <w:szCs w:val="21"/>
                <w:highlight w:val="none"/>
                <w:vertAlign w:val="superscript"/>
                <w:lang w:val="en-US" w:eastAsia="zh-CN"/>
              </w:rPr>
              <w:t>2</w:t>
            </w:r>
            <w:r>
              <w:rPr>
                <w:rFonts w:hint="eastAsia" w:ascii="Times New Roman" w:hAnsi="Times New Roman" w:cs="Times New Roman"/>
                <w:color w:val="auto"/>
                <w:sz w:val="21"/>
                <w:szCs w:val="21"/>
                <w:highlight w:val="none"/>
                <w:lang w:val="en-US" w:eastAsia="zh-CN"/>
              </w:rPr>
              <w:t>，采用CASS处理工艺，设计处理能力为2500m</w:t>
            </w:r>
            <w:r>
              <w:rPr>
                <w:rFonts w:hint="eastAsia" w:ascii="Times New Roman" w:hAnsi="Times New Roman" w:cs="Times New Roman"/>
                <w:color w:val="auto"/>
                <w:sz w:val="21"/>
                <w:szCs w:val="21"/>
                <w:highlight w:val="none"/>
                <w:vertAlign w:val="superscript"/>
                <w:lang w:val="en-US" w:eastAsia="zh-CN"/>
              </w:rPr>
              <w:t>3</w:t>
            </w:r>
            <w:r>
              <w:rPr>
                <w:rFonts w:hint="eastAsia" w:ascii="Times New Roman" w:hAnsi="Times New Roman" w:cs="Times New Roman"/>
                <w:color w:val="auto"/>
                <w:sz w:val="21"/>
                <w:szCs w:val="21"/>
                <w:highlight w:val="none"/>
                <w:lang w:val="en-US" w:eastAsia="zh-CN"/>
              </w:rPr>
              <w:t>/d，实际处理水量约为1500m</w:t>
            </w:r>
            <w:r>
              <w:rPr>
                <w:rFonts w:hint="eastAsia" w:ascii="Times New Roman" w:hAnsi="Times New Roman" w:cs="Times New Roman"/>
                <w:color w:val="auto"/>
                <w:sz w:val="21"/>
                <w:szCs w:val="21"/>
                <w:highlight w:val="none"/>
                <w:vertAlign w:val="superscript"/>
                <w:lang w:val="en-US" w:eastAsia="zh-CN"/>
              </w:rPr>
              <w:t>3</w:t>
            </w:r>
            <w:r>
              <w:rPr>
                <w:rFonts w:hint="eastAsia" w:ascii="Times New Roman" w:hAnsi="Times New Roman" w:cs="Times New Roman"/>
                <w:color w:val="auto"/>
                <w:sz w:val="21"/>
                <w:szCs w:val="21"/>
                <w:highlight w:val="none"/>
                <w:lang w:val="en-US" w:eastAsia="zh-CN"/>
              </w:rPr>
              <w:t>/d。出水水质执行《城镇污水处理厂污染物排放标准》（GB18918-2002）一级A标准，且市政污水管网已铺设完成。因此，八五二污水处理厂可以接纳并处理本项目的生活污水。从水质和水量角度，本项目生活污水依托污水处理设施可行。</w:t>
            </w:r>
          </w:p>
        </w:tc>
        <w:tc>
          <w:tcPr>
            <w:tcW w:w="420" w:type="pct"/>
            <w:tcBorders>
              <w:tl2br w:val="nil"/>
              <w:tr2bl w:val="nil"/>
            </w:tcBorders>
            <w:vAlign w:val="center"/>
          </w:tcPr>
          <w:p w14:paraId="680BCA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依托</w:t>
            </w:r>
          </w:p>
        </w:tc>
      </w:tr>
    </w:tbl>
    <w:p w14:paraId="51905B89">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3.2.2.2 锅炉选型</w:t>
      </w:r>
    </w:p>
    <w:p w14:paraId="3C5E001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本项目建设的2台42MW燃煤链条炉排热水锅炉主机设备工艺参数见表3.2-2。</w:t>
      </w:r>
    </w:p>
    <w:p w14:paraId="068CC8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p>
    <w:p w14:paraId="3F3B39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p>
    <w:p w14:paraId="54392B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表3.2-</w:t>
      </w:r>
      <w:r>
        <w:rPr>
          <w:rFonts w:hint="eastAsia" w:ascii="Times New Roman" w:hAnsi="Times New Roman" w:eastAsia="宋体" w:cs="Times New Roman"/>
          <w:b/>
          <w:bCs/>
          <w:color w:val="auto"/>
          <w:sz w:val="24"/>
          <w:szCs w:val="24"/>
          <w:lang w:val="en-US" w:eastAsia="zh-CN"/>
        </w:rPr>
        <w:t xml:space="preserve">2  </w:t>
      </w:r>
      <w:r>
        <w:rPr>
          <w:rFonts w:hint="default" w:ascii="Times New Roman" w:hAnsi="Times New Roman" w:eastAsia="宋体" w:cs="Times New Roman"/>
          <w:b/>
          <w:bCs/>
          <w:color w:val="auto"/>
          <w:sz w:val="24"/>
          <w:szCs w:val="24"/>
          <w:lang w:val="en-US" w:eastAsia="zh-CN"/>
        </w:rPr>
        <w:t>本工程主要设备一览表</w:t>
      </w:r>
    </w:p>
    <w:tbl>
      <w:tblPr>
        <w:tblStyle w:val="4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3"/>
        <w:gridCol w:w="2529"/>
        <w:gridCol w:w="4508"/>
      </w:tblGrid>
      <w:tr w14:paraId="71C56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tcBorders>
              <w:tl2br w:val="nil"/>
              <w:tr2bl w:val="nil"/>
            </w:tcBorders>
            <w:noWrap/>
            <w:vAlign w:val="center"/>
          </w:tcPr>
          <w:p w14:paraId="50228A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bookmarkStart w:id="205" w:name="_Toc105659890"/>
            <w:bookmarkStart w:id="206" w:name="_Toc107238107"/>
            <w:r>
              <w:rPr>
                <w:rFonts w:hint="eastAsia" w:ascii="Times New Roman" w:hAnsi="Times New Roman" w:cs="Times New Roman"/>
                <w:color w:val="auto"/>
                <w:sz w:val="21"/>
                <w:szCs w:val="21"/>
                <w:highlight w:val="none"/>
                <w:lang w:val="en-US" w:eastAsia="zh-CN"/>
              </w:rPr>
              <w:t>名称</w:t>
            </w:r>
          </w:p>
        </w:tc>
        <w:tc>
          <w:tcPr>
            <w:tcW w:w="1484" w:type="pct"/>
            <w:tcBorders>
              <w:tl2br w:val="nil"/>
              <w:tr2bl w:val="nil"/>
            </w:tcBorders>
            <w:noWrap/>
            <w:vAlign w:val="center"/>
          </w:tcPr>
          <w:p w14:paraId="058FAA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项目</w:t>
            </w:r>
          </w:p>
        </w:tc>
        <w:tc>
          <w:tcPr>
            <w:tcW w:w="2645" w:type="pct"/>
            <w:tcBorders>
              <w:tl2br w:val="nil"/>
              <w:tr2bl w:val="nil"/>
            </w:tcBorders>
            <w:noWrap/>
            <w:vAlign w:val="center"/>
          </w:tcPr>
          <w:p w14:paraId="36BE31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型号及技术参数</w:t>
            </w:r>
          </w:p>
        </w:tc>
      </w:tr>
      <w:tr w14:paraId="4C7AC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vMerge w:val="restart"/>
            <w:tcBorders>
              <w:tl2br w:val="nil"/>
              <w:tr2bl w:val="nil"/>
            </w:tcBorders>
            <w:noWrap/>
            <w:vAlign w:val="center"/>
          </w:tcPr>
          <w:p w14:paraId="53F0FB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w:t>
            </w:r>
          </w:p>
        </w:tc>
        <w:tc>
          <w:tcPr>
            <w:tcW w:w="1484" w:type="pct"/>
            <w:tcBorders>
              <w:tl2br w:val="nil"/>
              <w:tr2bl w:val="nil"/>
            </w:tcBorders>
            <w:noWrap/>
            <w:vAlign w:val="center"/>
          </w:tcPr>
          <w:p w14:paraId="4A1700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型号</w:t>
            </w:r>
          </w:p>
        </w:tc>
        <w:tc>
          <w:tcPr>
            <w:tcW w:w="2645" w:type="pct"/>
            <w:tcBorders>
              <w:tl2br w:val="nil"/>
              <w:tr2bl w:val="nil"/>
            </w:tcBorders>
            <w:noWrap/>
            <w:vAlign w:val="center"/>
          </w:tcPr>
          <w:p w14:paraId="4114F8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SHL42-1.6/130/70-AII</w:t>
            </w:r>
          </w:p>
        </w:tc>
      </w:tr>
      <w:tr w14:paraId="2F9FF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vMerge w:val="continue"/>
            <w:tcBorders>
              <w:tl2br w:val="nil"/>
              <w:tr2bl w:val="nil"/>
            </w:tcBorders>
            <w:noWrap/>
            <w:vAlign w:val="center"/>
          </w:tcPr>
          <w:p w14:paraId="59101B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484" w:type="pct"/>
            <w:tcBorders>
              <w:tl2br w:val="nil"/>
              <w:tr2bl w:val="nil"/>
            </w:tcBorders>
            <w:noWrap/>
            <w:vAlign w:val="center"/>
          </w:tcPr>
          <w:p w14:paraId="4F98F6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额定工作压力</w:t>
            </w:r>
          </w:p>
        </w:tc>
        <w:tc>
          <w:tcPr>
            <w:tcW w:w="2645" w:type="pct"/>
            <w:tcBorders>
              <w:tl2br w:val="nil"/>
              <w:tr2bl w:val="nil"/>
            </w:tcBorders>
            <w:noWrap/>
            <w:vAlign w:val="center"/>
          </w:tcPr>
          <w:p w14:paraId="20262C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1.60MPa</w:t>
            </w:r>
          </w:p>
        </w:tc>
      </w:tr>
      <w:tr w14:paraId="03B34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vMerge w:val="continue"/>
            <w:tcBorders>
              <w:tl2br w:val="nil"/>
              <w:tr2bl w:val="nil"/>
            </w:tcBorders>
            <w:noWrap/>
            <w:vAlign w:val="center"/>
          </w:tcPr>
          <w:p w14:paraId="03A439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484" w:type="pct"/>
            <w:tcBorders>
              <w:tl2br w:val="nil"/>
              <w:tr2bl w:val="nil"/>
            </w:tcBorders>
            <w:noWrap/>
            <w:vAlign w:val="center"/>
          </w:tcPr>
          <w:p w14:paraId="2CDC59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额定出口水温</w:t>
            </w:r>
          </w:p>
        </w:tc>
        <w:tc>
          <w:tcPr>
            <w:tcW w:w="2645" w:type="pct"/>
            <w:tcBorders>
              <w:tl2br w:val="nil"/>
              <w:tr2bl w:val="nil"/>
            </w:tcBorders>
            <w:noWrap/>
            <w:vAlign w:val="center"/>
          </w:tcPr>
          <w:p w14:paraId="76A2D6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130℃</w:t>
            </w:r>
          </w:p>
        </w:tc>
      </w:tr>
      <w:tr w14:paraId="7ED38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vMerge w:val="continue"/>
            <w:tcBorders>
              <w:tl2br w:val="nil"/>
              <w:tr2bl w:val="nil"/>
            </w:tcBorders>
            <w:noWrap/>
            <w:vAlign w:val="center"/>
          </w:tcPr>
          <w:p w14:paraId="30B15A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484" w:type="pct"/>
            <w:tcBorders>
              <w:tl2br w:val="nil"/>
              <w:tr2bl w:val="nil"/>
            </w:tcBorders>
            <w:noWrap/>
            <w:vAlign w:val="center"/>
          </w:tcPr>
          <w:p w14:paraId="7D9D82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额定进口水温</w:t>
            </w:r>
          </w:p>
        </w:tc>
        <w:tc>
          <w:tcPr>
            <w:tcW w:w="2645" w:type="pct"/>
            <w:tcBorders>
              <w:tl2br w:val="nil"/>
              <w:tr2bl w:val="nil"/>
            </w:tcBorders>
            <w:noWrap/>
            <w:vAlign w:val="center"/>
          </w:tcPr>
          <w:p w14:paraId="35D906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70℃</w:t>
            </w:r>
          </w:p>
        </w:tc>
      </w:tr>
      <w:tr w14:paraId="2D75F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vMerge w:val="continue"/>
            <w:tcBorders>
              <w:tl2br w:val="nil"/>
              <w:tr2bl w:val="nil"/>
            </w:tcBorders>
            <w:noWrap/>
            <w:vAlign w:val="center"/>
          </w:tcPr>
          <w:p w14:paraId="63591B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484" w:type="pct"/>
            <w:tcBorders>
              <w:tl2br w:val="nil"/>
              <w:tr2bl w:val="nil"/>
            </w:tcBorders>
            <w:noWrap/>
            <w:vAlign w:val="center"/>
          </w:tcPr>
          <w:p w14:paraId="7FC5DD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排烟温度</w:t>
            </w:r>
          </w:p>
        </w:tc>
        <w:tc>
          <w:tcPr>
            <w:tcW w:w="2645" w:type="pct"/>
            <w:tcBorders>
              <w:tl2br w:val="nil"/>
              <w:tr2bl w:val="nil"/>
            </w:tcBorders>
            <w:noWrap/>
            <w:vAlign w:val="center"/>
          </w:tcPr>
          <w:p w14:paraId="1D2E43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8</w:t>
            </w:r>
            <w:r>
              <w:rPr>
                <w:rFonts w:hint="eastAsia" w:ascii="Times New Roman" w:hAnsi="Times New Roman" w:cs="Times New Roman"/>
                <w:color w:val="auto"/>
                <w:sz w:val="21"/>
                <w:szCs w:val="21"/>
                <w:highlight w:val="none"/>
                <w:lang w:val="en-US" w:eastAsia="zh-CN"/>
              </w:rPr>
              <w:t>0℃</w:t>
            </w:r>
          </w:p>
        </w:tc>
      </w:tr>
      <w:tr w14:paraId="2AF8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vMerge w:val="continue"/>
            <w:tcBorders>
              <w:tl2br w:val="nil"/>
              <w:tr2bl w:val="nil"/>
            </w:tcBorders>
            <w:noWrap/>
            <w:vAlign w:val="center"/>
          </w:tcPr>
          <w:p w14:paraId="21E695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484" w:type="pct"/>
            <w:tcBorders>
              <w:tl2br w:val="nil"/>
              <w:tr2bl w:val="nil"/>
            </w:tcBorders>
            <w:noWrap/>
            <w:vAlign w:val="center"/>
          </w:tcPr>
          <w:p w14:paraId="4F4CC9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锅炉效率</w:t>
            </w:r>
          </w:p>
        </w:tc>
        <w:tc>
          <w:tcPr>
            <w:tcW w:w="2645" w:type="pct"/>
            <w:tcBorders>
              <w:tl2br w:val="nil"/>
              <w:tr2bl w:val="nil"/>
            </w:tcBorders>
            <w:noWrap/>
            <w:vAlign w:val="center"/>
          </w:tcPr>
          <w:p w14:paraId="729F6D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85.2%</w:t>
            </w:r>
          </w:p>
        </w:tc>
      </w:tr>
      <w:tr w14:paraId="7A6C8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0" w:type="pct"/>
            <w:vMerge w:val="continue"/>
            <w:tcBorders>
              <w:tl2br w:val="nil"/>
              <w:tr2bl w:val="nil"/>
            </w:tcBorders>
            <w:noWrap/>
            <w:vAlign w:val="center"/>
          </w:tcPr>
          <w:p w14:paraId="165294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bookmarkStart w:id="207" w:name="_Toc7959"/>
          </w:p>
        </w:tc>
        <w:tc>
          <w:tcPr>
            <w:tcW w:w="1484" w:type="pct"/>
            <w:tcBorders>
              <w:tl2br w:val="nil"/>
              <w:tr2bl w:val="nil"/>
            </w:tcBorders>
            <w:noWrap/>
            <w:vAlign w:val="center"/>
          </w:tcPr>
          <w:p w14:paraId="14F7D9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循环水量</w:t>
            </w:r>
          </w:p>
        </w:tc>
        <w:tc>
          <w:tcPr>
            <w:tcW w:w="2645" w:type="pct"/>
            <w:tcBorders>
              <w:tl2br w:val="nil"/>
              <w:tr2bl w:val="nil"/>
            </w:tcBorders>
            <w:noWrap/>
            <w:vAlign w:val="center"/>
          </w:tcPr>
          <w:p w14:paraId="64760A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650t/h</w:t>
            </w:r>
          </w:p>
        </w:tc>
      </w:tr>
    </w:tbl>
    <w:p w14:paraId="22DE734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3.2.2.3主要设备</w:t>
      </w:r>
    </w:p>
    <w:p w14:paraId="5B29A6E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本项目主要设备见表3.2-3。</w:t>
      </w:r>
    </w:p>
    <w:p w14:paraId="215317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表3.2-</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主要设备参数一览表</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2"/>
        <w:gridCol w:w="1822"/>
        <w:gridCol w:w="3222"/>
        <w:gridCol w:w="893"/>
        <w:gridCol w:w="821"/>
        <w:gridCol w:w="1145"/>
      </w:tblGrid>
      <w:tr w14:paraId="00BAF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9" w:type="pct"/>
            <w:tcBorders>
              <w:tl2br w:val="nil"/>
              <w:tr2bl w:val="nil"/>
            </w:tcBorders>
            <w:vAlign w:val="center"/>
          </w:tcPr>
          <w:p w14:paraId="488E50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序号</w:t>
            </w:r>
          </w:p>
        </w:tc>
        <w:tc>
          <w:tcPr>
            <w:tcW w:w="1069" w:type="pct"/>
            <w:tcBorders>
              <w:tl2br w:val="nil"/>
              <w:tr2bl w:val="nil"/>
            </w:tcBorders>
            <w:vAlign w:val="center"/>
          </w:tcPr>
          <w:p w14:paraId="00746C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名  称</w:t>
            </w:r>
          </w:p>
        </w:tc>
        <w:tc>
          <w:tcPr>
            <w:tcW w:w="1891" w:type="pct"/>
            <w:tcBorders>
              <w:tl2br w:val="nil"/>
              <w:tr2bl w:val="nil"/>
            </w:tcBorders>
            <w:vAlign w:val="center"/>
          </w:tcPr>
          <w:p w14:paraId="6533FD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型号及规格</w:t>
            </w:r>
          </w:p>
        </w:tc>
        <w:tc>
          <w:tcPr>
            <w:tcW w:w="524" w:type="pct"/>
            <w:tcBorders>
              <w:tl2br w:val="nil"/>
              <w:tr2bl w:val="nil"/>
            </w:tcBorders>
            <w:vAlign w:val="center"/>
          </w:tcPr>
          <w:p w14:paraId="16AB04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单位</w:t>
            </w:r>
          </w:p>
        </w:tc>
        <w:tc>
          <w:tcPr>
            <w:tcW w:w="482" w:type="pct"/>
            <w:tcBorders>
              <w:tl2br w:val="nil"/>
              <w:tr2bl w:val="nil"/>
            </w:tcBorders>
            <w:vAlign w:val="center"/>
          </w:tcPr>
          <w:p w14:paraId="4180FD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数量</w:t>
            </w:r>
          </w:p>
        </w:tc>
        <w:tc>
          <w:tcPr>
            <w:tcW w:w="672" w:type="pct"/>
            <w:tcBorders>
              <w:tl2br w:val="nil"/>
              <w:tr2bl w:val="nil"/>
            </w:tcBorders>
            <w:vAlign w:val="center"/>
          </w:tcPr>
          <w:p w14:paraId="66A198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备注</w:t>
            </w:r>
          </w:p>
        </w:tc>
      </w:tr>
      <w:tr w14:paraId="43054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74DE5D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1069" w:type="pct"/>
            <w:tcBorders>
              <w:tl2br w:val="nil"/>
              <w:tr2bl w:val="nil"/>
            </w:tcBorders>
            <w:vAlign w:val="center"/>
          </w:tcPr>
          <w:p w14:paraId="5970F2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热水锅炉</w:t>
            </w:r>
          </w:p>
        </w:tc>
        <w:tc>
          <w:tcPr>
            <w:tcW w:w="1891" w:type="pct"/>
            <w:tcBorders>
              <w:tl2br w:val="nil"/>
              <w:tr2bl w:val="nil"/>
            </w:tcBorders>
            <w:vAlign w:val="center"/>
          </w:tcPr>
          <w:p w14:paraId="0505DE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SHL42-1.6/130/70-AII</w:t>
            </w:r>
          </w:p>
        </w:tc>
        <w:tc>
          <w:tcPr>
            <w:tcW w:w="524" w:type="pct"/>
            <w:tcBorders>
              <w:tl2br w:val="nil"/>
              <w:tr2bl w:val="nil"/>
            </w:tcBorders>
            <w:vAlign w:val="center"/>
          </w:tcPr>
          <w:p w14:paraId="3A679F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080A8E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672" w:type="pct"/>
            <w:tcBorders>
              <w:tl2br w:val="nil"/>
              <w:tr2bl w:val="nil"/>
            </w:tcBorders>
            <w:vAlign w:val="center"/>
          </w:tcPr>
          <w:p w14:paraId="7A1C7C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w:t>
            </w:r>
          </w:p>
        </w:tc>
      </w:tr>
      <w:tr w14:paraId="354AF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shd w:val="clear" w:color="auto" w:fill="auto"/>
            <w:vAlign w:val="center"/>
          </w:tcPr>
          <w:p w14:paraId="76D99C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2</w:t>
            </w:r>
          </w:p>
        </w:tc>
        <w:tc>
          <w:tcPr>
            <w:tcW w:w="1069" w:type="pct"/>
            <w:tcBorders>
              <w:tl2br w:val="nil"/>
              <w:tr2bl w:val="nil"/>
            </w:tcBorders>
            <w:vAlign w:val="center"/>
          </w:tcPr>
          <w:p w14:paraId="42B454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反击式破碎机</w:t>
            </w:r>
          </w:p>
        </w:tc>
        <w:tc>
          <w:tcPr>
            <w:tcW w:w="1891" w:type="pct"/>
            <w:tcBorders>
              <w:tl2br w:val="nil"/>
              <w:tr2bl w:val="nil"/>
            </w:tcBorders>
            <w:vAlign w:val="center"/>
          </w:tcPr>
          <w:p w14:paraId="145F48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p>
        </w:tc>
        <w:tc>
          <w:tcPr>
            <w:tcW w:w="524" w:type="pct"/>
            <w:tcBorders>
              <w:tl2br w:val="nil"/>
              <w:tr2bl w:val="nil"/>
            </w:tcBorders>
            <w:vAlign w:val="center"/>
          </w:tcPr>
          <w:p w14:paraId="7DE241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台</w:t>
            </w:r>
          </w:p>
        </w:tc>
        <w:tc>
          <w:tcPr>
            <w:tcW w:w="482" w:type="pct"/>
            <w:tcBorders>
              <w:tl2br w:val="nil"/>
              <w:tr2bl w:val="nil"/>
            </w:tcBorders>
            <w:vAlign w:val="center"/>
          </w:tcPr>
          <w:p w14:paraId="0D655D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1</w:t>
            </w:r>
          </w:p>
        </w:tc>
        <w:tc>
          <w:tcPr>
            <w:tcW w:w="672" w:type="pct"/>
            <w:tcBorders>
              <w:tl2br w:val="nil"/>
              <w:tr2bl w:val="nil"/>
            </w:tcBorders>
            <w:vAlign w:val="center"/>
          </w:tcPr>
          <w:p w14:paraId="5D7C2C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利旧</w:t>
            </w:r>
          </w:p>
        </w:tc>
      </w:tr>
      <w:tr w14:paraId="6221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shd w:val="clear" w:color="auto" w:fill="auto"/>
            <w:vAlign w:val="center"/>
          </w:tcPr>
          <w:p w14:paraId="3BBDF9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1069" w:type="pct"/>
            <w:tcBorders>
              <w:tl2br w:val="nil"/>
              <w:tr2bl w:val="nil"/>
            </w:tcBorders>
            <w:vAlign w:val="center"/>
          </w:tcPr>
          <w:p w14:paraId="4386F9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往复给煤机</w:t>
            </w:r>
          </w:p>
        </w:tc>
        <w:tc>
          <w:tcPr>
            <w:tcW w:w="1891" w:type="pct"/>
            <w:tcBorders>
              <w:tl2br w:val="nil"/>
              <w:tr2bl w:val="nil"/>
            </w:tcBorders>
            <w:vAlign w:val="center"/>
          </w:tcPr>
          <w:p w14:paraId="26B7D8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524" w:type="pct"/>
            <w:tcBorders>
              <w:tl2br w:val="nil"/>
              <w:tr2bl w:val="nil"/>
            </w:tcBorders>
            <w:vAlign w:val="center"/>
          </w:tcPr>
          <w:p w14:paraId="55DC95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08CD44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04D61E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6CCA6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shd w:val="clear" w:color="auto" w:fill="auto"/>
            <w:vAlign w:val="center"/>
          </w:tcPr>
          <w:p w14:paraId="2F8887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c>
          <w:tcPr>
            <w:tcW w:w="1069" w:type="pct"/>
            <w:tcBorders>
              <w:tl2br w:val="nil"/>
              <w:tr2bl w:val="nil"/>
            </w:tcBorders>
            <w:vAlign w:val="center"/>
          </w:tcPr>
          <w:p w14:paraId="283169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皮带输送机</w:t>
            </w:r>
          </w:p>
        </w:tc>
        <w:tc>
          <w:tcPr>
            <w:tcW w:w="1891" w:type="pct"/>
            <w:tcBorders>
              <w:tl2br w:val="nil"/>
              <w:tr2bl w:val="nil"/>
            </w:tcBorders>
            <w:vAlign w:val="center"/>
          </w:tcPr>
          <w:p w14:paraId="4F3C44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524" w:type="pct"/>
            <w:tcBorders>
              <w:tl2br w:val="nil"/>
              <w:tr2bl w:val="nil"/>
            </w:tcBorders>
            <w:vAlign w:val="center"/>
          </w:tcPr>
          <w:p w14:paraId="068DA0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1EAEE7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672" w:type="pct"/>
            <w:tcBorders>
              <w:tl2br w:val="nil"/>
              <w:tr2bl w:val="nil"/>
            </w:tcBorders>
            <w:vAlign w:val="center"/>
          </w:tcPr>
          <w:p w14:paraId="3256CA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3D322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shd w:val="clear" w:color="auto" w:fill="auto"/>
            <w:vAlign w:val="center"/>
          </w:tcPr>
          <w:p w14:paraId="26BA42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1069" w:type="pct"/>
            <w:tcBorders>
              <w:tl2br w:val="nil"/>
              <w:tr2bl w:val="nil"/>
            </w:tcBorders>
            <w:vAlign w:val="center"/>
          </w:tcPr>
          <w:p w14:paraId="75300D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水平皮带输送机</w:t>
            </w:r>
          </w:p>
        </w:tc>
        <w:tc>
          <w:tcPr>
            <w:tcW w:w="1891" w:type="pct"/>
            <w:tcBorders>
              <w:tl2br w:val="nil"/>
              <w:tr2bl w:val="nil"/>
            </w:tcBorders>
            <w:vAlign w:val="center"/>
          </w:tcPr>
          <w:p w14:paraId="6F9275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524" w:type="pct"/>
            <w:tcBorders>
              <w:tl2br w:val="nil"/>
              <w:tr2bl w:val="nil"/>
            </w:tcBorders>
            <w:vAlign w:val="center"/>
          </w:tcPr>
          <w:p w14:paraId="3B89E2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1D2E5E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4E0543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1C49E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shd w:val="clear" w:color="auto" w:fill="auto"/>
            <w:vAlign w:val="center"/>
          </w:tcPr>
          <w:p w14:paraId="25331F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w:t>
            </w:r>
          </w:p>
        </w:tc>
        <w:tc>
          <w:tcPr>
            <w:tcW w:w="1069" w:type="pct"/>
            <w:tcBorders>
              <w:tl2br w:val="nil"/>
              <w:tr2bl w:val="nil"/>
            </w:tcBorders>
            <w:vAlign w:val="center"/>
          </w:tcPr>
          <w:p w14:paraId="07DD2E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电磁除铁器</w:t>
            </w:r>
          </w:p>
        </w:tc>
        <w:tc>
          <w:tcPr>
            <w:tcW w:w="1891" w:type="pct"/>
            <w:tcBorders>
              <w:tl2br w:val="nil"/>
              <w:tr2bl w:val="nil"/>
            </w:tcBorders>
            <w:vAlign w:val="center"/>
          </w:tcPr>
          <w:p w14:paraId="0D1C37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RCDB-6</w:t>
            </w:r>
          </w:p>
        </w:tc>
        <w:tc>
          <w:tcPr>
            <w:tcW w:w="524" w:type="pct"/>
            <w:tcBorders>
              <w:tl2br w:val="nil"/>
              <w:tr2bl w:val="nil"/>
            </w:tcBorders>
            <w:vAlign w:val="center"/>
          </w:tcPr>
          <w:p w14:paraId="202243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167501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447853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5659A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shd w:val="clear" w:color="auto" w:fill="auto"/>
            <w:vAlign w:val="center"/>
          </w:tcPr>
          <w:p w14:paraId="37667F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w:t>
            </w:r>
          </w:p>
        </w:tc>
        <w:tc>
          <w:tcPr>
            <w:tcW w:w="1069" w:type="pct"/>
            <w:tcBorders>
              <w:tl2br w:val="nil"/>
              <w:tr2bl w:val="nil"/>
            </w:tcBorders>
            <w:vAlign w:val="center"/>
          </w:tcPr>
          <w:p w14:paraId="3CFE35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电子皮带称</w:t>
            </w:r>
          </w:p>
        </w:tc>
        <w:tc>
          <w:tcPr>
            <w:tcW w:w="1891" w:type="pct"/>
            <w:tcBorders>
              <w:tl2br w:val="nil"/>
              <w:tr2bl w:val="nil"/>
            </w:tcBorders>
            <w:vAlign w:val="center"/>
          </w:tcPr>
          <w:p w14:paraId="35B5E7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524" w:type="pct"/>
            <w:tcBorders>
              <w:tl2br w:val="nil"/>
              <w:tr2bl w:val="nil"/>
            </w:tcBorders>
            <w:vAlign w:val="center"/>
          </w:tcPr>
          <w:p w14:paraId="785593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31747A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6CF2FC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w:t>
            </w:r>
          </w:p>
        </w:tc>
      </w:tr>
      <w:tr w14:paraId="360A3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shd w:val="clear" w:color="auto" w:fill="auto"/>
            <w:vAlign w:val="center"/>
          </w:tcPr>
          <w:p w14:paraId="6BB602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w:t>
            </w:r>
          </w:p>
        </w:tc>
        <w:tc>
          <w:tcPr>
            <w:tcW w:w="1069" w:type="pct"/>
            <w:tcBorders>
              <w:tl2br w:val="nil"/>
              <w:tr2bl w:val="nil"/>
            </w:tcBorders>
            <w:vAlign w:val="center"/>
          </w:tcPr>
          <w:p w14:paraId="1924EB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循环水泵</w:t>
            </w:r>
          </w:p>
        </w:tc>
        <w:tc>
          <w:tcPr>
            <w:tcW w:w="1891" w:type="pct"/>
            <w:tcBorders>
              <w:tl2br w:val="nil"/>
              <w:tr2bl w:val="nil"/>
            </w:tcBorders>
            <w:vAlign w:val="center"/>
          </w:tcPr>
          <w:p w14:paraId="6EB1B0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TD125-22G/2SWHC，流量160m</w:t>
            </w:r>
            <w:r>
              <w:rPr>
                <w:rFonts w:hint="eastAsia" w:ascii="Times New Roman" w:hAnsi="Times New Roman" w:cs="Times New Roman"/>
                <w:color w:val="auto"/>
                <w:sz w:val="21"/>
                <w:szCs w:val="21"/>
                <w:highlight w:val="none"/>
                <w:vertAlign w:val="superscript"/>
                <w:lang w:val="en-US" w:eastAsia="zh-CN"/>
              </w:rPr>
              <w:t>3</w:t>
            </w:r>
            <w:r>
              <w:rPr>
                <w:rFonts w:hint="eastAsia" w:ascii="Times New Roman" w:hAnsi="Times New Roman" w:cs="Times New Roman"/>
                <w:color w:val="auto"/>
                <w:sz w:val="21"/>
                <w:szCs w:val="21"/>
                <w:highlight w:val="none"/>
                <w:lang w:val="en-US" w:eastAsia="zh-CN"/>
              </w:rPr>
              <w:t>/h，扬程20m</w:t>
            </w:r>
          </w:p>
        </w:tc>
        <w:tc>
          <w:tcPr>
            <w:tcW w:w="524" w:type="pct"/>
            <w:tcBorders>
              <w:tl2br w:val="nil"/>
              <w:tr2bl w:val="nil"/>
            </w:tcBorders>
            <w:vAlign w:val="center"/>
          </w:tcPr>
          <w:p w14:paraId="058863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41F897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5048CC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43C5C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44FBA4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1069" w:type="pct"/>
            <w:tcBorders>
              <w:tl2br w:val="nil"/>
              <w:tr2bl w:val="nil"/>
            </w:tcBorders>
            <w:vAlign w:val="center"/>
          </w:tcPr>
          <w:p w14:paraId="4A3B1F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重链除渣机</w:t>
            </w:r>
          </w:p>
        </w:tc>
        <w:tc>
          <w:tcPr>
            <w:tcW w:w="1891" w:type="pct"/>
            <w:tcBorders>
              <w:tl2br w:val="nil"/>
              <w:tr2bl w:val="nil"/>
            </w:tcBorders>
            <w:vAlign w:val="center"/>
          </w:tcPr>
          <w:p w14:paraId="2F95AB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包含加湿机</w:t>
            </w:r>
          </w:p>
        </w:tc>
        <w:tc>
          <w:tcPr>
            <w:tcW w:w="524" w:type="pct"/>
            <w:tcBorders>
              <w:tl2br w:val="nil"/>
              <w:tr2bl w:val="nil"/>
            </w:tcBorders>
            <w:vAlign w:val="center"/>
          </w:tcPr>
          <w:p w14:paraId="1DB525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64F07C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718FFF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7267D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0BD12E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c>
          <w:tcPr>
            <w:tcW w:w="1069" w:type="pct"/>
            <w:tcBorders>
              <w:tl2br w:val="nil"/>
              <w:tr2bl w:val="nil"/>
            </w:tcBorders>
            <w:vAlign w:val="center"/>
          </w:tcPr>
          <w:p w14:paraId="6AA962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刮板除灰机</w:t>
            </w:r>
          </w:p>
        </w:tc>
        <w:tc>
          <w:tcPr>
            <w:tcW w:w="1891" w:type="pct"/>
            <w:tcBorders>
              <w:tl2br w:val="nil"/>
              <w:tr2bl w:val="nil"/>
            </w:tcBorders>
            <w:vAlign w:val="center"/>
          </w:tcPr>
          <w:p w14:paraId="748E2E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包含加湿机</w:t>
            </w:r>
          </w:p>
        </w:tc>
        <w:tc>
          <w:tcPr>
            <w:tcW w:w="524" w:type="pct"/>
            <w:tcBorders>
              <w:tl2br w:val="nil"/>
              <w:tr2bl w:val="nil"/>
            </w:tcBorders>
            <w:vAlign w:val="center"/>
          </w:tcPr>
          <w:p w14:paraId="07A33A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008645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672" w:type="pct"/>
            <w:tcBorders>
              <w:tl2br w:val="nil"/>
              <w:tr2bl w:val="nil"/>
            </w:tcBorders>
            <w:vAlign w:val="center"/>
          </w:tcPr>
          <w:p w14:paraId="26663D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2E987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50E5E9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1069" w:type="pct"/>
            <w:tcBorders>
              <w:tl2br w:val="nil"/>
              <w:tr2bl w:val="nil"/>
            </w:tcBorders>
            <w:vAlign w:val="center"/>
          </w:tcPr>
          <w:p w14:paraId="48CC3A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除尘器</w:t>
            </w:r>
          </w:p>
        </w:tc>
        <w:tc>
          <w:tcPr>
            <w:tcW w:w="1891" w:type="pct"/>
            <w:tcBorders>
              <w:tl2br w:val="nil"/>
              <w:tr2bl w:val="nil"/>
            </w:tcBorders>
            <w:vAlign w:val="center"/>
          </w:tcPr>
          <w:p w14:paraId="0E0EAB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布袋除尘器</w:t>
            </w:r>
          </w:p>
        </w:tc>
        <w:tc>
          <w:tcPr>
            <w:tcW w:w="524" w:type="pct"/>
            <w:tcBorders>
              <w:tl2br w:val="nil"/>
              <w:tr2bl w:val="nil"/>
            </w:tcBorders>
            <w:vAlign w:val="center"/>
          </w:tcPr>
          <w:p w14:paraId="5DABB7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69B385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672" w:type="pct"/>
            <w:tcBorders>
              <w:tl2br w:val="nil"/>
              <w:tr2bl w:val="nil"/>
            </w:tcBorders>
            <w:vAlign w:val="center"/>
          </w:tcPr>
          <w:p w14:paraId="5E70C0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0542E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57C3EE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1069" w:type="pct"/>
            <w:tcBorders>
              <w:tl2br w:val="nil"/>
              <w:tr2bl w:val="nil"/>
            </w:tcBorders>
            <w:vAlign w:val="center"/>
          </w:tcPr>
          <w:p w14:paraId="52FEC8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空压机</w:t>
            </w:r>
          </w:p>
        </w:tc>
        <w:tc>
          <w:tcPr>
            <w:tcW w:w="1891" w:type="pct"/>
            <w:tcBorders>
              <w:tl2br w:val="nil"/>
              <w:tr2bl w:val="nil"/>
            </w:tcBorders>
            <w:vAlign w:val="center"/>
          </w:tcPr>
          <w:p w14:paraId="7EBF5B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0.8MPa</w:t>
            </w:r>
          </w:p>
        </w:tc>
        <w:tc>
          <w:tcPr>
            <w:tcW w:w="524" w:type="pct"/>
            <w:tcBorders>
              <w:tl2br w:val="nil"/>
              <w:tr2bl w:val="nil"/>
            </w:tcBorders>
            <w:vAlign w:val="center"/>
          </w:tcPr>
          <w:p w14:paraId="51F70A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4E9CF4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1C65C7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29310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5CD213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w:t>
            </w:r>
          </w:p>
        </w:tc>
        <w:tc>
          <w:tcPr>
            <w:tcW w:w="1069" w:type="pct"/>
            <w:tcBorders>
              <w:tl2br w:val="nil"/>
              <w:tr2bl w:val="nil"/>
            </w:tcBorders>
            <w:vAlign w:val="center"/>
          </w:tcPr>
          <w:p w14:paraId="7663F6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脱硫系统</w:t>
            </w:r>
          </w:p>
        </w:tc>
        <w:tc>
          <w:tcPr>
            <w:tcW w:w="1891" w:type="pct"/>
            <w:tcBorders>
              <w:tl2br w:val="nil"/>
              <w:tr2bl w:val="nil"/>
            </w:tcBorders>
            <w:vAlign w:val="center"/>
          </w:tcPr>
          <w:p w14:paraId="52FB37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氧化镁脱硫，烟塔合一</w:t>
            </w:r>
          </w:p>
        </w:tc>
        <w:tc>
          <w:tcPr>
            <w:tcW w:w="524" w:type="pct"/>
            <w:tcBorders>
              <w:tl2br w:val="nil"/>
              <w:tr2bl w:val="nil"/>
            </w:tcBorders>
            <w:vAlign w:val="center"/>
          </w:tcPr>
          <w:p w14:paraId="0A45DE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套</w:t>
            </w:r>
          </w:p>
        </w:tc>
        <w:tc>
          <w:tcPr>
            <w:tcW w:w="482" w:type="pct"/>
            <w:tcBorders>
              <w:tl2br w:val="nil"/>
              <w:tr2bl w:val="nil"/>
            </w:tcBorders>
            <w:vAlign w:val="center"/>
          </w:tcPr>
          <w:p w14:paraId="54F8B6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0D1A0F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利旧</w:t>
            </w:r>
          </w:p>
        </w:tc>
      </w:tr>
      <w:tr w14:paraId="1E84D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14F1A9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1069" w:type="pct"/>
            <w:tcBorders>
              <w:tl2br w:val="nil"/>
              <w:tr2bl w:val="nil"/>
            </w:tcBorders>
            <w:vAlign w:val="center"/>
          </w:tcPr>
          <w:p w14:paraId="02C938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脱硝系统</w:t>
            </w:r>
          </w:p>
        </w:tc>
        <w:tc>
          <w:tcPr>
            <w:tcW w:w="1891" w:type="pct"/>
            <w:tcBorders>
              <w:tl2br w:val="nil"/>
              <w:tr2bl w:val="nil"/>
            </w:tcBorders>
            <w:vAlign w:val="center"/>
          </w:tcPr>
          <w:p w14:paraId="337FC7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SNCR-SCR法脱硝</w:t>
            </w:r>
          </w:p>
        </w:tc>
        <w:tc>
          <w:tcPr>
            <w:tcW w:w="524" w:type="pct"/>
            <w:tcBorders>
              <w:tl2br w:val="nil"/>
              <w:tr2bl w:val="nil"/>
            </w:tcBorders>
            <w:vAlign w:val="center"/>
          </w:tcPr>
          <w:p w14:paraId="5C474F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套</w:t>
            </w:r>
          </w:p>
        </w:tc>
        <w:tc>
          <w:tcPr>
            <w:tcW w:w="482" w:type="pct"/>
            <w:tcBorders>
              <w:tl2br w:val="nil"/>
              <w:tr2bl w:val="nil"/>
            </w:tcBorders>
            <w:vAlign w:val="center"/>
          </w:tcPr>
          <w:p w14:paraId="217E62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4581CB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制备及输送系统利旧，炉内设喷射装置等</w:t>
            </w:r>
          </w:p>
        </w:tc>
      </w:tr>
      <w:tr w14:paraId="48EF3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4CF0D7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c>
          <w:tcPr>
            <w:tcW w:w="1069" w:type="pct"/>
            <w:tcBorders>
              <w:tl2br w:val="nil"/>
              <w:tr2bl w:val="nil"/>
            </w:tcBorders>
            <w:vAlign w:val="center"/>
          </w:tcPr>
          <w:p w14:paraId="417BF4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贮煤斗及煤溜管</w:t>
            </w:r>
          </w:p>
        </w:tc>
        <w:tc>
          <w:tcPr>
            <w:tcW w:w="1891" w:type="pct"/>
            <w:tcBorders>
              <w:tl2br w:val="nil"/>
              <w:tr2bl w:val="nil"/>
            </w:tcBorders>
            <w:vAlign w:val="center"/>
          </w:tcPr>
          <w:p w14:paraId="5D2C15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524" w:type="pct"/>
            <w:tcBorders>
              <w:tl2br w:val="nil"/>
              <w:tr2bl w:val="nil"/>
            </w:tcBorders>
            <w:vAlign w:val="center"/>
          </w:tcPr>
          <w:p w14:paraId="511462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vAlign w:val="center"/>
          </w:tcPr>
          <w:p w14:paraId="5B8C5A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30E9FE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7F4DF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2C9006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w:t>
            </w:r>
          </w:p>
        </w:tc>
        <w:tc>
          <w:tcPr>
            <w:tcW w:w="1069" w:type="pct"/>
            <w:tcBorders>
              <w:tl2br w:val="nil"/>
              <w:tr2bl w:val="nil"/>
            </w:tcBorders>
            <w:vAlign w:val="center"/>
          </w:tcPr>
          <w:p w14:paraId="1953B0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锅炉循环水泵</w:t>
            </w:r>
          </w:p>
        </w:tc>
        <w:tc>
          <w:tcPr>
            <w:tcW w:w="1891" w:type="pct"/>
            <w:tcBorders>
              <w:tl2br w:val="nil"/>
              <w:tr2bl w:val="nil"/>
            </w:tcBorders>
            <w:vAlign w:val="center"/>
          </w:tcPr>
          <w:p w14:paraId="6AFB2D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NSC400-300-450，</w:t>
            </w:r>
          </w:p>
        </w:tc>
        <w:tc>
          <w:tcPr>
            <w:tcW w:w="524" w:type="pct"/>
            <w:tcBorders>
              <w:tl2br w:val="nil"/>
              <w:tr2bl w:val="nil"/>
            </w:tcBorders>
            <w:vAlign w:val="center"/>
          </w:tcPr>
          <w:p w14:paraId="13D3D8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台</w:t>
            </w:r>
          </w:p>
        </w:tc>
        <w:tc>
          <w:tcPr>
            <w:tcW w:w="482" w:type="pct"/>
            <w:tcBorders>
              <w:tl2br w:val="nil"/>
              <w:tr2bl w:val="nil"/>
            </w:tcBorders>
            <w:vAlign w:val="center"/>
          </w:tcPr>
          <w:p w14:paraId="0F991B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672" w:type="pct"/>
            <w:tcBorders>
              <w:tl2br w:val="nil"/>
              <w:tr2bl w:val="nil"/>
            </w:tcBorders>
            <w:vAlign w:val="center"/>
          </w:tcPr>
          <w:p w14:paraId="107AEC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5983B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5A35CA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1069" w:type="pct"/>
            <w:tcBorders>
              <w:tl2br w:val="nil"/>
              <w:tr2bl w:val="nil"/>
            </w:tcBorders>
            <w:vAlign w:val="center"/>
          </w:tcPr>
          <w:p w14:paraId="01531B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定压补水泵</w:t>
            </w:r>
          </w:p>
        </w:tc>
        <w:tc>
          <w:tcPr>
            <w:tcW w:w="1891" w:type="pct"/>
            <w:tcBorders>
              <w:tl2br w:val="nil"/>
              <w:tr2bl w:val="nil"/>
            </w:tcBorders>
            <w:vAlign w:val="center"/>
          </w:tcPr>
          <w:p w14:paraId="6130BF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CDM42-3FSWPC，Q=50m</w:t>
            </w:r>
            <w:r>
              <w:rPr>
                <w:rFonts w:hint="eastAsia" w:ascii="Times New Roman" w:hAnsi="Times New Roman" w:cs="Times New Roman"/>
                <w:color w:val="auto"/>
                <w:sz w:val="21"/>
                <w:szCs w:val="21"/>
                <w:highlight w:val="none"/>
                <w:vertAlign w:val="superscript"/>
                <w:lang w:val="en-US" w:eastAsia="zh-CN"/>
              </w:rPr>
              <w:t>3</w:t>
            </w:r>
            <w:r>
              <w:rPr>
                <w:rFonts w:hint="eastAsia" w:ascii="Times New Roman" w:hAnsi="Times New Roman" w:cs="Times New Roman"/>
                <w:color w:val="auto"/>
                <w:sz w:val="21"/>
                <w:szCs w:val="21"/>
                <w:highlight w:val="none"/>
                <w:lang w:val="en-US" w:eastAsia="zh-CN"/>
              </w:rPr>
              <w:t>/h</w:t>
            </w:r>
          </w:p>
        </w:tc>
        <w:tc>
          <w:tcPr>
            <w:tcW w:w="524" w:type="pct"/>
            <w:tcBorders>
              <w:tl2br w:val="nil"/>
              <w:tr2bl w:val="nil"/>
            </w:tcBorders>
            <w:vAlign w:val="center"/>
          </w:tcPr>
          <w:p w14:paraId="560345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套</w:t>
            </w:r>
          </w:p>
        </w:tc>
        <w:tc>
          <w:tcPr>
            <w:tcW w:w="482" w:type="pct"/>
            <w:tcBorders>
              <w:tl2br w:val="nil"/>
              <w:tr2bl w:val="nil"/>
            </w:tcBorders>
            <w:vAlign w:val="center"/>
          </w:tcPr>
          <w:p w14:paraId="6701FC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208BBB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727DF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49C0E1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bookmarkStart w:id="208" w:name="_Toc12469"/>
            <w:bookmarkStart w:id="209" w:name="_Toc2738"/>
            <w:r>
              <w:rPr>
                <w:rFonts w:hint="eastAsia" w:ascii="Times New Roman" w:hAnsi="Times New Roman" w:cs="Times New Roman"/>
                <w:color w:val="auto"/>
                <w:sz w:val="21"/>
                <w:szCs w:val="21"/>
                <w:highlight w:val="none"/>
                <w:lang w:val="en-US" w:eastAsia="zh-CN"/>
              </w:rPr>
              <w:t>18</w:t>
            </w:r>
          </w:p>
        </w:tc>
        <w:tc>
          <w:tcPr>
            <w:tcW w:w="1069" w:type="pct"/>
            <w:tcBorders>
              <w:tl2br w:val="nil"/>
              <w:tr2bl w:val="nil"/>
            </w:tcBorders>
            <w:vAlign w:val="center"/>
          </w:tcPr>
          <w:p w14:paraId="291554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全自动软水器</w:t>
            </w:r>
          </w:p>
        </w:tc>
        <w:tc>
          <w:tcPr>
            <w:tcW w:w="1891" w:type="pct"/>
            <w:tcBorders>
              <w:tl2br w:val="nil"/>
              <w:tr2bl w:val="nil"/>
            </w:tcBorders>
            <w:vAlign w:val="center"/>
          </w:tcPr>
          <w:p w14:paraId="6021E7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处理水量60-80m</w:t>
            </w:r>
            <w:r>
              <w:rPr>
                <w:rFonts w:hint="eastAsia" w:ascii="Times New Roman" w:hAnsi="Times New Roman" w:cs="Times New Roman"/>
                <w:color w:val="auto"/>
                <w:sz w:val="21"/>
                <w:szCs w:val="21"/>
                <w:highlight w:val="none"/>
                <w:vertAlign w:val="superscript"/>
                <w:lang w:val="en-US" w:eastAsia="zh-CN"/>
              </w:rPr>
              <w:t>3</w:t>
            </w:r>
            <w:r>
              <w:rPr>
                <w:rFonts w:hint="eastAsia" w:ascii="Times New Roman" w:hAnsi="Times New Roman" w:cs="Times New Roman"/>
                <w:color w:val="auto"/>
                <w:sz w:val="21"/>
                <w:szCs w:val="21"/>
                <w:highlight w:val="none"/>
                <w:lang w:val="en-US" w:eastAsia="zh-CN"/>
              </w:rPr>
              <w:t>/h</w:t>
            </w:r>
          </w:p>
        </w:tc>
        <w:tc>
          <w:tcPr>
            <w:tcW w:w="524" w:type="pct"/>
            <w:tcBorders>
              <w:tl2br w:val="nil"/>
              <w:tr2bl w:val="nil"/>
            </w:tcBorders>
            <w:vAlign w:val="center"/>
          </w:tcPr>
          <w:p w14:paraId="128518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套</w:t>
            </w:r>
          </w:p>
        </w:tc>
        <w:tc>
          <w:tcPr>
            <w:tcW w:w="482" w:type="pct"/>
            <w:tcBorders>
              <w:tl2br w:val="nil"/>
              <w:tr2bl w:val="nil"/>
            </w:tcBorders>
            <w:vAlign w:val="center"/>
          </w:tcPr>
          <w:p w14:paraId="5EDB0F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38A0A0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4C9AA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24796D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19</w:t>
            </w:r>
          </w:p>
        </w:tc>
        <w:tc>
          <w:tcPr>
            <w:tcW w:w="1069" w:type="pct"/>
            <w:tcBorders>
              <w:tl2br w:val="nil"/>
              <w:tr2bl w:val="nil"/>
            </w:tcBorders>
            <w:shd w:val="clear" w:color="auto" w:fill="auto"/>
            <w:vAlign w:val="center"/>
          </w:tcPr>
          <w:p w14:paraId="27AF1B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电动机</w:t>
            </w:r>
          </w:p>
        </w:tc>
        <w:tc>
          <w:tcPr>
            <w:tcW w:w="1891" w:type="pct"/>
            <w:tcBorders>
              <w:tl2br w:val="nil"/>
              <w:tr2bl w:val="nil"/>
            </w:tcBorders>
            <w:shd w:val="clear" w:color="auto" w:fill="auto"/>
            <w:vAlign w:val="center"/>
          </w:tcPr>
          <w:p w14:paraId="06E302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变频</w:t>
            </w:r>
          </w:p>
        </w:tc>
        <w:tc>
          <w:tcPr>
            <w:tcW w:w="524" w:type="pct"/>
            <w:tcBorders>
              <w:tl2br w:val="nil"/>
              <w:tr2bl w:val="nil"/>
            </w:tcBorders>
            <w:shd w:val="clear" w:color="auto" w:fill="auto"/>
            <w:vAlign w:val="center"/>
          </w:tcPr>
          <w:p w14:paraId="58E3C2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shd w:val="clear" w:color="auto" w:fill="auto"/>
            <w:vAlign w:val="center"/>
          </w:tcPr>
          <w:p w14:paraId="6358FC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6E2AE9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r w14:paraId="63815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359" w:type="pct"/>
            <w:tcBorders>
              <w:tl2br w:val="nil"/>
              <w:tr2bl w:val="nil"/>
            </w:tcBorders>
            <w:vAlign w:val="center"/>
          </w:tcPr>
          <w:p w14:paraId="71ACA8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069" w:type="pct"/>
            <w:tcBorders>
              <w:tl2br w:val="nil"/>
              <w:tr2bl w:val="nil"/>
            </w:tcBorders>
            <w:shd w:val="clear" w:color="auto" w:fill="auto"/>
            <w:vAlign w:val="center"/>
          </w:tcPr>
          <w:p w14:paraId="6B81E7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旋流除污器</w:t>
            </w:r>
          </w:p>
        </w:tc>
        <w:tc>
          <w:tcPr>
            <w:tcW w:w="1891" w:type="pct"/>
            <w:tcBorders>
              <w:tl2br w:val="nil"/>
              <w:tr2bl w:val="nil"/>
            </w:tcBorders>
            <w:shd w:val="clear" w:color="auto" w:fill="auto"/>
            <w:vAlign w:val="center"/>
          </w:tcPr>
          <w:p w14:paraId="1824DF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XL-500</w:t>
            </w:r>
          </w:p>
        </w:tc>
        <w:tc>
          <w:tcPr>
            <w:tcW w:w="524" w:type="pct"/>
            <w:tcBorders>
              <w:tl2br w:val="nil"/>
              <w:tr2bl w:val="nil"/>
            </w:tcBorders>
            <w:shd w:val="clear" w:color="auto" w:fill="auto"/>
            <w:vAlign w:val="center"/>
          </w:tcPr>
          <w:p w14:paraId="495A78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台</w:t>
            </w:r>
          </w:p>
        </w:tc>
        <w:tc>
          <w:tcPr>
            <w:tcW w:w="482" w:type="pct"/>
            <w:tcBorders>
              <w:tl2br w:val="nil"/>
              <w:tr2bl w:val="nil"/>
            </w:tcBorders>
            <w:shd w:val="clear" w:color="auto" w:fill="auto"/>
            <w:vAlign w:val="center"/>
          </w:tcPr>
          <w:p w14:paraId="046C40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shd w:val="clear" w:color="auto" w:fill="auto"/>
            <w:vAlign w:val="center"/>
          </w:tcPr>
          <w:p w14:paraId="556669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更新</w:t>
            </w:r>
          </w:p>
        </w:tc>
      </w:tr>
    </w:tbl>
    <w:p w14:paraId="42BC6EC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2" w:firstLineChars="200"/>
        <w:textAlignment w:val="auto"/>
        <w:rPr>
          <w:rFonts w:hint="eastAsia" w:ascii="Times New Roman" w:hAnsi="Times New Roman" w:eastAsia="宋体" w:cs="Times New Roman"/>
          <w:b/>
          <w:bCs w:val="0"/>
          <w:color w:val="auto"/>
          <w:sz w:val="24"/>
          <w:szCs w:val="24"/>
          <w:lang w:val="en-US" w:eastAsia="zh-CN"/>
        </w:rPr>
      </w:pPr>
    </w:p>
    <w:p w14:paraId="62A81B08">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3.2.2.4 施工方案</w:t>
      </w:r>
    </w:p>
    <w:p w14:paraId="0CF04D0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本期工程为对锅炉进行改建+现有工程部分设备维修更新+新建消防泵房等，本次项目主要包括在现有热源厂厂区内进行改建、维修等，同时包括在厂区外，八五二农场场部对供热管线进行维修。</w:t>
      </w:r>
    </w:p>
    <w:p w14:paraId="6852000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管线施工方式主要如下：</w:t>
      </w:r>
    </w:p>
    <w:p w14:paraId="56EC74E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1、管槽土方开挖</w:t>
      </w:r>
    </w:p>
    <w:p w14:paraId="0321CA4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本工程管槽采用机械及人工开挖，开挖应严格控制标高，防止槽底超挖或对槽底土的扰动。槽底应平直、密实，并清除石块与杂物。遇软弱地基应采取加固处理。</w:t>
      </w:r>
    </w:p>
    <w:p w14:paraId="6AC0654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对</w:t>
      </w:r>
      <w:r>
        <w:rPr>
          <w:rFonts w:hint="default" w:ascii="Times New Roman" w:hAnsi="Times New Roman" w:eastAsia="宋体" w:cs="Times New Roman"/>
          <w:color w:val="auto"/>
          <w:sz w:val="24"/>
          <w:szCs w:val="24"/>
          <w:highlight w:val="none"/>
          <w:lang w:val="en-US" w:eastAsia="zh-CN"/>
        </w:rPr>
        <w:t>地下输水管线、排水管线、电缆、光缆、燃气管等均做好明显的标识。开挖过程中，对其进行保护。</w:t>
      </w:r>
    </w:p>
    <w:p w14:paraId="4DEAA7F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2、中粗砂垫层回填</w:t>
      </w:r>
    </w:p>
    <w:p w14:paraId="2F0EBE5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管槽验收合格后，进行中粗砂垫层回填。砂石材料由自卸汽车运至沟槽边，人工下料，摊铺至设计厚度，若含水量不够，适当</w:t>
      </w:r>
      <w:r>
        <w:rPr>
          <w:rFonts w:hint="eastAsia" w:ascii="Times New Roman" w:hAnsi="Times New Roman" w:eastAsia="宋体" w:cs="Times New Roman"/>
          <w:color w:val="auto"/>
          <w:sz w:val="24"/>
          <w:szCs w:val="24"/>
          <w:highlight w:val="none"/>
          <w:lang w:val="en-US" w:eastAsia="zh-CN"/>
        </w:rPr>
        <w:t>洒水</w:t>
      </w:r>
      <w:r>
        <w:rPr>
          <w:rFonts w:hint="default" w:ascii="Times New Roman" w:hAnsi="Times New Roman" w:eastAsia="宋体" w:cs="Times New Roman"/>
          <w:color w:val="auto"/>
          <w:sz w:val="24"/>
          <w:szCs w:val="24"/>
          <w:highlight w:val="none"/>
          <w:lang w:val="en-US" w:eastAsia="zh-CN"/>
        </w:rPr>
        <w:t>，采用蛙夯夯实，回填密实度不小于95%。</w:t>
      </w:r>
    </w:p>
    <w:p w14:paraId="4E2AFC1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3、管道安装</w:t>
      </w:r>
    </w:p>
    <w:p w14:paraId="7C54198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1）管道在吊装前应进行外观检查，确保管道表面无裂纹、凹陷等缺陷；</w:t>
      </w:r>
    </w:p>
    <w:p w14:paraId="325FAF3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管道接口采用电热熔带连接方式，确保接口处的强度和密封性，满足长期运行的需求。在连接过程中，应严格按照操作规程进行，确保电热熔带与管道表面的紧密贴合，避免出现虚焊或熔接不牢的情况。同时，对接口处进行必要的检测和试验，以验证其承压能力和密封性能是否达到设计要求。</w:t>
      </w:r>
    </w:p>
    <w:p w14:paraId="356D0EC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、土方回填</w:t>
      </w:r>
    </w:p>
    <w:p w14:paraId="7724510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管道按要求标高及中线敷设后必须尽快回填，先将管下支承角范围内的肋角部分用砂砾料回填密实，其高度不得小于0.2管径，然后用砂砾土或符合要求的沟槽原土回填管道两侧，每20cm为一层，由人工摊铺，冲击夯逐层夯实。</w:t>
      </w:r>
    </w:p>
    <w:p w14:paraId="0BF5F60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槽底至管顶以上50cm范围内，回填土中不得含有机物、冻土及大于50mm的砖、石等硬块，塑料管应采用细粒土回填。在管道试压前，管顶以上回填土高度不宜小于0.5m，可留出管道接头处0.2m范围内不进行回填。管道试压合格后的大面积回填，宜在管道内充满水的情况下进行，管道敷设后不宜长期处于空管状态。</w:t>
      </w:r>
    </w:p>
    <w:p w14:paraId="17B2BDE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3）沟槽回填时，管道两侧胸腔应同时对称进行。管道上方土的回填，从纵断面上看，在厚土层与薄土层之间，已夯实土与未夯实土之间，均应有一较长的过渡地段，以免管道受压不均发生开裂。相邻两层回填土的分段位置应错开。</w:t>
      </w:r>
    </w:p>
    <w:p w14:paraId="0786163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（4）每层土夯实后，应根据管道不同的部位达到设计要求的密实度，测定的方法有环刀法和贯入法两种。</w:t>
      </w:r>
    </w:p>
    <w:p w14:paraId="4A21789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（5）表层回填应使槽上土面略呈拱形，拱高一般取15cm，以免日久因土沉陷而造成地面下凹。</w:t>
      </w:r>
    </w:p>
    <w:p w14:paraId="438CE34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施工单位已编制施工方案，并对可能存在的安全隐患提出了相应的控制防治措施。</w:t>
      </w:r>
    </w:p>
    <w:p w14:paraId="31493554">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210" w:name="_Toc6523"/>
      <w:r>
        <w:rPr>
          <w:rFonts w:hint="eastAsia" w:ascii="Times New Roman" w:hAnsi="Times New Roman" w:eastAsia="宋体" w:cs="Times New Roman"/>
          <w:b/>
          <w:bCs/>
          <w:color w:val="auto"/>
          <w:lang w:val="en-US" w:eastAsia="zh-CN"/>
        </w:rPr>
        <w:t xml:space="preserve">3.3 </w:t>
      </w:r>
      <w:r>
        <w:rPr>
          <w:rFonts w:hint="eastAsia" w:ascii="Times New Roman" w:hAnsi="Times New Roman" w:eastAsia="宋体" w:cs="Times New Roman"/>
          <w:b/>
          <w:bCs/>
          <w:color w:val="auto"/>
        </w:rPr>
        <w:t>燃料供应系统</w:t>
      </w:r>
      <w:bookmarkEnd w:id="208"/>
      <w:bookmarkEnd w:id="209"/>
      <w:bookmarkEnd w:id="210"/>
    </w:p>
    <w:p w14:paraId="0994385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11" w:name="_Toc15410"/>
      <w:bookmarkStart w:id="212" w:name="_Toc355941932"/>
      <w:bookmarkStart w:id="213" w:name="_Toc337734345"/>
      <w:bookmarkStart w:id="214" w:name="_Toc23264"/>
      <w:bookmarkStart w:id="215" w:name="_Toc14512"/>
      <w:r>
        <w:rPr>
          <w:rFonts w:hint="eastAsia" w:ascii="Times New Roman" w:hAnsi="Times New Roman" w:eastAsia="宋体" w:cs="Times New Roman"/>
          <w:b/>
          <w:bCs/>
          <w:color w:val="auto"/>
          <w:sz w:val="28"/>
          <w:szCs w:val="28"/>
          <w:lang w:val="en-US" w:eastAsia="zh-CN"/>
        </w:rPr>
        <w:t>3.3.1 燃料来源及运输</w:t>
      </w:r>
      <w:bookmarkEnd w:id="211"/>
      <w:bookmarkEnd w:id="212"/>
      <w:bookmarkEnd w:id="213"/>
      <w:bookmarkEnd w:id="214"/>
      <w:bookmarkEnd w:id="215"/>
    </w:p>
    <w:p w14:paraId="4AB43B7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燃煤</w:t>
      </w:r>
      <w:r>
        <w:rPr>
          <w:rFonts w:hint="eastAsia" w:ascii="Times New Roman" w:hAnsi="Times New Roman" w:eastAsia="宋体" w:cs="Times New Roman"/>
          <w:color w:val="auto"/>
          <w:sz w:val="24"/>
          <w:szCs w:val="24"/>
          <w:highlight w:val="none"/>
          <w:lang w:val="en-US" w:eastAsia="zh-CN"/>
        </w:rPr>
        <w:t>于宝清县采购</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再经过汽车运输至本项目锅炉房封闭煤库内，运输距离约60km</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根据企业提供资料，本项目锅炉全年耗原煤量49622.4t/a。</w:t>
      </w:r>
    </w:p>
    <w:bookmarkEnd w:id="205"/>
    <w:bookmarkEnd w:id="206"/>
    <w:bookmarkEnd w:id="207"/>
    <w:p w14:paraId="36AA602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16" w:name="_Toc29124"/>
      <w:bookmarkStart w:id="217" w:name="_Toc105659891"/>
      <w:bookmarkStart w:id="218" w:name="_Toc107238108"/>
      <w:bookmarkStart w:id="219" w:name="_Toc8391"/>
      <w:bookmarkStart w:id="220" w:name="_Toc15489"/>
      <w:bookmarkStart w:id="221" w:name="_Toc26917"/>
      <w:r>
        <w:rPr>
          <w:rFonts w:hint="eastAsia" w:ascii="Times New Roman" w:hAnsi="Times New Roman" w:eastAsia="宋体" w:cs="Times New Roman"/>
          <w:b/>
          <w:bCs/>
          <w:color w:val="auto"/>
          <w:sz w:val="28"/>
          <w:szCs w:val="28"/>
          <w:lang w:val="en-US" w:eastAsia="zh-CN"/>
        </w:rPr>
        <w:t>3.3.2 燃料消耗量及成分分析</w:t>
      </w:r>
      <w:bookmarkEnd w:id="216"/>
      <w:bookmarkEnd w:id="217"/>
      <w:bookmarkEnd w:id="218"/>
      <w:bookmarkEnd w:id="219"/>
      <w:bookmarkEnd w:id="220"/>
      <w:bookmarkEnd w:id="221"/>
    </w:p>
    <w:p w14:paraId="50F3669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根据设计单位提供数据，本项目建设的2台42MW链条炉排热水锅炉在采暖期运行180天，年运行小时数4320h，锅炉按满负荷年利用小时数2880h，设计锅炉燃煤量为49622.4t/a，小时耗煤量为17.23t/h。</w:t>
      </w:r>
    </w:p>
    <w:p w14:paraId="11B837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表3.3-1  燃料计算</w:t>
      </w:r>
    </w:p>
    <w:tbl>
      <w:tblPr>
        <w:tblStyle w:val="40"/>
        <w:tblpPr w:leftFromText="180" w:rightFromText="180" w:vertAnchor="text" w:horzAnchor="margin" w:tblpXSpec="center" w:tblpY="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1703"/>
        <w:gridCol w:w="1703"/>
        <w:gridCol w:w="1703"/>
        <w:gridCol w:w="1708"/>
      </w:tblGrid>
      <w:tr w14:paraId="42AEA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9" w:type="pct"/>
            <w:tcBorders>
              <w:tl2br w:val="nil"/>
              <w:tr2bl w:val="nil"/>
            </w:tcBorders>
            <w:vAlign w:val="center"/>
          </w:tcPr>
          <w:p w14:paraId="5FDC20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燃料</w:t>
            </w:r>
          </w:p>
        </w:tc>
        <w:tc>
          <w:tcPr>
            <w:tcW w:w="999" w:type="pct"/>
            <w:tcBorders>
              <w:tl2br w:val="nil"/>
              <w:tr2bl w:val="nil"/>
            </w:tcBorders>
            <w:vAlign w:val="center"/>
          </w:tcPr>
          <w:p w14:paraId="575C32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锅炉规模</w:t>
            </w:r>
          </w:p>
        </w:tc>
        <w:tc>
          <w:tcPr>
            <w:tcW w:w="999" w:type="pct"/>
            <w:tcBorders>
              <w:tl2br w:val="nil"/>
              <w:tr2bl w:val="nil"/>
            </w:tcBorders>
            <w:vAlign w:val="center"/>
          </w:tcPr>
          <w:p w14:paraId="258E63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小时耗量（t)</w:t>
            </w:r>
          </w:p>
        </w:tc>
        <w:tc>
          <w:tcPr>
            <w:tcW w:w="999" w:type="pct"/>
            <w:tcBorders>
              <w:tl2br w:val="nil"/>
              <w:tr2bl w:val="nil"/>
            </w:tcBorders>
            <w:vAlign w:val="center"/>
          </w:tcPr>
          <w:p w14:paraId="17C2CF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日耗量（t)</w:t>
            </w:r>
          </w:p>
        </w:tc>
        <w:tc>
          <w:tcPr>
            <w:tcW w:w="1002" w:type="pct"/>
            <w:tcBorders>
              <w:tl2br w:val="nil"/>
              <w:tr2bl w:val="nil"/>
            </w:tcBorders>
            <w:vAlign w:val="center"/>
          </w:tcPr>
          <w:p w14:paraId="5BB929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年耗量（t)</w:t>
            </w:r>
          </w:p>
        </w:tc>
      </w:tr>
      <w:tr w14:paraId="4D217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9" w:type="pct"/>
            <w:tcBorders>
              <w:tl2br w:val="nil"/>
              <w:tr2bl w:val="nil"/>
            </w:tcBorders>
            <w:vAlign w:val="center"/>
          </w:tcPr>
          <w:p w14:paraId="68238B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燃煤</w:t>
            </w:r>
          </w:p>
        </w:tc>
        <w:tc>
          <w:tcPr>
            <w:tcW w:w="999" w:type="pct"/>
            <w:tcBorders>
              <w:tl2br w:val="nil"/>
              <w:tr2bl w:val="nil"/>
            </w:tcBorders>
            <w:vAlign w:val="center"/>
          </w:tcPr>
          <w:p w14:paraId="77721F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2×42MW</w:t>
            </w:r>
          </w:p>
        </w:tc>
        <w:tc>
          <w:tcPr>
            <w:tcW w:w="999" w:type="pct"/>
            <w:tcBorders>
              <w:tl2br w:val="nil"/>
              <w:tr2bl w:val="nil"/>
            </w:tcBorders>
            <w:vAlign w:val="center"/>
          </w:tcPr>
          <w:p w14:paraId="27DE14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17.23</w:t>
            </w:r>
          </w:p>
        </w:tc>
        <w:tc>
          <w:tcPr>
            <w:tcW w:w="999" w:type="pct"/>
            <w:tcBorders>
              <w:tl2br w:val="nil"/>
              <w:tr2bl w:val="nil"/>
            </w:tcBorders>
            <w:vAlign w:val="center"/>
          </w:tcPr>
          <w:p w14:paraId="374247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275.68</w:t>
            </w:r>
          </w:p>
        </w:tc>
        <w:tc>
          <w:tcPr>
            <w:tcW w:w="1002" w:type="pct"/>
            <w:tcBorders>
              <w:tl2br w:val="nil"/>
              <w:tr2bl w:val="nil"/>
            </w:tcBorders>
            <w:vAlign w:val="center"/>
          </w:tcPr>
          <w:p w14:paraId="252C12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49622.4</w:t>
            </w:r>
          </w:p>
        </w:tc>
      </w:tr>
    </w:tbl>
    <w:p w14:paraId="3CAFA1A1">
      <w:pPr>
        <w:pStyle w:val="165"/>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eastAsia="宋体" w:cs="Times New Roman"/>
          <w:b/>
          <w:bCs/>
          <w:color w:val="FF0000"/>
          <w:sz w:val="21"/>
          <w:szCs w:val="21"/>
          <w:lang w:val="en-US" w:eastAsia="zh-CN"/>
        </w:rPr>
      </w:pPr>
      <w:r>
        <w:rPr>
          <w:rFonts w:hint="eastAsia" w:ascii="Times New Roman" w:hAnsi="Times New Roman" w:eastAsia="宋体" w:cs="Times New Roman"/>
          <w:b/>
          <w:bCs/>
          <w:color w:val="FF0000"/>
          <w:sz w:val="21"/>
          <w:szCs w:val="21"/>
          <w:lang w:val="en-US" w:eastAsia="zh-CN"/>
        </w:rPr>
        <w:t>注：以每小时消耗量=60万大卡*锅炉吨位/燃料热值/锅炉燃烧效率。本项目锅炉42MW（以60t计），燃料热值根据燃料分析报告为4904kcal/kg，锅炉效率为85.2%。</w:t>
      </w:r>
    </w:p>
    <w:p w14:paraId="6B4DD52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ascii="Times New Roman" w:hAnsi="Times New Roman" w:eastAsia="宋体" w:cs="Times New Roman"/>
          <w:color w:val="auto"/>
        </w:rPr>
      </w:pPr>
      <w:r>
        <w:rPr>
          <w:rFonts w:hint="eastAsia" w:ascii="Times New Roman" w:hAnsi="Times New Roman" w:eastAsia="宋体" w:cs="Times New Roman"/>
          <w:color w:val="auto"/>
          <w:sz w:val="24"/>
          <w:szCs w:val="24"/>
          <w:highlight w:val="none"/>
          <w:lang w:val="en-US" w:eastAsia="zh-CN"/>
        </w:rPr>
        <w:t>本工程设计用燃料为燃煤，根据燃煤煤质分析报告，成分含量详见下表：</w:t>
      </w:r>
    </w:p>
    <w:p w14:paraId="051EFE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p>
    <w:p w14:paraId="026E6F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表3.3-2  燃煤成分分析报告</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5"/>
        <w:gridCol w:w="4222"/>
        <w:gridCol w:w="1860"/>
        <w:gridCol w:w="1592"/>
      </w:tblGrid>
      <w:tr w14:paraId="22156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496" w:type="pct"/>
            <w:tcBorders>
              <w:tl2br w:val="nil"/>
              <w:tr2bl w:val="nil"/>
            </w:tcBorders>
            <w:noWrap/>
            <w:vAlign w:val="center"/>
          </w:tcPr>
          <w:p w14:paraId="29F099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序号</w:t>
            </w:r>
          </w:p>
        </w:tc>
        <w:tc>
          <w:tcPr>
            <w:tcW w:w="2477" w:type="pct"/>
            <w:tcBorders>
              <w:tl2br w:val="nil"/>
              <w:tr2bl w:val="nil"/>
            </w:tcBorders>
            <w:noWrap/>
            <w:vAlign w:val="center"/>
          </w:tcPr>
          <w:p w14:paraId="764481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名称</w:t>
            </w:r>
          </w:p>
        </w:tc>
        <w:tc>
          <w:tcPr>
            <w:tcW w:w="1091" w:type="pct"/>
            <w:tcBorders>
              <w:tl2br w:val="nil"/>
              <w:tr2bl w:val="nil"/>
            </w:tcBorders>
            <w:noWrap/>
            <w:vAlign w:val="center"/>
          </w:tcPr>
          <w:p w14:paraId="3271D3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单位</w:t>
            </w:r>
          </w:p>
        </w:tc>
        <w:tc>
          <w:tcPr>
            <w:tcW w:w="934" w:type="pct"/>
            <w:tcBorders>
              <w:tl2br w:val="nil"/>
              <w:tr2bl w:val="nil"/>
            </w:tcBorders>
            <w:noWrap/>
            <w:vAlign w:val="center"/>
          </w:tcPr>
          <w:p w14:paraId="5215CA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检验结果</w:t>
            </w:r>
          </w:p>
        </w:tc>
      </w:tr>
      <w:tr w14:paraId="63896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 w:hRule="atLeast"/>
          <w:jc w:val="center"/>
        </w:trPr>
        <w:tc>
          <w:tcPr>
            <w:tcW w:w="496" w:type="pct"/>
            <w:vMerge w:val="restart"/>
            <w:tcBorders>
              <w:tl2br w:val="nil"/>
              <w:tr2bl w:val="nil"/>
            </w:tcBorders>
            <w:noWrap/>
            <w:vAlign w:val="center"/>
          </w:tcPr>
          <w:p w14:paraId="1695BE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2477" w:type="pct"/>
            <w:vMerge w:val="restart"/>
            <w:tcBorders>
              <w:tl2br w:val="nil"/>
              <w:tr2bl w:val="nil"/>
            </w:tcBorders>
            <w:noWrap/>
            <w:vAlign w:val="center"/>
          </w:tcPr>
          <w:p w14:paraId="41A1FC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收到基低位发热量 Qnet.ar</w:t>
            </w:r>
          </w:p>
        </w:tc>
        <w:tc>
          <w:tcPr>
            <w:tcW w:w="1091" w:type="pct"/>
            <w:tcBorders>
              <w:tl2br w:val="nil"/>
              <w:tr2bl w:val="nil"/>
            </w:tcBorders>
            <w:noWrap/>
            <w:vAlign w:val="center"/>
          </w:tcPr>
          <w:p w14:paraId="4497CF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MJ/kg</w:t>
            </w:r>
          </w:p>
        </w:tc>
        <w:tc>
          <w:tcPr>
            <w:tcW w:w="934" w:type="pct"/>
            <w:tcBorders>
              <w:tl2br w:val="nil"/>
              <w:tr2bl w:val="nil"/>
            </w:tcBorders>
            <w:noWrap/>
            <w:vAlign w:val="center"/>
          </w:tcPr>
          <w:p w14:paraId="66CD79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20.51</w:t>
            </w:r>
          </w:p>
        </w:tc>
      </w:tr>
      <w:tr w14:paraId="63D1A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496" w:type="pct"/>
            <w:vMerge w:val="continue"/>
            <w:tcBorders>
              <w:tl2br w:val="nil"/>
              <w:tr2bl w:val="nil"/>
            </w:tcBorders>
            <w:noWrap/>
            <w:vAlign w:val="center"/>
          </w:tcPr>
          <w:p w14:paraId="090743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2477" w:type="pct"/>
            <w:vMerge w:val="continue"/>
            <w:tcBorders>
              <w:tl2br w:val="nil"/>
              <w:tr2bl w:val="nil"/>
            </w:tcBorders>
            <w:noWrap/>
            <w:vAlign w:val="center"/>
          </w:tcPr>
          <w:p w14:paraId="0A3B4E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91" w:type="pct"/>
            <w:tcBorders>
              <w:tl2br w:val="nil"/>
              <w:tr2bl w:val="nil"/>
            </w:tcBorders>
            <w:noWrap/>
            <w:vAlign w:val="center"/>
          </w:tcPr>
          <w:p w14:paraId="473B82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kcal/kg</w:t>
            </w:r>
          </w:p>
        </w:tc>
        <w:tc>
          <w:tcPr>
            <w:tcW w:w="934" w:type="pct"/>
            <w:tcBorders>
              <w:tl2br w:val="nil"/>
              <w:tr2bl w:val="nil"/>
            </w:tcBorders>
            <w:noWrap/>
            <w:vAlign w:val="center"/>
          </w:tcPr>
          <w:p w14:paraId="3911C7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4904</w:t>
            </w:r>
          </w:p>
        </w:tc>
      </w:tr>
      <w:tr w14:paraId="1DA5B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6" w:type="pct"/>
            <w:tcBorders>
              <w:tl2br w:val="nil"/>
              <w:tr2bl w:val="nil"/>
            </w:tcBorders>
            <w:noWrap/>
            <w:vAlign w:val="center"/>
          </w:tcPr>
          <w:p w14:paraId="3D1BB4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2477" w:type="pct"/>
            <w:tcBorders>
              <w:tl2br w:val="nil"/>
              <w:tr2bl w:val="nil"/>
            </w:tcBorders>
            <w:noWrap/>
            <w:vAlign w:val="center"/>
          </w:tcPr>
          <w:p w14:paraId="5A4C1C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全水</w:t>
            </w:r>
            <w:r>
              <w:rPr>
                <w:rFonts w:hint="eastAsia" w:cs="Times New Roman"/>
                <w:color w:val="auto"/>
                <w:sz w:val="21"/>
                <w:szCs w:val="21"/>
                <w:highlight w:val="none"/>
                <w:lang w:val="en-US" w:eastAsia="zh-CN"/>
              </w:rPr>
              <w:t>分</w:t>
            </w:r>
            <w:r>
              <w:rPr>
                <w:rFonts w:hint="eastAsia" w:ascii="Times New Roman" w:hAnsi="Times New Roman" w:cs="Times New Roman"/>
                <w:color w:val="auto"/>
                <w:sz w:val="21"/>
                <w:szCs w:val="21"/>
                <w:highlight w:val="none"/>
                <w:lang w:val="en-US" w:eastAsia="zh-CN"/>
              </w:rPr>
              <w:t xml:space="preserve"> Mt</w:t>
            </w:r>
          </w:p>
        </w:tc>
        <w:tc>
          <w:tcPr>
            <w:tcW w:w="1091" w:type="pct"/>
            <w:tcBorders>
              <w:tl2br w:val="nil"/>
              <w:tr2bl w:val="nil"/>
            </w:tcBorders>
            <w:noWrap/>
            <w:vAlign w:val="center"/>
          </w:tcPr>
          <w:p w14:paraId="52FB99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3B630C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12.0</w:t>
            </w:r>
          </w:p>
        </w:tc>
      </w:tr>
      <w:tr w14:paraId="57A94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96" w:type="pct"/>
            <w:tcBorders>
              <w:tl2br w:val="nil"/>
              <w:tr2bl w:val="nil"/>
            </w:tcBorders>
            <w:noWrap/>
            <w:vAlign w:val="center"/>
          </w:tcPr>
          <w:p w14:paraId="44541C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2477" w:type="pct"/>
            <w:tcBorders>
              <w:tl2br w:val="nil"/>
              <w:tr2bl w:val="nil"/>
            </w:tcBorders>
            <w:noWrap/>
            <w:vAlign w:val="center"/>
          </w:tcPr>
          <w:p w14:paraId="2E3921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空气干燥基水</w:t>
            </w:r>
            <w:r>
              <w:rPr>
                <w:rFonts w:hint="eastAsia" w:cs="Times New Roman"/>
                <w:color w:val="auto"/>
                <w:sz w:val="21"/>
                <w:szCs w:val="21"/>
                <w:highlight w:val="none"/>
                <w:lang w:val="en-US" w:eastAsia="zh-CN"/>
              </w:rPr>
              <w:t xml:space="preserve">分 </w:t>
            </w:r>
            <w:r>
              <w:rPr>
                <w:rFonts w:hint="eastAsia" w:ascii="Times New Roman" w:hAnsi="Times New Roman" w:cs="Times New Roman"/>
                <w:color w:val="auto"/>
                <w:sz w:val="21"/>
                <w:szCs w:val="21"/>
                <w:highlight w:val="none"/>
                <w:lang w:val="en-US" w:eastAsia="zh-CN"/>
              </w:rPr>
              <w:t>Mad</w:t>
            </w:r>
          </w:p>
        </w:tc>
        <w:tc>
          <w:tcPr>
            <w:tcW w:w="1091" w:type="pct"/>
            <w:tcBorders>
              <w:tl2br w:val="nil"/>
              <w:tr2bl w:val="nil"/>
            </w:tcBorders>
            <w:noWrap/>
            <w:vAlign w:val="center"/>
          </w:tcPr>
          <w:p w14:paraId="6F073F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4461CB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2.90</w:t>
            </w:r>
          </w:p>
        </w:tc>
      </w:tr>
      <w:tr w14:paraId="319D7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96" w:type="pct"/>
            <w:tcBorders>
              <w:tl2br w:val="nil"/>
              <w:tr2bl w:val="nil"/>
            </w:tcBorders>
            <w:noWrap/>
            <w:vAlign w:val="center"/>
          </w:tcPr>
          <w:p w14:paraId="06CC5F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c>
          <w:tcPr>
            <w:tcW w:w="2477" w:type="pct"/>
            <w:tcBorders>
              <w:tl2br w:val="nil"/>
              <w:tr2bl w:val="nil"/>
            </w:tcBorders>
            <w:noWrap/>
            <w:vAlign w:val="center"/>
          </w:tcPr>
          <w:p w14:paraId="543D4D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干燥无灰基挥发</w:t>
            </w:r>
            <w:r>
              <w:rPr>
                <w:rFonts w:hint="eastAsia" w:cs="Times New Roman"/>
                <w:color w:val="auto"/>
                <w:sz w:val="21"/>
                <w:szCs w:val="21"/>
                <w:highlight w:val="none"/>
                <w:lang w:val="en-US" w:eastAsia="zh-CN"/>
              </w:rPr>
              <w:t xml:space="preserve">分 </w:t>
            </w:r>
            <w:r>
              <w:rPr>
                <w:rFonts w:hint="eastAsia" w:ascii="Times New Roman" w:hAnsi="Times New Roman" w:cs="Times New Roman"/>
                <w:color w:val="auto"/>
                <w:sz w:val="21"/>
                <w:szCs w:val="21"/>
                <w:highlight w:val="none"/>
                <w:lang w:val="en-US" w:eastAsia="zh-CN"/>
              </w:rPr>
              <w:t>Vdaf</w:t>
            </w:r>
          </w:p>
        </w:tc>
        <w:tc>
          <w:tcPr>
            <w:tcW w:w="1091" w:type="pct"/>
            <w:tcBorders>
              <w:tl2br w:val="nil"/>
              <w:tr2bl w:val="nil"/>
            </w:tcBorders>
            <w:noWrap/>
            <w:vAlign w:val="center"/>
          </w:tcPr>
          <w:p w14:paraId="703760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4F9928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41.84</w:t>
            </w:r>
          </w:p>
        </w:tc>
      </w:tr>
      <w:tr w14:paraId="27643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496" w:type="pct"/>
            <w:tcBorders>
              <w:tl2br w:val="nil"/>
              <w:tr2bl w:val="nil"/>
            </w:tcBorders>
            <w:noWrap/>
            <w:vAlign w:val="center"/>
          </w:tcPr>
          <w:p w14:paraId="1011D1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2477" w:type="pct"/>
            <w:tcBorders>
              <w:tl2br w:val="nil"/>
              <w:tr2bl w:val="nil"/>
            </w:tcBorders>
            <w:noWrap/>
            <w:vAlign w:val="center"/>
          </w:tcPr>
          <w:p w14:paraId="667E5A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收到基灰份 Aar</w:t>
            </w:r>
          </w:p>
        </w:tc>
        <w:tc>
          <w:tcPr>
            <w:tcW w:w="1091" w:type="pct"/>
            <w:tcBorders>
              <w:tl2br w:val="nil"/>
              <w:tr2bl w:val="nil"/>
            </w:tcBorders>
            <w:noWrap/>
            <w:vAlign w:val="center"/>
          </w:tcPr>
          <w:p w14:paraId="6C63DB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3EC164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39.44</w:t>
            </w:r>
          </w:p>
        </w:tc>
      </w:tr>
      <w:tr w14:paraId="28754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96" w:type="pct"/>
            <w:tcBorders>
              <w:tl2br w:val="nil"/>
              <w:tr2bl w:val="nil"/>
            </w:tcBorders>
            <w:noWrap/>
            <w:vAlign w:val="center"/>
          </w:tcPr>
          <w:p w14:paraId="6E138C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w:t>
            </w:r>
          </w:p>
        </w:tc>
        <w:tc>
          <w:tcPr>
            <w:tcW w:w="2477" w:type="pct"/>
            <w:tcBorders>
              <w:tl2br w:val="nil"/>
              <w:tr2bl w:val="nil"/>
            </w:tcBorders>
            <w:noWrap/>
            <w:vAlign w:val="center"/>
          </w:tcPr>
          <w:p w14:paraId="30ACB9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收到基固定碳 FCar</w:t>
            </w:r>
          </w:p>
        </w:tc>
        <w:tc>
          <w:tcPr>
            <w:tcW w:w="1091" w:type="pct"/>
            <w:tcBorders>
              <w:tl2br w:val="nil"/>
              <w:tr2bl w:val="nil"/>
            </w:tcBorders>
            <w:noWrap/>
            <w:vAlign w:val="center"/>
          </w:tcPr>
          <w:p w14:paraId="03D85D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522FD9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28.25</w:t>
            </w:r>
          </w:p>
        </w:tc>
      </w:tr>
      <w:tr w14:paraId="36923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96" w:type="pct"/>
            <w:tcBorders>
              <w:tl2br w:val="nil"/>
              <w:tr2bl w:val="nil"/>
            </w:tcBorders>
            <w:noWrap/>
            <w:vAlign w:val="center"/>
          </w:tcPr>
          <w:p w14:paraId="58E6B1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w:t>
            </w:r>
          </w:p>
        </w:tc>
        <w:tc>
          <w:tcPr>
            <w:tcW w:w="2477" w:type="pct"/>
            <w:tcBorders>
              <w:tl2br w:val="nil"/>
              <w:tr2bl w:val="nil"/>
            </w:tcBorders>
            <w:noWrap/>
            <w:vAlign w:val="center"/>
          </w:tcPr>
          <w:p w14:paraId="726922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收到基碳 Car</w:t>
            </w:r>
          </w:p>
        </w:tc>
        <w:tc>
          <w:tcPr>
            <w:tcW w:w="1091" w:type="pct"/>
            <w:tcBorders>
              <w:tl2br w:val="nil"/>
              <w:tr2bl w:val="nil"/>
            </w:tcBorders>
            <w:noWrap/>
            <w:vAlign w:val="center"/>
          </w:tcPr>
          <w:p w14:paraId="167A6D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46762E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36.20</w:t>
            </w:r>
          </w:p>
        </w:tc>
      </w:tr>
      <w:tr w14:paraId="68823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96" w:type="pct"/>
            <w:tcBorders>
              <w:tl2br w:val="nil"/>
              <w:tr2bl w:val="nil"/>
            </w:tcBorders>
            <w:noWrap/>
            <w:vAlign w:val="center"/>
          </w:tcPr>
          <w:p w14:paraId="0ED4AD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w:t>
            </w:r>
          </w:p>
        </w:tc>
        <w:tc>
          <w:tcPr>
            <w:tcW w:w="2477" w:type="pct"/>
            <w:tcBorders>
              <w:tl2br w:val="nil"/>
              <w:tr2bl w:val="nil"/>
            </w:tcBorders>
            <w:noWrap/>
            <w:vAlign w:val="center"/>
          </w:tcPr>
          <w:p w14:paraId="5500D4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收到基氢 Har</w:t>
            </w:r>
          </w:p>
        </w:tc>
        <w:tc>
          <w:tcPr>
            <w:tcW w:w="1091" w:type="pct"/>
            <w:tcBorders>
              <w:tl2br w:val="nil"/>
              <w:tr2bl w:val="nil"/>
            </w:tcBorders>
            <w:noWrap/>
            <w:vAlign w:val="center"/>
          </w:tcPr>
          <w:p w14:paraId="30D26E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502D72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2.60</w:t>
            </w:r>
          </w:p>
        </w:tc>
      </w:tr>
      <w:tr w14:paraId="121AD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96" w:type="pct"/>
            <w:tcBorders>
              <w:tl2br w:val="nil"/>
              <w:tr2bl w:val="nil"/>
            </w:tcBorders>
            <w:noWrap/>
            <w:vAlign w:val="center"/>
          </w:tcPr>
          <w:p w14:paraId="54C842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2477" w:type="pct"/>
            <w:tcBorders>
              <w:tl2br w:val="nil"/>
              <w:tr2bl w:val="nil"/>
            </w:tcBorders>
            <w:noWrap/>
            <w:vAlign w:val="center"/>
          </w:tcPr>
          <w:p w14:paraId="6EBD89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收到基氧 Oar</w:t>
            </w:r>
          </w:p>
        </w:tc>
        <w:tc>
          <w:tcPr>
            <w:tcW w:w="1091" w:type="pct"/>
            <w:tcBorders>
              <w:tl2br w:val="nil"/>
              <w:tr2bl w:val="nil"/>
            </w:tcBorders>
            <w:noWrap/>
            <w:vAlign w:val="center"/>
          </w:tcPr>
          <w:p w14:paraId="79F522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03A715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8.63</w:t>
            </w:r>
          </w:p>
        </w:tc>
      </w:tr>
      <w:tr w14:paraId="782B4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496" w:type="pct"/>
            <w:tcBorders>
              <w:tl2br w:val="nil"/>
              <w:tr2bl w:val="nil"/>
            </w:tcBorders>
            <w:noWrap/>
            <w:vAlign w:val="center"/>
          </w:tcPr>
          <w:p w14:paraId="4D7697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bookmarkStart w:id="222" w:name="_Toc18797"/>
            <w:bookmarkStart w:id="223" w:name="_Toc535"/>
            <w:bookmarkStart w:id="224" w:name="_Toc105659893"/>
            <w:bookmarkStart w:id="225" w:name="_Toc107238110"/>
            <w:r>
              <w:rPr>
                <w:rFonts w:hint="eastAsia" w:ascii="Times New Roman" w:hAnsi="Times New Roman" w:cs="Times New Roman"/>
                <w:color w:val="auto"/>
                <w:sz w:val="21"/>
                <w:szCs w:val="21"/>
                <w:highlight w:val="none"/>
                <w:lang w:val="en-US" w:eastAsia="zh-CN"/>
              </w:rPr>
              <w:t>10</w:t>
            </w:r>
          </w:p>
        </w:tc>
        <w:tc>
          <w:tcPr>
            <w:tcW w:w="2477" w:type="pct"/>
            <w:tcBorders>
              <w:tl2br w:val="nil"/>
              <w:tr2bl w:val="nil"/>
            </w:tcBorders>
            <w:noWrap/>
            <w:vAlign w:val="center"/>
          </w:tcPr>
          <w:p w14:paraId="07733B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收到基氮 Nar</w:t>
            </w:r>
          </w:p>
        </w:tc>
        <w:tc>
          <w:tcPr>
            <w:tcW w:w="1091" w:type="pct"/>
            <w:tcBorders>
              <w:tl2br w:val="nil"/>
              <w:tr2bl w:val="nil"/>
            </w:tcBorders>
            <w:noWrap/>
            <w:vAlign w:val="center"/>
          </w:tcPr>
          <w:p w14:paraId="45EFE7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6C9F57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0.98</w:t>
            </w:r>
          </w:p>
        </w:tc>
      </w:tr>
      <w:tr w14:paraId="60A4B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496" w:type="pct"/>
            <w:tcBorders>
              <w:tl2br w:val="nil"/>
              <w:tr2bl w:val="nil"/>
            </w:tcBorders>
            <w:noWrap/>
            <w:vAlign w:val="center"/>
          </w:tcPr>
          <w:p w14:paraId="20DF6F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477" w:type="pct"/>
            <w:tcBorders>
              <w:tl2br w:val="nil"/>
              <w:tr2bl w:val="nil"/>
            </w:tcBorders>
            <w:noWrap/>
            <w:vAlign w:val="center"/>
          </w:tcPr>
          <w:p w14:paraId="1429FE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收到基全硫 St,ar</w:t>
            </w:r>
          </w:p>
        </w:tc>
        <w:tc>
          <w:tcPr>
            <w:tcW w:w="1091" w:type="pct"/>
            <w:tcBorders>
              <w:tl2br w:val="nil"/>
              <w:tr2bl w:val="nil"/>
            </w:tcBorders>
            <w:noWrap/>
            <w:vAlign w:val="center"/>
          </w:tcPr>
          <w:p w14:paraId="235E44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934" w:type="pct"/>
            <w:tcBorders>
              <w:tl2br w:val="nil"/>
              <w:tr2bl w:val="nil"/>
            </w:tcBorders>
            <w:noWrap/>
            <w:vAlign w:val="center"/>
          </w:tcPr>
          <w:p w14:paraId="33FFAE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0.15</w:t>
            </w:r>
          </w:p>
        </w:tc>
      </w:tr>
      <w:tr w14:paraId="78211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496" w:type="pct"/>
            <w:tcBorders>
              <w:tl2br w:val="nil"/>
              <w:tr2bl w:val="nil"/>
            </w:tcBorders>
            <w:noWrap/>
            <w:vAlign w:val="center"/>
          </w:tcPr>
          <w:p w14:paraId="5E835B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2477" w:type="pct"/>
            <w:tcBorders>
              <w:tl2br w:val="nil"/>
              <w:tr2bl w:val="nil"/>
            </w:tcBorders>
            <w:noWrap/>
            <w:vAlign w:val="center"/>
          </w:tcPr>
          <w:p w14:paraId="714456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收到基汞Hgar</w:t>
            </w:r>
          </w:p>
        </w:tc>
        <w:tc>
          <w:tcPr>
            <w:tcW w:w="1091" w:type="pct"/>
            <w:tcBorders>
              <w:tl2br w:val="nil"/>
              <w:tr2bl w:val="nil"/>
            </w:tcBorders>
            <w:noWrap/>
            <w:vAlign w:val="center"/>
          </w:tcPr>
          <w:p w14:paraId="07A114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mg/kg</w:t>
            </w:r>
          </w:p>
        </w:tc>
        <w:tc>
          <w:tcPr>
            <w:tcW w:w="934" w:type="pct"/>
            <w:tcBorders>
              <w:tl2br w:val="nil"/>
              <w:tr2bl w:val="nil"/>
            </w:tcBorders>
            <w:noWrap/>
            <w:vAlign w:val="center"/>
          </w:tcPr>
          <w:p w14:paraId="2F43BD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0.093</w:t>
            </w:r>
          </w:p>
        </w:tc>
      </w:tr>
    </w:tbl>
    <w:p w14:paraId="7BF0D416">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3.</w:t>
      </w:r>
      <w:r>
        <w:rPr>
          <w:rFonts w:hint="eastAsia" w:ascii="Times New Roman" w:hAnsi="Times New Roman" w:cs="Times New Roman"/>
          <w:b/>
          <w:bCs/>
          <w:color w:val="auto"/>
          <w:sz w:val="28"/>
          <w:szCs w:val="28"/>
          <w:lang w:val="en-US" w:eastAsia="zh-CN"/>
        </w:rPr>
        <w:t>3.3</w:t>
      </w:r>
      <w:r>
        <w:rPr>
          <w:rFonts w:hint="eastAsia" w:ascii="Times New Roman" w:hAnsi="Times New Roman" w:eastAsia="宋体" w:cs="Times New Roman"/>
          <w:b/>
          <w:bCs/>
          <w:color w:val="auto"/>
          <w:sz w:val="28"/>
          <w:szCs w:val="28"/>
          <w:lang w:val="en-US" w:eastAsia="zh-CN"/>
        </w:rPr>
        <w:t xml:space="preserve"> 辅助材料</w:t>
      </w:r>
      <w:bookmarkEnd w:id="222"/>
      <w:bookmarkEnd w:id="223"/>
      <w:bookmarkEnd w:id="224"/>
      <w:bookmarkEnd w:id="225"/>
    </w:p>
    <w:p w14:paraId="7304D3F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本项目主要原辅材料消耗见表3.3-3。</w:t>
      </w:r>
    </w:p>
    <w:p w14:paraId="4E67E8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w:t>
      </w:r>
      <w:r>
        <w:rPr>
          <w:rFonts w:hint="eastAsia"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w:t>
      </w:r>
      <w:r>
        <w:rPr>
          <w:rFonts w:hint="eastAsia" w:eastAsia="宋体" w:cs="Times New Roman"/>
          <w:b/>
          <w:bCs/>
          <w:color w:val="auto"/>
          <w:sz w:val="24"/>
          <w:szCs w:val="24"/>
          <w:lang w:val="en-US" w:eastAsia="zh-CN"/>
        </w:rPr>
        <w:t xml:space="preserve">3  </w:t>
      </w:r>
      <w:r>
        <w:rPr>
          <w:rFonts w:hint="eastAsia" w:ascii="Times New Roman" w:hAnsi="Times New Roman" w:eastAsia="宋体" w:cs="Times New Roman"/>
          <w:b/>
          <w:bCs/>
          <w:color w:val="auto"/>
          <w:sz w:val="24"/>
          <w:szCs w:val="24"/>
          <w:lang w:val="en-US" w:eastAsia="zh-CN"/>
        </w:rPr>
        <w:t>主要</w:t>
      </w:r>
      <w:r>
        <w:rPr>
          <w:rFonts w:hint="default" w:ascii="Times New Roman" w:hAnsi="Times New Roman" w:eastAsia="宋体" w:cs="Times New Roman"/>
          <w:b/>
          <w:bCs/>
          <w:color w:val="auto"/>
          <w:sz w:val="24"/>
          <w:szCs w:val="24"/>
          <w:lang w:val="en-US" w:eastAsia="zh-CN"/>
        </w:rPr>
        <w:t>原辅材料消耗一览表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8"/>
        <w:gridCol w:w="1146"/>
        <w:gridCol w:w="1050"/>
        <w:gridCol w:w="1156"/>
        <w:gridCol w:w="4502"/>
      </w:tblGrid>
      <w:tr w14:paraId="3DE53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 w:type="pct"/>
            <w:tcBorders>
              <w:tl2br w:val="nil"/>
              <w:tr2bl w:val="nil"/>
            </w:tcBorders>
            <w:vAlign w:val="center"/>
          </w:tcPr>
          <w:p w14:paraId="5E8840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bookmarkStart w:id="226" w:name="_Toc107238111"/>
            <w:bookmarkStart w:id="227" w:name="_Toc105659894"/>
            <w:r>
              <w:rPr>
                <w:rFonts w:hint="eastAsia" w:ascii="Times New Roman" w:hAnsi="Times New Roman" w:cs="Times New Roman"/>
                <w:color w:val="auto"/>
                <w:sz w:val="21"/>
                <w:szCs w:val="21"/>
                <w:highlight w:val="none"/>
                <w:lang w:val="en-US" w:eastAsia="zh-CN"/>
              </w:rPr>
              <w:t>序号</w:t>
            </w:r>
          </w:p>
        </w:tc>
        <w:tc>
          <w:tcPr>
            <w:tcW w:w="672" w:type="pct"/>
            <w:tcBorders>
              <w:tl2br w:val="nil"/>
              <w:tr2bl w:val="nil"/>
            </w:tcBorders>
            <w:vAlign w:val="center"/>
          </w:tcPr>
          <w:p w14:paraId="454A83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名称</w:t>
            </w:r>
          </w:p>
        </w:tc>
        <w:tc>
          <w:tcPr>
            <w:tcW w:w="616" w:type="pct"/>
            <w:tcBorders>
              <w:tl2br w:val="nil"/>
              <w:tr2bl w:val="nil"/>
            </w:tcBorders>
            <w:vAlign w:val="center"/>
          </w:tcPr>
          <w:p w14:paraId="72FC17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单位</w:t>
            </w:r>
          </w:p>
        </w:tc>
        <w:tc>
          <w:tcPr>
            <w:tcW w:w="678" w:type="pct"/>
            <w:tcBorders>
              <w:tl2br w:val="nil"/>
              <w:tr2bl w:val="nil"/>
            </w:tcBorders>
            <w:vAlign w:val="center"/>
          </w:tcPr>
          <w:p w14:paraId="3F12CF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用量</w:t>
            </w:r>
          </w:p>
        </w:tc>
        <w:tc>
          <w:tcPr>
            <w:tcW w:w="2640" w:type="pct"/>
            <w:tcBorders>
              <w:tl2br w:val="nil"/>
              <w:tr2bl w:val="nil"/>
            </w:tcBorders>
            <w:vAlign w:val="center"/>
          </w:tcPr>
          <w:p w14:paraId="50B0CA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备注</w:t>
            </w:r>
          </w:p>
        </w:tc>
      </w:tr>
      <w:tr w14:paraId="308AB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 w:type="pct"/>
            <w:tcBorders>
              <w:tl2br w:val="nil"/>
              <w:tr2bl w:val="nil"/>
            </w:tcBorders>
            <w:vAlign w:val="center"/>
          </w:tcPr>
          <w:p w14:paraId="48A9CD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672" w:type="pct"/>
            <w:tcBorders>
              <w:tl2br w:val="nil"/>
              <w:tr2bl w:val="nil"/>
            </w:tcBorders>
            <w:vAlign w:val="center"/>
          </w:tcPr>
          <w:p w14:paraId="76F5D2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轻柴油</w:t>
            </w:r>
          </w:p>
        </w:tc>
        <w:tc>
          <w:tcPr>
            <w:tcW w:w="616" w:type="pct"/>
            <w:tcBorders>
              <w:tl2br w:val="nil"/>
              <w:tr2bl w:val="nil"/>
            </w:tcBorders>
            <w:vAlign w:val="center"/>
          </w:tcPr>
          <w:p w14:paraId="02D88B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t/次</w:t>
            </w:r>
          </w:p>
        </w:tc>
        <w:tc>
          <w:tcPr>
            <w:tcW w:w="678" w:type="pct"/>
            <w:tcBorders>
              <w:tl2br w:val="nil"/>
              <w:tr2bl w:val="nil"/>
            </w:tcBorders>
            <w:vAlign w:val="center"/>
          </w:tcPr>
          <w:p w14:paraId="5AA3FC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2640" w:type="pct"/>
            <w:tcBorders>
              <w:tl2br w:val="nil"/>
              <w:tr2bl w:val="nil"/>
            </w:tcBorders>
            <w:vAlign w:val="center"/>
          </w:tcPr>
          <w:p w14:paraId="530094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不储存，现用现买</w:t>
            </w:r>
          </w:p>
        </w:tc>
      </w:tr>
      <w:tr w14:paraId="5EB80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 w:type="pct"/>
            <w:vMerge w:val="restart"/>
            <w:tcBorders>
              <w:tl2br w:val="nil"/>
              <w:tr2bl w:val="nil"/>
            </w:tcBorders>
            <w:vAlign w:val="center"/>
          </w:tcPr>
          <w:p w14:paraId="0AC225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672" w:type="pct"/>
            <w:vMerge w:val="restart"/>
            <w:tcBorders>
              <w:tl2br w:val="nil"/>
              <w:tr2bl w:val="nil"/>
            </w:tcBorders>
            <w:vAlign w:val="center"/>
          </w:tcPr>
          <w:p w14:paraId="29FC80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氧化镁</w:t>
            </w:r>
          </w:p>
        </w:tc>
        <w:tc>
          <w:tcPr>
            <w:tcW w:w="616" w:type="pct"/>
            <w:tcBorders>
              <w:tl2br w:val="nil"/>
              <w:tr2bl w:val="nil"/>
            </w:tcBorders>
            <w:vAlign w:val="center"/>
          </w:tcPr>
          <w:p w14:paraId="78981A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kg/h</w:t>
            </w:r>
          </w:p>
        </w:tc>
        <w:tc>
          <w:tcPr>
            <w:tcW w:w="678" w:type="pct"/>
            <w:tcBorders>
              <w:tl2br w:val="nil"/>
              <w:tr2bl w:val="nil"/>
            </w:tcBorders>
            <w:vAlign w:val="center"/>
          </w:tcPr>
          <w:p w14:paraId="55D9A1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4.7</w:t>
            </w:r>
          </w:p>
        </w:tc>
        <w:tc>
          <w:tcPr>
            <w:tcW w:w="2640" w:type="pct"/>
            <w:vMerge w:val="restart"/>
            <w:tcBorders>
              <w:tl2br w:val="nil"/>
              <w:tr2bl w:val="nil"/>
            </w:tcBorders>
            <w:vAlign w:val="center"/>
          </w:tcPr>
          <w:p w14:paraId="4F3B32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脱硫剂</w:t>
            </w:r>
          </w:p>
        </w:tc>
      </w:tr>
      <w:tr w14:paraId="61DC6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 w:type="pct"/>
            <w:vMerge w:val="continue"/>
            <w:tcBorders>
              <w:tl2br w:val="nil"/>
              <w:tr2bl w:val="nil"/>
            </w:tcBorders>
            <w:vAlign w:val="center"/>
          </w:tcPr>
          <w:p w14:paraId="5F1F10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672" w:type="pct"/>
            <w:vMerge w:val="continue"/>
            <w:tcBorders>
              <w:tl2br w:val="nil"/>
              <w:tr2bl w:val="nil"/>
            </w:tcBorders>
            <w:vAlign w:val="center"/>
          </w:tcPr>
          <w:p w14:paraId="42B8BA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616" w:type="pct"/>
            <w:tcBorders>
              <w:tl2br w:val="nil"/>
              <w:tr2bl w:val="nil"/>
            </w:tcBorders>
            <w:shd w:val="clear" w:color="auto" w:fill="auto"/>
            <w:vAlign w:val="center"/>
          </w:tcPr>
          <w:p w14:paraId="3926542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t/a</w:t>
            </w:r>
          </w:p>
        </w:tc>
        <w:tc>
          <w:tcPr>
            <w:tcW w:w="678" w:type="pct"/>
            <w:tcBorders>
              <w:tl2br w:val="nil"/>
              <w:tr2bl w:val="nil"/>
            </w:tcBorders>
            <w:shd w:val="clear" w:color="auto" w:fill="auto"/>
            <w:vAlign w:val="center"/>
          </w:tcPr>
          <w:p w14:paraId="0E6B899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13.5</w:t>
            </w:r>
          </w:p>
        </w:tc>
        <w:tc>
          <w:tcPr>
            <w:tcW w:w="2640" w:type="pct"/>
            <w:vMerge w:val="continue"/>
            <w:tcBorders>
              <w:tl2br w:val="nil"/>
              <w:tr2bl w:val="nil"/>
            </w:tcBorders>
            <w:vAlign w:val="center"/>
          </w:tcPr>
          <w:p w14:paraId="6DA89A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29CAB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 w:type="pct"/>
            <w:vMerge w:val="restart"/>
            <w:tcBorders>
              <w:tl2br w:val="nil"/>
              <w:tr2bl w:val="nil"/>
            </w:tcBorders>
            <w:vAlign w:val="center"/>
          </w:tcPr>
          <w:p w14:paraId="7E0394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672" w:type="pct"/>
            <w:vMerge w:val="restart"/>
            <w:tcBorders>
              <w:tl2br w:val="nil"/>
              <w:tr2bl w:val="nil"/>
            </w:tcBorders>
            <w:vAlign w:val="center"/>
          </w:tcPr>
          <w:p w14:paraId="12DF0D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尿素</w:t>
            </w:r>
          </w:p>
        </w:tc>
        <w:tc>
          <w:tcPr>
            <w:tcW w:w="1050" w:type="dxa"/>
            <w:tcBorders>
              <w:tl2br w:val="nil"/>
              <w:tr2bl w:val="nil"/>
            </w:tcBorders>
            <w:vAlign w:val="center"/>
          </w:tcPr>
          <w:p w14:paraId="503CDA3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kg/h</w:t>
            </w:r>
          </w:p>
        </w:tc>
        <w:tc>
          <w:tcPr>
            <w:tcW w:w="1156" w:type="dxa"/>
            <w:tcBorders>
              <w:tl2br w:val="nil"/>
              <w:tr2bl w:val="nil"/>
            </w:tcBorders>
            <w:vAlign w:val="center"/>
          </w:tcPr>
          <w:p w14:paraId="420496D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4.7</w:t>
            </w:r>
          </w:p>
        </w:tc>
        <w:tc>
          <w:tcPr>
            <w:tcW w:w="2640" w:type="pct"/>
            <w:vMerge w:val="restart"/>
            <w:tcBorders>
              <w:tl2br w:val="nil"/>
              <w:tr2bl w:val="nil"/>
            </w:tcBorders>
            <w:vAlign w:val="center"/>
          </w:tcPr>
          <w:p w14:paraId="64B3EB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脱硝还原剂</w:t>
            </w:r>
          </w:p>
        </w:tc>
      </w:tr>
      <w:tr w14:paraId="00613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 w:type="pct"/>
            <w:vMerge w:val="continue"/>
            <w:tcBorders>
              <w:tl2br w:val="nil"/>
              <w:tr2bl w:val="nil"/>
            </w:tcBorders>
            <w:vAlign w:val="center"/>
          </w:tcPr>
          <w:p w14:paraId="4B36E8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bookmarkStart w:id="228" w:name="_Toc22160"/>
            <w:bookmarkStart w:id="229" w:name="_Toc22332"/>
            <w:bookmarkStart w:id="230" w:name="_Toc15515"/>
          </w:p>
        </w:tc>
        <w:tc>
          <w:tcPr>
            <w:tcW w:w="672" w:type="pct"/>
            <w:vMerge w:val="continue"/>
            <w:tcBorders>
              <w:tl2br w:val="nil"/>
              <w:tr2bl w:val="nil"/>
            </w:tcBorders>
            <w:vAlign w:val="center"/>
          </w:tcPr>
          <w:p w14:paraId="63BD3F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50" w:type="dxa"/>
            <w:tcBorders>
              <w:tl2br w:val="nil"/>
              <w:tr2bl w:val="nil"/>
            </w:tcBorders>
            <w:vAlign w:val="center"/>
          </w:tcPr>
          <w:p w14:paraId="6201230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t/a</w:t>
            </w:r>
          </w:p>
        </w:tc>
        <w:tc>
          <w:tcPr>
            <w:tcW w:w="1156" w:type="dxa"/>
            <w:tcBorders>
              <w:tl2br w:val="nil"/>
              <w:tr2bl w:val="nil"/>
            </w:tcBorders>
            <w:vAlign w:val="center"/>
          </w:tcPr>
          <w:p w14:paraId="21B4990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13.5</w:t>
            </w:r>
          </w:p>
        </w:tc>
        <w:tc>
          <w:tcPr>
            <w:tcW w:w="2640" w:type="pct"/>
            <w:vMerge w:val="continue"/>
            <w:tcBorders>
              <w:tl2br w:val="nil"/>
              <w:tr2bl w:val="nil"/>
            </w:tcBorders>
            <w:vAlign w:val="center"/>
          </w:tcPr>
          <w:p w14:paraId="556984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bl>
    <w:p w14:paraId="1471161D">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r>
        <w:rPr>
          <w:rFonts w:hint="eastAsia" w:ascii="Times New Roman" w:hAnsi="Times New Roman" w:cs="Times New Roman"/>
          <w:b/>
          <w:bCs/>
          <w:color w:val="auto"/>
          <w:lang w:val="en-US" w:eastAsia="zh-CN"/>
        </w:rPr>
        <w:t xml:space="preserve">3.4 </w:t>
      </w:r>
      <w:r>
        <w:rPr>
          <w:rFonts w:hint="eastAsia" w:ascii="Times New Roman" w:hAnsi="Times New Roman" w:eastAsia="宋体" w:cs="Times New Roman"/>
          <w:b/>
          <w:bCs/>
          <w:color w:val="auto"/>
        </w:rPr>
        <w:t>锅炉生产工艺</w:t>
      </w:r>
      <w:bookmarkEnd w:id="228"/>
      <w:bookmarkEnd w:id="229"/>
    </w:p>
    <w:p w14:paraId="5AB655A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31" w:name="_Toc10998"/>
      <w:bookmarkStart w:id="232" w:name="_Toc21769"/>
      <w:bookmarkStart w:id="233" w:name="_Toc15139"/>
      <w:r>
        <w:rPr>
          <w:rFonts w:hint="eastAsia" w:ascii="Times New Roman" w:hAnsi="Times New Roman" w:cs="Times New Roman"/>
          <w:b/>
          <w:bCs/>
          <w:color w:val="auto"/>
          <w:sz w:val="28"/>
          <w:szCs w:val="28"/>
          <w:lang w:val="en-US" w:eastAsia="zh-CN"/>
        </w:rPr>
        <w:t xml:space="preserve">3.4.1 </w:t>
      </w:r>
      <w:r>
        <w:rPr>
          <w:rFonts w:hint="eastAsia" w:ascii="Times New Roman" w:hAnsi="Times New Roman" w:eastAsia="宋体" w:cs="Times New Roman"/>
          <w:b/>
          <w:bCs/>
          <w:color w:val="auto"/>
          <w:sz w:val="28"/>
          <w:szCs w:val="28"/>
          <w:lang w:val="en-US" w:eastAsia="zh-CN"/>
        </w:rPr>
        <w:t>燃料上料系统</w:t>
      </w:r>
      <w:bookmarkEnd w:id="231"/>
      <w:bookmarkEnd w:id="232"/>
      <w:bookmarkEnd w:id="233"/>
    </w:p>
    <w:p w14:paraId="5A62CAAC">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3.4.1.1 卸煤及贮煤系统</w:t>
      </w:r>
    </w:p>
    <w:p w14:paraId="05D43C2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本工程用</w:t>
      </w:r>
      <w:r>
        <w:rPr>
          <w:rFonts w:hint="default" w:ascii="Times New Roman" w:hAnsi="Times New Roman" w:eastAsia="宋体" w:cs="Times New Roman"/>
          <w:color w:val="auto"/>
          <w:sz w:val="24"/>
          <w:szCs w:val="24"/>
          <w:highlight w:val="none"/>
          <w:lang w:val="en-US" w:eastAsia="zh-CN"/>
        </w:rPr>
        <w:t>燃煤</w:t>
      </w:r>
      <w:r>
        <w:rPr>
          <w:rFonts w:hint="eastAsia" w:ascii="Times New Roman" w:hAnsi="Times New Roman" w:eastAsia="宋体" w:cs="Times New Roman"/>
          <w:color w:val="auto"/>
          <w:sz w:val="24"/>
          <w:szCs w:val="24"/>
          <w:highlight w:val="none"/>
          <w:lang w:val="en-US" w:eastAsia="zh-CN"/>
        </w:rPr>
        <w:t>于宝清县采购</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再经过汽车运输至本项目锅炉房封闭煤库内，运输距离约60km</w:t>
      </w:r>
      <w:r>
        <w:rPr>
          <w:rFonts w:hint="default" w:ascii="Times New Roman" w:hAnsi="Times New Roman" w:eastAsia="宋体" w:cs="Times New Roman"/>
          <w:color w:val="auto"/>
          <w:sz w:val="24"/>
          <w:szCs w:val="24"/>
          <w:highlight w:val="none"/>
          <w:lang w:val="en-US" w:eastAsia="zh-CN"/>
        </w:rPr>
        <w:t>。</w:t>
      </w:r>
    </w:p>
    <w:p w14:paraId="4659AEE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bookmarkStart w:id="234" w:name="OLE_LINK27"/>
      <w:bookmarkStart w:id="235" w:name="OLE_LINK1"/>
      <w:bookmarkStart w:id="236" w:name="OLE_LINK22"/>
      <w:bookmarkStart w:id="237" w:name="OLE_LINK9"/>
      <w:bookmarkStart w:id="238" w:name="OLE_LINK10"/>
      <w:r>
        <w:rPr>
          <w:rFonts w:hint="eastAsia" w:ascii="Times New Roman" w:hAnsi="Times New Roman" w:eastAsia="宋体" w:cs="Times New Roman"/>
          <w:color w:val="auto"/>
          <w:sz w:val="24"/>
          <w:szCs w:val="24"/>
          <w:highlight w:val="none"/>
          <w:lang w:val="en-US" w:eastAsia="zh-CN"/>
        </w:rPr>
        <w:t>储煤利用厂区东侧原有煤库，面积为约2300m</w:t>
      </w:r>
      <w:r>
        <w:rPr>
          <w:rFonts w:hint="eastAsia" w:ascii="Times New Roman" w:hAnsi="Times New Roman" w:eastAsia="宋体" w:cs="Times New Roman"/>
          <w:color w:val="auto"/>
          <w:sz w:val="24"/>
          <w:szCs w:val="24"/>
          <w:highlight w:val="none"/>
          <w:vertAlign w:val="superscript"/>
          <w:lang w:val="en-US" w:eastAsia="zh-CN"/>
        </w:rPr>
        <w:t>2</w:t>
      </w:r>
      <w:r>
        <w:rPr>
          <w:rFonts w:hint="eastAsia" w:ascii="Times New Roman" w:hAnsi="Times New Roman" w:eastAsia="宋体" w:cs="Times New Roman"/>
          <w:color w:val="auto"/>
          <w:sz w:val="24"/>
          <w:szCs w:val="24"/>
          <w:highlight w:val="none"/>
          <w:lang w:val="en-US" w:eastAsia="zh-CN"/>
        </w:rPr>
        <w:t>（72m×32m），按煤堆高为5m计算，可存储燃煤量10000t，可满足全厂锅炉最大燃煤量1个月左右。</w:t>
      </w:r>
      <w:r>
        <w:rPr>
          <w:rFonts w:hint="default" w:ascii="Times New Roman" w:hAnsi="Times New Roman" w:eastAsia="宋体" w:cs="Times New Roman"/>
          <w:color w:val="auto"/>
          <w:sz w:val="24"/>
          <w:szCs w:val="24"/>
          <w:highlight w:val="none"/>
          <w:lang w:val="en-US" w:eastAsia="zh-CN"/>
        </w:rPr>
        <w:t>贮煤场配有一台装载机用于上煤、倒煤之用</w:t>
      </w:r>
      <w:r>
        <w:rPr>
          <w:rFonts w:hint="eastAsia" w:ascii="Times New Roman" w:hAnsi="Times New Roman" w:eastAsia="宋体" w:cs="Times New Roman"/>
          <w:color w:val="auto"/>
          <w:sz w:val="24"/>
          <w:szCs w:val="24"/>
          <w:highlight w:val="none"/>
          <w:lang w:val="en-US" w:eastAsia="zh-CN"/>
        </w:rPr>
        <w:t>。</w:t>
      </w:r>
      <w:bookmarkEnd w:id="234"/>
      <w:bookmarkEnd w:id="235"/>
      <w:bookmarkEnd w:id="236"/>
      <w:bookmarkEnd w:id="237"/>
      <w:bookmarkEnd w:id="238"/>
      <w:r>
        <w:rPr>
          <w:rFonts w:hint="default" w:ascii="Times New Roman" w:hAnsi="Times New Roman" w:eastAsia="宋体" w:cs="Times New Roman"/>
          <w:color w:val="auto"/>
          <w:sz w:val="24"/>
          <w:szCs w:val="24"/>
          <w:highlight w:val="none"/>
          <w:lang w:val="en-US" w:eastAsia="zh-CN"/>
        </w:rPr>
        <w:t>输煤系统为单路，输煤采用单路皮带运输系统。为方便检修、减少占地面积，皮带运输机械由1段普通带式运输机及1段大倾角带式运输机构成；按二班制运行计算，满足其出力不应小于总耗煤量的300%的要求，输煤系统设计出力为60t/h。运行系统一班运行2～3小时，其余时间为设备检修。</w:t>
      </w:r>
    </w:p>
    <w:p w14:paraId="0783754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落煤坑内的煤斗下装置一台往复式给煤机，给煤机将煤送至大倾角皮带输送机上，之后进入水平带式运输机。由犁式卸料器分别送入锅炉原煤斗。</w:t>
      </w:r>
    </w:p>
    <w:p w14:paraId="3774C938">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3.4.1.2 炉前给煤系统</w:t>
      </w:r>
    </w:p>
    <w:p w14:paraId="5C5FDC1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bookmarkStart w:id="239" w:name="_Toc12898"/>
      <w:bookmarkStart w:id="240" w:name="_Toc30628"/>
      <w:bookmarkStart w:id="241" w:name="_Toc1921"/>
      <w:r>
        <w:rPr>
          <w:rFonts w:hint="default" w:ascii="Times New Roman" w:hAnsi="Times New Roman" w:eastAsia="宋体" w:cs="Times New Roman"/>
          <w:color w:val="auto"/>
          <w:sz w:val="24"/>
          <w:szCs w:val="24"/>
          <w:highlight w:val="none"/>
          <w:lang w:val="en-US" w:eastAsia="zh-CN"/>
        </w:rPr>
        <w:t>贮煤场的原煤经输煤系统运至各炉前密闭煤仓，原煤经溜煤管后落在炉前分层给煤机中进入锅炉炉膛。炉排的减速机采用无级变速，能按要求随时调节炉排的运行速度以调节进入炉膛的给煤量。贮煤场内配一台推土机，用于上煤、运煤、倒煤之用</w:t>
      </w:r>
      <w:r>
        <w:rPr>
          <w:rFonts w:hint="eastAsia" w:ascii="Times New Roman" w:hAnsi="Times New Roman" w:eastAsia="宋体" w:cs="Times New Roman"/>
          <w:color w:val="auto"/>
          <w:sz w:val="24"/>
          <w:szCs w:val="24"/>
          <w:highlight w:val="none"/>
          <w:lang w:val="en-US" w:eastAsia="zh-CN"/>
        </w:rPr>
        <w:t>。</w:t>
      </w:r>
    </w:p>
    <w:p w14:paraId="209898E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3.4.2 燃烧系统</w:t>
      </w:r>
      <w:bookmarkEnd w:id="239"/>
      <w:bookmarkEnd w:id="240"/>
      <w:bookmarkEnd w:id="241"/>
    </w:p>
    <w:p w14:paraId="0BF01E5C">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3.4.2.1 送风系统</w:t>
      </w:r>
    </w:p>
    <w:p w14:paraId="5D5B8C8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送风机安装在锅炉间内，送风机由锅炉间上部取风，经送风机加压送入锅炉尾部的进风口，沿炉侧的风道进入锅炉。</w:t>
      </w:r>
    </w:p>
    <w:p w14:paraId="23163E1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3.4.2.2 点火助燃系统</w:t>
      </w:r>
    </w:p>
    <w:p w14:paraId="3FAC710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锅炉点火助燃油采用轻柴油，本期工程厂区内不设储油罐，由燃油公司的油罐车将柴油直接运至厂区内，点火油系统工艺流程：油罐车→油过滤器→供油泵→锅炉，轻柴油使用量为</w:t>
      </w:r>
      <w:r>
        <w:rPr>
          <w:rFonts w:hint="eastAsia"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val="en-US" w:eastAsia="zh-CN"/>
        </w:rPr>
        <w:t>.0吨/次。</w:t>
      </w:r>
    </w:p>
    <w:p w14:paraId="427449D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42" w:name="_Toc12317"/>
      <w:bookmarkStart w:id="243" w:name="_Toc17135"/>
      <w:bookmarkStart w:id="244" w:name="_Toc20780"/>
      <w:r>
        <w:rPr>
          <w:rFonts w:hint="eastAsia" w:ascii="Times New Roman" w:hAnsi="Times New Roman" w:eastAsia="宋体" w:cs="Times New Roman"/>
          <w:b/>
          <w:bCs/>
          <w:color w:val="auto"/>
          <w:sz w:val="28"/>
          <w:szCs w:val="28"/>
          <w:lang w:val="en-US" w:eastAsia="zh-CN"/>
        </w:rPr>
        <w:t>3.4.3 热力系统</w:t>
      </w:r>
      <w:bookmarkEnd w:id="242"/>
      <w:bookmarkEnd w:id="243"/>
      <w:bookmarkEnd w:id="244"/>
    </w:p>
    <w:p w14:paraId="5EC07728">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3.4.3.1 </w:t>
      </w:r>
      <w:r>
        <w:rPr>
          <w:rFonts w:hint="default" w:ascii="Times New Roman" w:hAnsi="Times New Roman" w:eastAsia="宋体" w:cs="Times New Roman"/>
          <w:b/>
          <w:bCs w:val="0"/>
          <w:color w:val="auto"/>
          <w:sz w:val="24"/>
          <w:szCs w:val="24"/>
          <w:lang w:val="en-US" w:eastAsia="zh-CN"/>
        </w:rPr>
        <w:t>供回水系统</w:t>
      </w:r>
    </w:p>
    <w:p w14:paraId="6FA783F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供水管道均采用集中母管制，即锅炉的出水管集中汇集到一条供水母管上，供回水母管之间设带有电动调节阀的混水装置来调节锅炉房出口供水温度。</w:t>
      </w:r>
    </w:p>
    <w:p w14:paraId="3137227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热网的回水首先经除污器除污后，再由循环水泵加压进入锅炉的回水母管，分别进入各台锅炉的回水入口。</w:t>
      </w:r>
    </w:p>
    <w:p w14:paraId="37E3E31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为防止突然停电造成循环水泵停运后产生锅炉炉水汽化和循环水泵的水击现象，在循环水泵的出入母管间连接一条装有止回阀的旁通管。</w:t>
      </w:r>
    </w:p>
    <w:p w14:paraId="2012C5F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在供回水母管上，分别安装一只电动闸阀，外网事故时，切断锅炉房与外网的联系。热网循环水泵选用两台流量分别为总循环水量的110％，其中一台为备用，采用变频控制。</w:t>
      </w:r>
    </w:p>
    <w:p w14:paraId="37AE88D6">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3.4.3.2</w:t>
      </w:r>
      <w:r>
        <w:rPr>
          <w:rFonts w:hint="default" w:ascii="Times New Roman" w:hAnsi="Times New Roman" w:eastAsia="宋体" w:cs="Times New Roman"/>
          <w:b/>
          <w:bCs w:val="0"/>
          <w:color w:val="auto"/>
          <w:sz w:val="24"/>
          <w:szCs w:val="24"/>
          <w:lang w:val="en-US" w:eastAsia="zh-CN"/>
        </w:rPr>
        <w:t>补水系统</w:t>
      </w:r>
    </w:p>
    <w:p w14:paraId="595B13F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bookmarkStart w:id="245" w:name="OLE_LINK5"/>
      <w:r>
        <w:rPr>
          <w:rFonts w:hint="default" w:ascii="Times New Roman" w:hAnsi="Times New Roman" w:eastAsia="宋体" w:cs="Times New Roman"/>
          <w:color w:val="auto"/>
          <w:sz w:val="24"/>
          <w:szCs w:val="24"/>
          <w:highlight w:val="none"/>
          <w:lang w:val="en-US" w:eastAsia="zh-CN"/>
        </w:rPr>
        <w:t>正常情况热网补水量按循环水量的2％考虑，事故补水按循环水量4％考虑。</w:t>
      </w:r>
    </w:p>
    <w:p w14:paraId="3202CB0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热网补水为软化水。化学水处理间来的软化水进入补水箱由补水泵补到热网循环水泵的回水母管上。本工程采用旁通管补水定压方式，补水泵连续补水在循环泵进口母管处。在回水母管上，连接一条自来水管，供锅炉上水、煮炉时使用。</w:t>
      </w:r>
      <w:bookmarkEnd w:id="245"/>
    </w:p>
    <w:p w14:paraId="3B6C8C8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46" w:name="_Toc16093"/>
      <w:bookmarkStart w:id="247" w:name="_Toc12972"/>
      <w:bookmarkStart w:id="248" w:name="_Toc25991"/>
      <w:r>
        <w:rPr>
          <w:rFonts w:hint="eastAsia" w:ascii="Times New Roman" w:hAnsi="Times New Roman" w:eastAsia="宋体" w:cs="Times New Roman"/>
          <w:b/>
          <w:bCs/>
          <w:color w:val="auto"/>
          <w:sz w:val="28"/>
          <w:szCs w:val="28"/>
          <w:lang w:val="en-US" w:eastAsia="zh-CN"/>
        </w:rPr>
        <w:t>3.4.4 烟气排放</w:t>
      </w:r>
      <w:bookmarkEnd w:id="246"/>
      <w:bookmarkEnd w:id="247"/>
      <w:bookmarkEnd w:id="248"/>
    </w:p>
    <w:p w14:paraId="7FCE7EF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本项目建设</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台4</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MW热水锅炉产生的烟气经“SNCR-SCR脱硝+布袋除尘器除尘+</w:t>
      </w:r>
      <w:r>
        <w:rPr>
          <w:rFonts w:hint="eastAsia" w:ascii="Times New Roman" w:hAnsi="Times New Roman" w:eastAsia="宋体" w:cs="Times New Roman"/>
          <w:color w:val="auto"/>
          <w:sz w:val="24"/>
          <w:szCs w:val="24"/>
          <w:highlight w:val="none"/>
          <w:lang w:val="en-US" w:eastAsia="zh-CN"/>
        </w:rPr>
        <w:t>氧化镁</w:t>
      </w:r>
      <w:r>
        <w:rPr>
          <w:rFonts w:hint="default" w:ascii="Times New Roman" w:hAnsi="Times New Roman" w:eastAsia="宋体" w:cs="Times New Roman"/>
          <w:color w:val="auto"/>
          <w:sz w:val="24"/>
          <w:szCs w:val="24"/>
          <w:highlight w:val="none"/>
          <w:lang w:val="en-US" w:eastAsia="zh-CN"/>
        </w:rPr>
        <w:t>法脱硫”处理后，通过1座</w:t>
      </w:r>
      <w:r>
        <w:rPr>
          <w:rFonts w:hint="eastAsia" w:ascii="Times New Roman" w:hAnsi="Times New Roman" w:eastAsia="宋体" w:cs="Times New Roman"/>
          <w:color w:val="auto"/>
          <w:sz w:val="24"/>
          <w:szCs w:val="24"/>
          <w:highlight w:val="none"/>
          <w:lang w:val="en-US" w:eastAsia="zh-CN"/>
        </w:rPr>
        <w:t>100</w:t>
      </w:r>
      <w:r>
        <w:rPr>
          <w:rFonts w:hint="default" w:ascii="Times New Roman" w:hAnsi="Times New Roman" w:eastAsia="宋体" w:cs="Times New Roman"/>
          <w:color w:val="auto"/>
          <w:sz w:val="24"/>
          <w:szCs w:val="24"/>
          <w:highlight w:val="none"/>
          <w:lang w:val="en-US" w:eastAsia="zh-CN"/>
        </w:rPr>
        <w:t>m高烟囱排放，并安装锅炉烟气在线监测系统，</w:t>
      </w:r>
      <w:r>
        <w:rPr>
          <w:rFonts w:hint="eastAsia" w:ascii="Times New Roman" w:hAnsi="Times New Roman" w:eastAsia="宋体" w:cs="Times New Roman"/>
          <w:color w:val="auto"/>
          <w:sz w:val="24"/>
          <w:szCs w:val="24"/>
          <w:highlight w:val="none"/>
          <w:lang w:val="en-US" w:eastAsia="zh-CN"/>
        </w:rPr>
        <w:t>脱硫系统依托原脱硫塔，</w:t>
      </w:r>
      <w:r>
        <w:rPr>
          <w:rFonts w:hint="default" w:ascii="Times New Roman" w:hAnsi="Times New Roman" w:eastAsia="宋体" w:cs="Times New Roman"/>
          <w:color w:val="auto"/>
          <w:sz w:val="24"/>
          <w:szCs w:val="24"/>
          <w:highlight w:val="none"/>
          <w:lang w:val="en-US" w:eastAsia="zh-CN"/>
        </w:rPr>
        <w:t>锅炉烟气污染物排放浓度满足</w:t>
      </w:r>
      <w:r>
        <w:rPr>
          <w:rFonts w:hint="eastAsia" w:ascii="Times New Roman" w:hAnsi="Times New Roman" w:eastAsia="宋体" w:cs="Times New Roman"/>
          <w:color w:val="auto"/>
          <w:sz w:val="24"/>
          <w:szCs w:val="24"/>
          <w:highlight w:val="none"/>
          <w:lang w:val="en-US" w:eastAsia="zh-CN"/>
        </w:rPr>
        <w:t>《锅炉大气污染物排放标准》（GB13271-2014）表2标准限值。本</w:t>
      </w:r>
      <w:r>
        <w:rPr>
          <w:rFonts w:hint="eastAsia" w:ascii="Times New Roman" w:hAnsi="Times New Roman" w:eastAsia="宋体" w:cs="Times New Roman"/>
          <w:color w:val="FF0000"/>
          <w:sz w:val="24"/>
          <w:szCs w:val="24"/>
          <w:highlight w:val="none"/>
          <w:lang w:val="en-US" w:eastAsia="zh-CN"/>
        </w:rPr>
        <w:t>项目锅炉烟气现有措施处理能力优越，预留执行超低排放要求的升级空间。</w:t>
      </w:r>
      <w:r>
        <w:rPr>
          <w:rFonts w:hint="eastAsia" w:ascii="Times New Roman" w:hAnsi="Times New Roman" w:eastAsia="宋体" w:cs="Times New Roman"/>
          <w:color w:val="auto"/>
          <w:sz w:val="24"/>
          <w:szCs w:val="24"/>
          <w:highlight w:val="none"/>
          <w:lang w:val="en-US" w:eastAsia="zh-CN"/>
        </w:rPr>
        <w:t>可达到</w:t>
      </w:r>
      <w:r>
        <w:rPr>
          <w:rFonts w:hint="default" w:ascii="Times New Roman" w:hAnsi="Times New Roman" w:eastAsia="宋体" w:cs="Times New Roman"/>
          <w:color w:val="auto"/>
          <w:sz w:val="24"/>
          <w:szCs w:val="24"/>
          <w:highlight w:val="none"/>
          <w:lang w:val="en-US" w:eastAsia="zh-CN"/>
        </w:rPr>
        <w:t>《关于印发&lt;全面实施燃煤电厂超低排放和节能改造工作方案&gt;的通知》（环发</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2015</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164号）要求，达到超低排放限值（</w:t>
      </w:r>
      <w:r>
        <w:rPr>
          <w:rFonts w:hint="default" w:ascii="Times New Roman" w:hAnsi="Times New Roman" w:eastAsia="宋体" w:cs="Times New Roman"/>
          <w:color w:val="FF0000"/>
          <w:sz w:val="24"/>
          <w:szCs w:val="24"/>
          <w:highlight w:val="none"/>
          <w:lang w:val="en-US" w:eastAsia="zh-CN"/>
        </w:rPr>
        <w:t>在基准氧含量</w:t>
      </w:r>
      <w:r>
        <w:rPr>
          <w:rFonts w:hint="eastAsia" w:ascii="Times New Roman" w:hAnsi="Times New Roman" w:eastAsia="宋体" w:cs="Times New Roman"/>
          <w:color w:val="FF0000"/>
          <w:sz w:val="24"/>
          <w:szCs w:val="24"/>
          <w:highlight w:val="none"/>
          <w:lang w:val="en-US" w:eastAsia="zh-CN"/>
        </w:rPr>
        <w:t>9</w:t>
      </w:r>
      <w:r>
        <w:rPr>
          <w:rFonts w:hint="default" w:ascii="Times New Roman" w:hAnsi="Times New Roman" w:eastAsia="宋体" w:cs="Times New Roman"/>
          <w:color w:val="FF0000"/>
          <w:sz w:val="24"/>
          <w:szCs w:val="24"/>
          <w:highlight w:val="none"/>
          <w:lang w:val="en-US" w:eastAsia="zh-CN"/>
        </w:rPr>
        <w:t>%条件下</w:t>
      </w:r>
      <w:r>
        <w:rPr>
          <w:rFonts w:hint="default" w:ascii="Times New Roman" w:hAnsi="Times New Roman" w:eastAsia="宋体" w:cs="Times New Roman"/>
          <w:color w:val="auto"/>
          <w:sz w:val="24"/>
          <w:szCs w:val="24"/>
          <w:highlight w:val="none"/>
          <w:lang w:val="en-US" w:eastAsia="zh-CN"/>
        </w:rPr>
        <w:t>，烟尘、SO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、NO</w:t>
      </w:r>
      <w:r>
        <w:rPr>
          <w:rFonts w:hint="eastAsia" w:ascii="Times New Roman" w:hAnsi="Times New Roman" w:eastAsia="宋体" w:cs="Times New Roman"/>
          <w:color w:val="auto"/>
          <w:sz w:val="24"/>
          <w:szCs w:val="24"/>
          <w:highlight w:val="none"/>
          <w:vertAlign w:val="subscript"/>
          <w:lang w:val="en-US" w:eastAsia="zh-CN"/>
        </w:rPr>
        <w:t>x</w:t>
      </w:r>
      <w:r>
        <w:rPr>
          <w:rFonts w:hint="default" w:ascii="Times New Roman" w:hAnsi="Times New Roman" w:eastAsia="宋体" w:cs="Times New Roman"/>
          <w:color w:val="auto"/>
          <w:sz w:val="24"/>
          <w:szCs w:val="24"/>
          <w:highlight w:val="none"/>
          <w:lang w:val="en-US" w:eastAsia="zh-CN"/>
        </w:rPr>
        <w:t>排放浓度分别不高于10mg/m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、35mg/m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、50mg/m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）要求。</w:t>
      </w:r>
    </w:p>
    <w:p w14:paraId="0789595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1、脱硫系统</w:t>
      </w:r>
    </w:p>
    <w:p w14:paraId="4A1DA50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本项目拟采用湿式镁法脱硫工艺，脱硫吸收塔采用超强湍流发生器+喷淋装置的双模装置。锅炉烟气由引风机送入吸收塔预冷段，冷却至适合的温度后进入吸收塔，往上与逆向流下的吸收浆液反应，湿式镁法脱硫法脱去烟气中的硫份。吸收塔顶部安装有除雾器，用以除去净烟气中携带的细小雾滴。净烟气经过除雾器降低烟气中的水分后排入烟囱。粉尘与脏东西附着在除雾器上，会导致除雾器堵塞、系统压损增大，需由除雾器冲洗水泵提供工业水对除雾器进行喷雾清洗。</w:t>
      </w:r>
    </w:p>
    <w:p w14:paraId="2B798B8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（1）吸收过程</w:t>
      </w:r>
    </w:p>
    <w:p w14:paraId="6FFFA67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吸收过程发生的主要反应如下：</w:t>
      </w:r>
    </w:p>
    <w:p w14:paraId="443BBA64">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FF0000"/>
          <w:position w:val="2"/>
        </w:rPr>
      </w:pPr>
      <w:r>
        <w:rPr>
          <w:rFonts w:hint="default" w:ascii="Times New Roman" w:hAnsi="Times New Roman" w:eastAsia="宋体" w:cs="Times New Roman"/>
          <w:color w:val="FF0000"/>
          <w:position w:val="2"/>
        </w:rPr>
        <w:t>Mg(OH)</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rPr>
        <w:t>+ SO</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rPr>
        <w:t>→ MgSO</w:t>
      </w:r>
      <w:r>
        <w:rPr>
          <w:rFonts w:hint="default" w:ascii="Times New Roman" w:hAnsi="Times New Roman" w:eastAsia="宋体" w:cs="Times New Roman"/>
          <w:color w:val="FF0000"/>
          <w:sz w:val="15"/>
        </w:rPr>
        <w:t xml:space="preserve">3 </w:t>
      </w:r>
      <w:r>
        <w:rPr>
          <w:rFonts w:hint="default" w:ascii="Times New Roman" w:hAnsi="Times New Roman" w:eastAsia="宋体" w:cs="Times New Roman"/>
          <w:color w:val="FF0000"/>
          <w:position w:val="2"/>
        </w:rPr>
        <w:t>+ H</w:t>
      </w:r>
      <w:r>
        <w:rPr>
          <w:rFonts w:hint="default" w:ascii="Times New Roman" w:hAnsi="Times New Roman" w:eastAsia="宋体" w:cs="Times New Roman"/>
          <w:color w:val="FF0000"/>
          <w:sz w:val="15"/>
        </w:rPr>
        <w:t>2</w:t>
      </w:r>
      <w:r>
        <w:rPr>
          <w:rFonts w:hint="default" w:ascii="Times New Roman" w:hAnsi="Times New Roman" w:eastAsia="宋体" w:cs="Times New Roman"/>
          <w:color w:val="FF0000"/>
          <w:position w:val="2"/>
        </w:rPr>
        <w:t>O</w:t>
      </w:r>
    </w:p>
    <w:p w14:paraId="15F1B100">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FF0000"/>
          <w:sz w:val="15"/>
        </w:rPr>
      </w:pPr>
      <w:r>
        <w:rPr>
          <w:rFonts w:hint="default" w:ascii="Times New Roman" w:hAnsi="Times New Roman" w:eastAsia="宋体" w:cs="Times New Roman"/>
          <w:color w:val="FF0000"/>
          <w:position w:val="2"/>
        </w:rPr>
        <w:t>MgSO</w:t>
      </w:r>
      <w:r>
        <w:rPr>
          <w:rFonts w:hint="default" w:ascii="Times New Roman" w:hAnsi="Times New Roman" w:eastAsia="宋体" w:cs="Times New Roman"/>
          <w:color w:val="FF0000"/>
          <w:sz w:val="15"/>
        </w:rPr>
        <w:t>3</w:t>
      </w:r>
      <w:r>
        <w:rPr>
          <w:rFonts w:hint="default" w:ascii="Times New Roman" w:hAnsi="Times New Roman" w:eastAsia="宋体" w:cs="Times New Roman"/>
          <w:color w:val="FF0000"/>
          <w:position w:val="2"/>
        </w:rPr>
        <w:t>+ SO</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rPr>
        <w:t>+ H</w:t>
      </w:r>
      <w:r>
        <w:rPr>
          <w:rFonts w:hint="default" w:ascii="Times New Roman" w:hAnsi="Times New Roman" w:eastAsia="宋体" w:cs="Times New Roman"/>
          <w:color w:val="FF0000"/>
          <w:sz w:val="15"/>
        </w:rPr>
        <w:t>2</w:t>
      </w:r>
      <w:r>
        <w:rPr>
          <w:rFonts w:hint="default" w:ascii="Times New Roman" w:hAnsi="Times New Roman" w:eastAsia="宋体" w:cs="Times New Roman"/>
          <w:color w:val="FF0000"/>
          <w:position w:val="2"/>
        </w:rPr>
        <w:t>O →Mg(HSO</w:t>
      </w:r>
      <w:r>
        <w:rPr>
          <w:rFonts w:hint="default" w:ascii="Times New Roman" w:hAnsi="Times New Roman" w:eastAsia="宋体" w:cs="Times New Roman"/>
          <w:color w:val="FF0000"/>
          <w:sz w:val="15"/>
        </w:rPr>
        <w:t>3</w:t>
      </w:r>
      <w:r>
        <w:rPr>
          <w:rFonts w:hint="default" w:ascii="Times New Roman" w:hAnsi="Times New Roman" w:eastAsia="宋体" w:cs="Times New Roman"/>
          <w:color w:val="FF0000"/>
          <w:position w:val="2"/>
        </w:rPr>
        <w:t>)</w:t>
      </w:r>
      <w:r>
        <w:rPr>
          <w:rFonts w:hint="default" w:ascii="Times New Roman" w:hAnsi="Times New Roman" w:eastAsia="宋体" w:cs="Times New Roman"/>
          <w:color w:val="FF0000"/>
          <w:sz w:val="15"/>
        </w:rPr>
        <w:t>2</w:t>
      </w:r>
    </w:p>
    <w:p w14:paraId="33B80469">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FF0000"/>
          <w:position w:val="2"/>
          <w:sz w:val="24"/>
        </w:rPr>
      </w:pPr>
      <w:r>
        <w:rPr>
          <w:rFonts w:hint="default" w:ascii="Times New Roman" w:hAnsi="Times New Roman" w:eastAsia="宋体" w:cs="Times New Roman"/>
          <w:color w:val="FF0000"/>
          <w:position w:val="2"/>
          <w:sz w:val="24"/>
        </w:rPr>
        <w:t>Mg(HSO</w:t>
      </w:r>
      <w:r>
        <w:rPr>
          <w:rFonts w:hint="default" w:ascii="Times New Roman" w:hAnsi="Times New Roman" w:eastAsia="宋体" w:cs="Times New Roman"/>
          <w:color w:val="FF0000"/>
          <w:sz w:val="15"/>
        </w:rPr>
        <w:t>3</w:t>
      </w:r>
      <w:r>
        <w:rPr>
          <w:rFonts w:hint="default" w:ascii="Times New Roman" w:hAnsi="Times New Roman" w:eastAsia="宋体" w:cs="Times New Roman"/>
          <w:color w:val="FF0000"/>
          <w:position w:val="2"/>
          <w:sz w:val="24"/>
        </w:rPr>
        <w:t>)</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sz w:val="24"/>
        </w:rPr>
        <w:t>+ Mg(OH)</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sz w:val="24"/>
        </w:rPr>
        <w:t>→ 2MgSO</w:t>
      </w:r>
      <w:r>
        <w:rPr>
          <w:rFonts w:hint="default" w:ascii="Times New Roman" w:hAnsi="Times New Roman" w:eastAsia="宋体" w:cs="Times New Roman"/>
          <w:color w:val="FF0000"/>
          <w:sz w:val="15"/>
        </w:rPr>
        <w:t>3</w:t>
      </w:r>
      <w:r>
        <w:rPr>
          <w:rFonts w:hint="default" w:ascii="Times New Roman" w:hAnsi="Times New Roman" w:eastAsia="宋体" w:cs="Times New Roman"/>
          <w:color w:val="FF0000"/>
          <w:position w:val="2"/>
          <w:sz w:val="24"/>
        </w:rPr>
        <w:t>+2H</w:t>
      </w:r>
      <w:r>
        <w:rPr>
          <w:rFonts w:hint="default" w:ascii="Times New Roman" w:hAnsi="Times New Roman" w:eastAsia="宋体" w:cs="Times New Roman"/>
          <w:color w:val="FF0000"/>
          <w:sz w:val="15"/>
        </w:rPr>
        <w:t>2</w:t>
      </w:r>
      <w:r>
        <w:rPr>
          <w:rFonts w:hint="default" w:ascii="Times New Roman" w:hAnsi="Times New Roman" w:eastAsia="宋体" w:cs="Times New Roman"/>
          <w:color w:val="FF0000"/>
          <w:position w:val="2"/>
          <w:sz w:val="24"/>
        </w:rPr>
        <w:t>O</w:t>
      </w:r>
    </w:p>
    <w:p w14:paraId="055C01A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吸收了硫分的吸收液落入吸收塔底，吸收塔底部主要为氧化、循环过程。</w:t>
      </w:r>
    </w:p>
    <w:p w14:paraId="411A739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（2）氧化过程</w:t>
      </w:r>
    </w:p>
    <w:p w14:paraId="11B76A8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由曝气鼓风机向塔底浆液内强制提供大量压缩空气，使得造成化学需氧量的MgSO</w:t>
      </w:r>
      <w:r>
        <w:rPr>
          <w:rFonts w:hint="default" w:ascii="Times New Roman" w:hAnsi="Times New Roman" w:eastAsia="宋体" w:cs="Times New Roman"/>
          <w:color w:val="FF0000"/>
          <w:sz w:val="24"/>
          <w:szCs w:val="24"/>
          <w:highlight w:val="none"/>
          <w:vertAlign w:val="subscript"/>
          <w:lang w:val="en-US" w:eastAsia="zh-CN"/>
        </w:rPr>
        <w:t>3</w:t>
      </w:r>
      <w:r>
        <w:rPr>
          <w:rFonts w:hint="default" w:ascii="Times New Roman" w:hAnsi="Times New Roman" w:eastAsia="宋体" w:cs="Times New Roman"/>
          <w:color w:val="FF0000"/>
          <w:sz w:val="24"/>
          <w:szCs w:val="24"/>
          <w:highlight w:val="none"/>
          <w:lang w:val="en-US" w:eastAsia="zh-CN"/>
        </w:rPr>
        <w:t>氧化成MgSO</w:t>
      </w:r>
      <w:r>
        <w:rPr>
          <w:rFonts w:hint="default" w:ascii="Times New Roman" w:hAnsi="Times New Roman" w:eastAsia="宋体" w:cs="Times New Roman"/>
          <w:color w:val="FF0000"/>
          <w:sz w:val="24"/>
          <w:szCs w:val="24"/>
          <w:highlight w:val="none"/>
          <w:vertAlign w:val="subscript"/>
          <w:lang w:val="en-US" w:eastAsia="zh-CN"/>
        </w:rPr>
        <w:t>4</w:t>
      </w:r>
      <w:r>
        <w:rPr>
          <w:rFonts w:hint="default" w:ascii="Times New Roman" w:hAnsi="Times New Roman" w:eastAsia="宋体" w:cs="Times New Roman"/>
          <w:color w:val="FF0000"/>
          <w:sz w:val="24"/>
          <w:szCs w:val="24"/>
          <w:highlight w:val="none"/>
          <w:lang w:val="en-US" w:eastAsia="zh-CN"/>
        </w:rPr>
        <w:t>。这个阶段化学反应如下：</w:t>
      </w:r>
    </w:p>
    <w:p w14:paraId="11AD1F01">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FF0000"/>
          <w:sz w:val="15"/>
        </w:rPr>
      </w:pPr>
      <w:r>
        <w:rPr>
          <w:rFonts w:hint="default" w:ascii="Times New Roman" w:hAnsi="Times New Roman" w:eastAsia="宋体" w:cs="Times New Roman"/>
          <w:color w:val="FF0000"/>
          <w:position w:val="2"/>
        </w:rPr>
        <w:t>MgSO</w:t>
      </w:r>
      <w:r>
        <w:rPr>
          <w:rFonts w:hint="default" w:ascii="Times New Roman" w:hAnsi="Times New Roman" w:eastAsia="宋体" w:cs="Times New Roman"/>
          <w:color w:val="FF0000"/>
          <w:sz w:val="15"/>
        </w:rPr>
        <w:t xml:space="preserve">3 </w:t>
      </w:r>
      <w:r>
        <w:rPr>
          <w:rFonts w:hint="default" w:ascii="Times New Roman" w:hAnsi="Times New Roman" w:eastAsia="宋体" w:cs="Times New Roman"/>
          <w:color w:val="FF0000"/>
          <w:position w:val="2"/>
        </w:rPr>
        <w:t>+ 1/2O</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spacing w:val="-17"/>
          <w:position w:val="2"/>
        </w:rPr>
        <w:t xml:space="preserve">→ </w:t>
      </w:r>
      <w:r>
        <w:rPr>
          <w:rFonts w:hint="default" w:ascii="Times New Roman" w:hAnsi="Times New Roman" w:eastAsia="宋体" w:cs="Times New Roman"/>
          <w:color w:val="FF0000"/>
          <w:position w:val="2"/>
        </w:rPr>
        <w:t>MgSO</w:t>
      </w:r>
      <w:r>
        <w:rPr>
          <w:rFonts w:hint="default" w:ascii="Times New Roman" w:hAnsi="Times New Roman" w:eastAsia="宋体" w:cs="Times New Roman"/>
          <w:color w:val="FF0000"/>
          <w:sz w:val="15"/>
        </w:rPr>
        <w:t>4</w:t>
      </w:r>
    </w:p>
    <w:p w14:paraId="3F6722F6">
      <w:pPr>
        <w:keepNext w:val="0"/>
        <w:keepLines w:val="0"/>
        <w:pageBreakBefore w:val="0"/>
        <w:widowControl w:val="0"/>
        <w:kinsoku/>
        <w:wordWrap/>
        <w:overflowPunct/>
        <w:topLinePunct w:val="0"/>
        <w:autoSpaceDE/>
        <w:autoSpaceDN/>
        <w:bidi w:val="0"/>
        <w:adjustRightInd/>
        <w:snapToGrid/>
        <w:spacing w:line="500" w:lineRule="exact"/>
        <w:ind w:left="0" w:right="0" w:firstLine="480" w:firstLineChars="200"/>
        <w:jc w:val="center"/>
        <w:textAlignment w:val="auto"/>
        <w:rPr>
          <w:rFonts w:hint="default" w:ascii="Times New Roman" w:hAnsi="Times New Roman" w:eastAsia="宋体" w:cs="Times New Roman"/>
          <w:color w:val="FF0000"/>
          <w:sz w:val="15"/>
        </w:rPr>
      </w:pPr>
      <w:r>
        <w:rPr>
          <w:rFonts w:hint="default" w:ascii="Times New Roman" w:hAnsi="Times New Roman" w:eastAsia="宋体" w:cs="Times New Roman"/>
          <w:color w:val="FF0000"/>
          <w:position w:val="2"/>
          <w:sz w:val="24"/>
        </w:rPr>
        <w:t>Mg(HSO</w:t>
      </w:r>
      <w:r>
        <w:rPr>
          <w:rFonts w:hint="default" w:ascii="Times New Roman" w:hAnsi="Times New Roman" w:eastAsia="宋体" w:cs="Times New Roman"/>
          <w:color w:val="FF0000"/>
          <w:sz w:val="15"/>
        </w:rPr>
        <w:t>3</w:t>
      </w:r>
      <w:r>
        <w:rPr>
          <w:rFonts w:hint="default" w:ascii="Times New Roman" w:hAnsi="Times New Roman" w:eastAsia="宋体" w:cs="Times New Roman"/>
          <w:color w:val="FF0000"/>
          <w:position w:val="2"/>
          <w:sz w:val="24"/>
        </w:rPr>
        <w:t>)</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sz w:val="24"/>
        </w:rPr>
        <w:t>+ 1/2O</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sz w:val="24"/>
        </w:rPr>
        <w:t>→ MgSO</w:t>
      </w:r>
      <w:r>
        <w:rPr>
          <w:rFonts w:hint="default" w:ascii="Times New Roman" w:hAnsi="Times New Roman" w:eastAsia="宋体" w:cs="Times New Roman"/>
          <w:color w:val="FF0000"/>
          <w:sz w:val="15"/>
        </w:rPr>
        <w:t xml:space="preserve">4 </w:t>
      </w:r>
      <w:r>
        <w:rPr>
          <w:rFonts w:hint="default" w:ascii="Times New Roman" w:hAnsi="Times New Roman" w:eastAsia="宋体" w:cs="Times New Roman"/>
          <w:color w:val="FF0000"/>
          <w:position w:val="2"/>
          <w:sz w:val="24"/>
        </w:rPr>
        <w:t>+ H2SO</w:t>
      </w:r>
      <w:r>
        <w:rPr>
          <w:rFonts w:hint="default" w:ascii="Times New Roman" w:hAnsi="Times New Roman" w:eastAsia="宋体" w:cs="Times New Roman"/>
          <w:color w:val="FF0000"/>
          <w:sz w:val="15"/>
        </w:rPr>
        <w:t>3</w:t>
      </w:r>
    </w:p>
    <w:p w14:paraId="1781F812">
      <w:pPr>
        <w:keepNext w:val="0"/>
        <w:keepLines w:val="0"/>
        <w:pageBreakBefore w:val="0"/>
        <w:widowControl w:val="0"/>
        <w:kinsoku/>
        <w:wordWrap/>
        <w:overflowPunct/>
        <w:topLinePunct w:val="0"/>
        <w:autoSpaceDE/>
        <w:autoSpaceDN/>
        <w:bidi w:val="0"/>
        <w:adjustRightInd/>
        <w:snapToGrid/>
        <w:spacing w:line="500" w:lineRule="exact"/>
        <w:ind w:left="0" w:right="0" w:firstLine="480" w:firstLineChars="200"/>
        <w:jc w:val="center"/>
        <w:textAlignment w:val="auto"/>
        <w:rPr>
          <w:rFonts w:hint="default" w:ascii="Times New Roman" w:hAnsi="Times New Roman" w:eastAsia="宋体" w:cs="Times New Roman"/>
          <w:color w:val="FF0000"/>
          <w:position w:val="2"/>
          <w:sz w:val="24"/>
        </w:rPr>
      </w:pPr>
      <w:r>
        <w:rPr>
          <w:rFonts w:hint="default" w:ascii="Times New Roman" w:hAnsi="Times New Roman" w:eastAsia="宋体" w:cs="Times New Roman"/>
          <w:color w:val="FF0000"/>
          <w:position w:val="2"/>
          <w:sz w:val="24"/>
        </w:rPr>
        <w:t>H</w:t>
      </w:r>
      <w:r>
        <w:rPr>
          <w:rFonts w:hint="default" w:ascii="Times New Roman" w:hAnsi="Times New Roman" w:eastAsia="宋体" w:cs="Times New Roman"/>
          <w:color w:val="FF0000"/>
          <w:sz w:val="15"/>
        </w:rPr>
        <w:t>2</w:t>
      </w:r>
      <w:r>
        <w:rPr>
          <w:rFonts w:hint="default" w:ascii="Times New Roman" w:hAnsi="Times New Roman" w:eastAsia="宋体" w:cs="Times New Roman"/>
          <w:color w:val="FF0000"/>
          <w:position w:val="2"/>
          <w:sz w:val="24"/>
        </w:rPr>
        <w:t>SO</w:t>
      </w:r>
      <w:r>
        <w:rPr>
          <w:rFonts w:hint="default" w:ascii="Times New Roman" w:hAnsi="Times New Roman" w:eastAsia="宋体" w:cs="Times New Roman"/>
          <w:color w:val="FF0000"/>
          <w:sz w:val="15"/>
        </w:rPr>
        <w:t xml:space="preserve">3 </w:t>
      </w:r>
      <w:r>
        <w:rPr>
          <w:rFonts w:hint="default" w:ascii="Times New Roman" w:hAnsi="Times New Roman" w:eastAsia="宋体" w:cs="Times New Roman"/>
          <w:color w:val="FF0000"/>
          <w:position w:val="2"/>
          <w:sz w:val="24"/>
        </w:rPr>
        <w:t>+ Mg(OH)</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sz w:val="24"/>
        </w:rPr>
        <w:t>→ MgSO</w:t>
      </w:r>
      <w:r>
        <w:rPr>
          <w:rFonts w:hint="default" w:ascii="Times New Roman" w:hAnsi="Times New Roman" w:eastAsia="宋体" w:cs="Times New Roman"/>
          <w:color w:val="FF0000"/>
          <w:sz w:val="15"/>
        </w:rPr>
        <w:t xml:space="preserve">3 </w:t>
      </w:r>
      <w:r>
        <w:rPr>
          <w:rFonts w:hint="default" w:ascii="Times New Roman" w:hAnsi="Times New Roman" w:eastAsia="宋体" w:cs="Times New Roman"/>
          <w:color w:val="FF0000"/>
          <w:position w:val="2"/>
          <w:sz w:val="24"/>
        </w:rPr>
        <w:t>+ 2H</w:t>
      </w:r>
      <w:r>
        <w:rPr>
          <w:rFonts w:hint="default" w:ascii="Times New Roman" w:hAnsi="Times New Roman" w:eastAsia="宋体" w:cs="Times New Roman"/>
          <w:color w:val="FF0000"/>
          <w:sz w:val="15"/>
        </w:rPr>
        <w:t>2</w:t>
      </w:r>
      <w:r>
        <w:rPr>
          <w:rFonts w:hint="default" w:ascii="Times New Roman" w:hAnsi="Times New Roman" w:eastAsia="宋体" w:cs="Times New Roman"/>
          <w:color w:val="FF0000"/>
          <w:position w:val="2"/>
          <w:sz w:val="24"/>
        </w:rPr>
        <w:t>O</w:t>
      </w:r>
    </w:p>
    <w:p w14:paraId="2E871992">
      <w:pPr>
        <w:keepNext w:val="0"/>
        <w:keepLines w:val="0"/>
        <w:pageBreakBefore w:val="0"/>
        <w:widowControl w:val="0"/>
        <w:kinsoku/>
        <w:wordWrap/>
        <w:overflowPunct/>
        <w:topLinePunct w:val="0"/>
        <w:autoSpaceDE/>
        <w:autoSpaceDN/>
        <w:bidi w:val="0"/>
        <w:adjustRightInd/>
        <w:snapToGrid/>
        <w:spacing w:line="500" w:lineRule="exact"/>
        <w:ind w:left="0" w:right="0" w:firstLine="480" w:firstLineChars="200"/>
        <w:jc w:val="center"/>
        <w:textAlignment w:val="auto"/>
        <w:rPr>
          <w:rFonts w:hint="default" w:ascii="Times New Roman" w:hAnsi="Times New Roman" w:eastAsia="宋体" w:cs="Times New Roman"/>
          <w:color w:val="FF0000"/>
          <w:sz w:val="15"/>
        </w:rPr>
      </w:pPr>
      <w:r>
        <w:rPr>
          <w:rFonts w:hint="default" w:ascii="Times New Roman" w:hAnsi="Times New Roman" w:eastAsia="宋体" w:cs="Times New Roman"/>
          <w:color w:val="FF0000"/>
          <w:position w:val="2"/>
          <w:sz w:val="24"/>
        </w:rPr>
        <w:t>MgSO</w:t>
      </w:r>
      <w:r>
        <w:rPr>
          <w:rFonts w:hint="default" w:ascii="Times New Roman" w:hAnsi="Times New Roman" w:eastAsia="宋体" w:cs="Times New Roman"/>
          <w:color w:val="FF0000"/>
          <w:sz w:val="15"/>
        </w:rPr>
        <w:t xml:space="preserve">3 </w:t>
      </w:r>
      <w:r>
        <w:rPr>
          <w:rFonts w:hint="default" w:ascii="Times New Roman" w:hAnsi="Times New Roman" w:eastAsia="宋体" w:cs="Times New Roman"/>
          <w:color w:val="FF0000"/>
          <w:position w:val="2"/>
          <w:sz w:val="24"/>
        </w:rPr>
        <w:t>+ 1/2O</w:t>
      </w:r>
      <w:r>
        <w:rPr>
          <w:rFonts w:hint="default" w:ascii="Times New Roman" w:hAnsi="Times New Roman" w:eastAsia="宋体" w:cs="Times New Roman"/>
          <w:color w:val="FF0000"/>
          <w:sz w:val="15"/>
        </w:rPr>
        <w:t xml:space="preserve">2 </w:t>
      </w:r>
      <w:r>
        <w:rPr>
          <w:rFonts w:hint="default" w:ascii="Times New Roman" w:hAnsi="Times New Roman" w:eastAsia="宋体" w:cs="Times New Roman"/>
          <w:color w:val="FF0000"/>
          <w:position w:val="2"/>
          <w:sz w:val="24"/>
        </w:rPr>
        <w:t>→</w:t>
      </w:r>
      <w:r>
        <w:rPr>
          <w:rFonts w:hint="default" w:ascii="Times New Roman" w:hAnsi="Times New Roman" w:eastAsia="宋体" w:cs="Times New Roman"/>
          <w:color w:val="FF0000"/>
          <w:spacing w:val="-33"/>
          <w:position w:val="2"/>
          <w:sz w:val="24"/>
        </w:rPr>
        <w:t xml:space="preserve"> </w:t>
      </w:r>
      <w:r>
        <w:rPr>
          <w:rFonts w:hint="default" w:ascii="Times New Roman" w:hAnsi="Times New Roman" w:eastAsia="宋体" w:cs="Times New Roman"/>
          <w:color w:val="FF0000"/>
          <w:position w:val="2"/>
          <w:sz w:val="24"/>
        </w:rPr>
        <w:t>MgSO</w:t>
      </w:r>
      <w:r>
        <w:rPr>
          <w:rFonts w:hint="default" w:ascii="Times New Roman" w:hAnsi="Times New Roman" w:eastAsia="宋体" w:cs="Times New Roman"/>
          <w:color w:val="FF0000"/>
          <w:sz w:val="15"/>
        </w:rPr>
        <w:t>4</w:t>
      </w:r>
    </w:p>
    <w:p w14:paraId="68D25E9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（3）固液分离</w:t>
      </w:r>
    </w:p>
    <w:p w14:paraId="480392D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脱硫后的吸收液内部会形成大量MgSO</w:t>
      </w:r>
      <w:r>
        <w:rPr>
          <w:rFonts w:hint="default" w:ascii="Times New Roman" w:hAnsi="Times New Roman" w:eastAsia="宋体" w:cs="Times New Roman"/>
          <w:color w:val="FF0000"/>
          <w:sz w:val="24"/>
          <w:szCs w:val="24"/>
          <w:highlight w:val="none"/>
          <w:vertAlign w:val="subscript"/>
          <w:lang w:val="en-US" w:eastAsia="zh-CN"/>
        </w:rPr>
        <w:t>3</w:t>
      </w:r>
      <w:r>
        <w:rPr>
          <w:rFonts w:hint="default" w:ascii="Times New Roman" w:hAnsi="Times New Roman" w:eastAsia="宋体" w:cs="Times New Roman"/>
          <w:color w:val="FF0000"/>
          <w:sz w:val="24"/>
          <w:szCs w:val="24"/>
          <w:highlight w:val="none"/>
          <w:lang w:val="en-US" w:eastAsia="zh-CN"/>
        </w:rPr>
        <w:t>结晶体，在曝气鼓风机的作用下，溶液中MgSO</w:t>
      </w:r>
      <w:r>
        <w:rPr>
          <w:rFonts w:hint="default" w:ascii="Times New Roman" w:hAnsi="Times New Roman" w:eastAsia="宋体" w:cs="Times New Roman"/>
          <w:color w:val="FF0000"/>
          <w:sz w:val="24"/>
          <w:szCs w:val="24"/>
          <w:highlight w:val="none"/>
          <w:vertAlign w:val="subscript"/>
          <w:lang w:val="en-US" w:eastAsia="zh-CN"/>
        </w:rPr>
        <w:t>3</w:t>
      </w:r>
      <w:r>
        <w:rPr>
          <w:rFonts w:hint="default" w:ascii="Times New Roman" w:hAnsi="Times New Roman" w:eastAsia="宋体" w:cs="Times New Roman"/>
          <w:color w:val="FF0000"/>
          <w:sz w:val="24"/>
          <w:szCs w:val="24"/>
          <w:highlight w:val="none"/>
          <w:lang w:val="en-US" w:eastAsia="zh-CN"/>
        </w:rPr>
        <w:t>氧化成MgSO</w:t>
      </w:r>
      <w:r>
        <w:rPr>
          <w:rFonts w:hint="default" w:ascii="Times New Roman" w:hAnsi="Times New Roman" w:eastAsia="宋体" w:cs="Times New Roman"/>
          <w:color w:val="FF0000"/>
          <w:sz w:val="24"/>
          <w:szCs w:val="24"/>
          <w:highlight w:val="none"/>
          <w:vertAlign w:val="subscript"/>
          <w:lang w:val="en-US" w:eastAsia="zh-CN"/>
        </w:rPr>
        <w:t>4</w:t>
      </w:r>
      <w:r>
        <w:rPr>
          <w:rFonts w:hint="default" w:ascii="Times New Roman" w:hAnsi="Times New Roman" w:eastAsia="宋体" w:cs="Times New Roman"/>
          <w:color w:val="FF0000"/>
          <w:sz w:val="24"/>
          <w:szCs w:val="24"/>
          <w:highlight w:val="none"/>
          <w:lang w:val="en-US" w:eastAsia="zh-CN"/>
        </w:rPr>
        <w:t>，逐渐形成MgSO</w:t>
      </w:r>
      <w:r>
        <w:rPr>
          <w:rFonts w:hint="default" w:ascii="Times New Roman" w:hAnsi="Times New Roman" w:eastAsia="宋体" w:cs="Times New Roman"/>
          <w:color w:val="FF0000"/>
          <w:sz w:val="24"/>
          <w:szCs w:val="24"/>
          <w:highlight w:val="none"/>
          <w:vertAlign w:val="subscript"/>
          <w:lang w:val="en-US" w:eastAsia="zh-CN"/>
        </w:rPr>
        <w:t>4</w:t>
      </w:r>
      <w:r>
        <w:rPr>
          <w:rFonts w:hint="default" w:ascii="Times New Roman" w:hAnsi="Times New Roman" w:eastAsia="宋体" w:cs="Times New Roman"/>
          <w:color w:val="FF0000"/>
          <w:sz w:val="24"/>
          <w:szCs w:val="24"/>
          <w:highlight w:val="none"/>
          <w:lang w:val="en-US" w:eastAsia="zh-CN"/>
        </w:rPr>
        <w:t>的过饱和溶液，大量的MgSO</w:t>
      </w:r>
      <w:r>
        <w:rPr>
          <w:rFonts w:hint="default" w:ascii="Times New Roman" w:hAnsi="Times New Roman" w:eastAsia="宋体" w:cs="Times New Roman"/>
          <w:color w:val="FF0000"/>
          <w:sz w:val="24"/>
          <w:szCs w:val="24"/>
          <w:highlight w:val="none"/>
          <w:vertAlign w:val="subscript"/>
          <w:lang w:val="en-US" w:eastAsia="zh-CN"/>
        </w:rPr>
        <w:t>4</w:t>
      </w:r>
      <w:r>
        <w:rPr>
          <w:rFonts w:hint="default" w:ascii="Times New Roman" w:hAnsi="Times New Roman" w:eastAsia="宋体" w:cs="Times New Roman"/>
          <w:color w:val="FF0000"/>
          <w:sz w:val="24"/>
          <w:szCs w:val="24"/>
          <w:highlight w:val="none"/>
          <w:lang w:val="en-US" w:eastAsia="zh-CN"/>
        </w:rPr>
        <w:t>结晶体从溶液中析出，通过板式压滤机的作用实现固液分离，分离后的废渣外售综合利用。</w:t>
      </w:r>
    </w:p>
    <w:p w14:paraId="6D57540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（4）循环过程</w:t>
      </w:r>
    </w:p>
    <w:p w14:paraId="2B39EEC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将落入塔底的吸收液经浆液循环泵重新输送至吸收塔上部吸收区。塔底吸收液pH由自动喷注的20%氢氧化镁浆液调整，而且与酸碱计连锁控制。当塔底浆液pH低于设定值时，氢氧化镁浆液通过输送泵自动补充到吸收塔底，在塔底搅拌器的作用下使浆液混合均匀，至pH达到设定值时停止补充氢氧化镁浆液。20%氢氧化镁溶液由氧化镁粉加热水熟化产生。该工艺适用于任何含硫量的煤种的烟气脱硫，脱硫效率可达90%~98％。脱硫渣外售综合利用。</w:t>
      </w:r>
    </w:p>
    <w:p w14:paraId="2B03124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2、脱硝系统</w:t>
      </w:r>
    </w:p>
    <w:p w14:paraId="7343E50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zh-CN" w:eastAsia="zh-CN"/>
        </w:rPr>
      </w:pPr>
      <w:r>
        <w:rPr>
          <w:rFonts w:hint="default" w:ascii="Times New Roman" w:hAnsi="Times New Roman" w:eastAsia="宋体" w:cs="Times New Roman"/>
          <w:color w:val="FF0000"/>
          <w:sz w:val="24"/>
          <w:szCs w:val="24"/>
          <w:highlight w:val="none"/>
          <w:lang w:val="zh-CN" w:eastAsia="zh-CN"/>
        </w:rPr>
        <w:t>本工程拟采取SNCR</w:t>
      </w:r>
      <w:r>
        <w:rPr>
          <w:rFonts w:hint="eastAsia" w:ascii="Times New Roman" w:hAnsi="Times New Roman" w:eastAsia="宋体" w:cs="Times New Roman"/>
          <w:color w:val="FF0000"/>
          <w:sz w:val="24"/>
          <w:szCs w:val="24"/>
          <w:highlight w:val="none"/>
          <w:lang w:val="en-US" w:eastAsia="zh-CN"/>
        </w:rPr>
        <w:t>-</w:t>
      </w:r>
      <w:r>
        <w:rPr>
          <w:rFonts w:hint="default" w:ascii="Times New Roman" w:hAnsi="Times New Roman" w:eastAsia="宋体" w:cs="Times New Roman"/>
          <w:color w:val="FF0000"/>
          <w:sz w:val="24"/>
          <w:szCs w:val="24"/>
          <w:highlight w:val="none"/>
          <w:lang w:val="zh-CN" w:eastAsia="zh-CN"/>
        </w:rPr>
        <w:t>SCR脱硝，整体脱硝</w:t>
      </w:r>
      <w:r>
        <w:rPr>
          <w:rFonts w:hint="eastAsia" w:ascii="Times New Roman" w:hAnsi="Times New Roman" w:eastAsia="宋体" w:cs="Times New Roman"/>
          <w:color w:val="FF0000"/>
          <w:sz w:val="24"/>
          <w:szCs w:val="24"/>
          <w:highlight w:val="none"/>
          <w:lang w:val="zh-CN" w:eastAsia="zh-CN"/>
        </w:rPr>
        <w:t>效率</w:t>
      </w:r>
      <w:r>
        <w:rPr>
          <w:rFonts w:hint="eastAsia" w:ascii="Times New Roman" w:hAnsi="Times New Roman" w:eastAsia="宋体" w:cs="Times New Roman"/>
          <w:color w:val="FF0000"/>
          <w:sz w:val="24"/>
          <w:szCs w:val="24"/>
          <w:highlight w:val="none"/>
          <w:lang w:val="en-US" w:eastAsia="zh-CN"/>
        </w:rPr>
        <w:t>以65</w:t>
      </w:r>
      <w:r>
        <w:rPr>
          <w:rFonts w:hint="default" w:ascii="Times New Roman" w:hAnsi="Times New Roman" w:eastAsia="宋体" w:cs="Times New Roman"/>
          <w:color w:val="FF0000"/>
          <w:sz w:val="24"/>
          <w:szCs w:val="24"/>
          <w:highlight w:val="none"/>
          <w:lang w:val="zh-CN" w:eastAsia="zh-CN"/>
        </w:rPr>
        <w:t>%</w:t>
      </w:r>
      <w:r>
        <w:rPr>
          <w:rFonts w:hint="eastAsia" w:ascii="Times New Roman" w:hAnsi="Times New Roman" w:eastAsia="宋体" w:cs="Times New Roman"/>
          <w:color w:val="FF0000"/>
          <w:sz w:val="24"/>
          <w:szCs w:val="24"/>
          <w:highlight w:val="none"/>
          <w:lang w:val="en-US" w:eastAsia="zh-CN"/>
        </w:rPr>
        <w:t>计</w:t>
      </w:r>
      <w:r>
        <w:rPr>
          <w:rFonts w:hint="default" w:ascii="Times New Roman" w:hAnsi="Times New Roman" w:eastAsia="宋体" w:cs="Times New Roman"/>
          <w:color w:val="FF0000"/>
          <w:sz w:val="24"/>
          <w:szCs w:val="24"/>
          <w:highlight w:val="none"/>
          <w:lang w:val="zh-CN" w:eastAsia="zh-CN"/>
        </w:rPr>
        <w:t>，目前SNCR</w:t>
      </w:r>
      <w:r>
        <w:rPr>
          <w:rFonts w:hint="eastAsia" w:ascii="Times New Roman" w:hAnsi="Times New Roman" w:eastAsia="宋体" w:cs="Times New Roman"/>
          <w:color w:val="FF0000"/>
          <w:sz w:val="24"/>
          <w:szCs w:val="24"/>
          <w:highlight w:val="none"/>
          <w:lang w:val="en-US" w:eastAsia="zh-CN"/>
        </w:rPr>
        <w:t>-</w:t>
      </w:r>
      <w:r>
        <w:rPr>
          <w:rFonts w:hint="default" w:ascii="Times New Roman" w:hAnsi="Times New Roman" w:eastAsia="宋体" w:cs="Times New Roman"/>
          <w:color w:val="FF0000"/>
          <w:sz w:val="24"/>
          <w:szCs w:val="24"/>
          <w:highlight w:val="none"/>
          <w:lang w:val="zh-CN" w:eastAsia="zh-CN"/>
        </w:rPr>
        <w:t>SCR脱硝系统采用的脱硝剂主要为尿素和低浓度氨水。结合周边供货情况及</w:t>
      </w:r>
      <w:r>
        <w:rPr>
          <w:rFonts w:hint="eastAsia" w:ascii="Times New Roman" w:hAnsi="Times New Roman" w:eastAsia="宋体" w:cs="Times New Roman"/>
          <w:color w:val="FF0000"/>
          <w:sz w:val="24"/>
          <w:szCs w:val="24"/>
          <w:highlight w:val="none"/>
          <w:lang w:val="en-US" w:eastAsia="zh-CN"/>
        </w:rPr>
        <w:t>安全生产</w:t>
      </w:r>
      <w:r>
        <w:rPr>
          <w:rFonts w:hint="default" w:ascii="Times New Roman" w:hAnsi="Times New Roman" w:eastAsia="宋体" w:cs="Times New Roman"/>
          <w:color w:val="FF0000"/>
          <w:sz w:val="24"/>
          <w:szCs w:val="24"/>
          <w:highlight w:val="none"/>
          <w:lang w:val="zh-CN" w:eastAsia="zh-CN"/>
        </w:rPr>
        <w:t>等情况。综合以上因素故本工程脱硝剂选用</w:t>
      </w:r>
      <w:r>
        <w:rPr>
          <w:rFonts w:hint="eastAsia" w:ascii="Times New Roman" w:hAnsi="Times New Roman" w:eastAsia="宋体" w:cs="Times New Roman"/>
          <w:color w:val="FF0000"/>
          <w:sz w:val="24"/>
          <w:szCs w:val="24"/>
          <w:highlight w:val="none"/>
          <w:lang w:val="en-US" w:eastAsia="zh-CN"/>
        </w:rPr>
        <w:t>尿素</w:t>
      </w:r>
      <w:r>
        <w:rPr>
          <w:rFonts w:hint="default" w:ascii="Times New Roman" w:hAnsi="Times New Roman" w:eastAsia="宋体" w:cs="Times New Roman"/>
          <w:color w:val="FF0000"/>
          <w:sz w:val="24"/>
          <w:szCs w:val="24"/>
          <w:highlight w:val="none"/>
          <w:lang w:val="zh-CN" w:eastAsia="zh-CN"/>
        </w:rPr>
        <w:t>。因本工程无蒸汽汽源</w:t>
      </w:r>
      <w:r>
        <w:rPr>
          <w:rFonts w:hint="eastAsia" w:ascii="Times New Roman" w:hAnsi="Times New Roman" w:eastAsia="宋体" w:cs="Times New Roman"/>
          <w:color w:val="FF0000"/>
          <w:sz w:val="24"/>
          <w:szCs w:val="24"/>
          <w:highlight w:val="none"/>
          <w:lang w:val="zh-CN" w:eastAsia="zh-CN"/>
        </w:rPr>
        <w:t>，</w:t>
      </w:r>
      <w:r>
        <w:rPr>
          <w:rFonts w:hint="default" w:ascii="Times New Roman" w:hAnsi="Times New Roman" w:eastAsia="宋体" w:cs="Times New Roman"/>
          <w:color w:val="FF0000"/>
          <w:sz w:val="24"/>
          <w:szCs w:val="24"/>
          <w:highlight w:val="none"/>
          <w:lang w:val="zh-CN" w:eastAsia="zh-CN"/>
        </w:rPr>
        <w:t>尿素溶解加热的热源采用电加热。</w:t>
      </w:r>
    </w:p>
    <w:p w14:paraId="2FB3BD34">
      <w:pPr>
        <w:ind w:firstLine="480"/>
        <w:rPr>
          <w:color w:val="FF0000"/>
        </w:rPr>
      </w:pPr>
      <w:r>
        <w:rPr>
          <w:rFonts w:ascii="Times New Roman" w:hAnsi="Times New Roman" w:cs="Times New Roman"/>
          <w:color w:val="FF0000"/>
          <w:szCs w:val="24"/>
        </w:rPr>
        <w:t>炉膛烟气在先经过SNCR系统进行脱硝，设置脱硝剂喷口，把稀释后的还原剂喷入炉内与高温烟气中NO</w:t>
      </w:r>
      <w:r>
        <w:rPr>
          <w:rFonts w:ascii="Times New Roman" w:hAnsi="Times New Roman" w:cs="Times New Roman"/>
          <w:color w:val="FF0000"/>
          <w:szCs w:val="24"/>
          <w:vertAlign w:val="subscript"/>
        </w:rPr>
        <w:t>x</w:t>
      </w:r>
      <w:r>
        <w:rPr>
          <w:rFonts w:ascii="Times New Roman" w:hAnsi="Times New Roman" w:cs="Times New Roman"/>
          <w:color w:val="FF0000"/>
          <w:szCs w:val="24"/>
        </w:rPr>
        <w:t>进行选择性非催化反应，还原剂喷入烟气温度为850~1100℃的区域，该还原剂与烟气中的NO</w:t>
      </w:r>
      <w:r>
        <w:rPr>
          <w:rFonts w:ascii="Times New Roman" w:hAnsi="Times New Roman" w:cs="Times New Roman"/>
          <w:color w:val="FF0000"/>
          <w:szCs w:val="24"/>
          <w:vertAlign w:val="subscript"/>
        </w:rPr>
        <w:t>x</w:t>
      </w:r>
      <w:r>
        <w:rPr>
          <w:rFonts w:ascii="Times New Roman" w:hAnsi="Times New Roman" w:cs="Times New Roman"/>
          <w:color w:val="FF0000"/>
          <w:szCs w:val="24"/>
        </w:rPr>
        <w:t>进行反应生成N</w:t>
      </w:r>
      <w:r>
        <w:rPr>
          <w:rFonts w:ascii="Times New Roman" w:hAnsi="Times New Roman" w:cs="Times New Roman"/>
          <w:color w:val="FF0000"/>
          <w:szCs w:val="24"/>
          <w:vertAlign w:val="subscript"/>
        </w:rPr>
        <w:t>2</w:t>
      </w:r>
      <w:r>
        <w:rPr>
          <w:rFonts w:ascii="Times New Roman" w:hAnsi="Times New Roman" w:cs="Times New Roman"/>
          <w:color w:val="FF0000"/>
          <w:szCs w:val="24"/>
        </w:rPr>
        <w:t>和H</w:t>
      </w:r>
      <w:r>
        <w:rPr>
          <w:rFonts w:ascii="Times New Roman" w:hAnsi="Times New Roman" w:cs="Times New Roman"/>
          <w:color w:val="FF0000"/>
          <w:szCs w:val="24"/>
          <w:vertAlign w:val="subscript"/>
        </w:rPr>
        <w:t>2</w:t>
      </w:r>
      <w:r>
        <w:rPr>
          <w:rFonts w:ascii="Times New Roman" w:hAnsi="Times New Roman" w:cs="Times New Roman"/>
          <w:color w:val="FF0000"/>
          <w:szCs w:val="24"/>
        </w:rPr>
        <w:t>O。其后烟气经过上级省煤器后烟气温度达到315~400℃温度区间内与SCR脱硝系统的催化剂接触，在之前SNCR系统喷入的过量的</w:t>
      </w:r>
      <w:r>
        <w:rPr>
          <w:rFonts w:hint="eastAsia" w:ascii="Times New Roman" w:hAnsi="Times New Roman" w:cs="Times New Roman"/>
          <w:color w:val="FF0000"/>
          <w:szCs w:val="24"/>
          <w:lang w:val="en-US" w:eastAsia="zh-CN"/>
        </w:rPr>
        <w:t>还原剂</w:t>
      </w:r>
      <w:r>
        <w:rPr>
          <w:rFonts w:ascii="Times New Roman" w:hAnsi="Times New Roman" w:cs="Times New Roman"/>
          <w:color w:val="FF0000"/>
          <w:szCs w:val="24"/>
        </w:rPr>
        <w:t>参与反应下，将烟气中的剩余NO</w:t>
      </w:r>
      <w:r>
        <w:rPr>
          <w:rFonts w:ascii="Times New Roman" w:hAnsi="Times New Roman" w:cs="Times New Roman"/>
          <w:color w:val="FF0000"/>
          <w:szCs w:val="24"/>
          <w:vertAlign w:val="subscript"/>
        </w:rPr>
        <w:t>x</w:t>
      </w:r>
      <w:r>
        <w:rPr>
          <w:rFonts w:ascii="Times New Roman" w:hAnsi="Times New Roman" w:cs="Times New Roman"/>
          <w:color w:val="FF0000"/>
          <w:szCs w:val="24"/>
        </w:rPr>
        <w:t>进行反应生成N</w:t>
      </w:r>
      <w:r>
        <w:rPr>
          <w:rFonts w:ascii="Times New Roman" w:hAnsi="Times New Roman" w:cs="Times New Roman"/>
          <w:color w:val="FF0000"/>
          <w:szCs w:val="24"/>
          <w:vertAlign w:val="subscript"/>
        </w:rPr>
        <w:t>2</w:t>
      </w:r>
      <w:r>
        <w:rPr>
          <w:rFonts w:ascii="Times New Roman" w:hAnsi="Times New Roman" w:cs="Times New Roman"/>
          <w:color w:val="FF0000"/>
          <w:szCs w:val="24"/>
        </w:rPr>
        <w:t>和H</w:t>
      </w:r>
      <w:r>
        <w:rPr>
          <w:rFonts w:ascii="Times New Roman" w:hAnsi="Times New Roman" w:cs="Times New Roman"/>
          <w:color w:val="FF0000"/>
          <w:szCs w:val="24"/>
          <w:vertAlign w:val="subscript"/>
        </w:rPr>
        <w:t>2</w:t>
      </w:r>
      <w:r>
        <w:rPr>
          <w:rFonts w:ascii="Times New Roman" w:hAnsi="Times New Roman" w:cs="Times New Roman"/>
          <w:color w:val="FF0000"/>
          <w:szCs w:val="24"/>
        </w:rPr>
        <w:t>O。SCR脱硝系统催化剂布置在锅炉尾部上下省煤器间锅炉厂预留的烟道内，催化剂共两层，采用抽屉式安装。催化剂采用蜂窝式催化剂，设计使用寿命为三年，失效的催化剂返厂再生。</w:t>
      </w:r>
    </w:p>
    <w:p w14:paraId="18A4BDC3">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49" w:name="_Toc16519"/>
      <w:bookmarkStart w:id="250" w:name="_Toc26253"/>
      <w:bookmarkStart w:id="251" w:name="_Toc20743"/>
      <w:r>
        <w:rPr>
          <w:rFonts w:hint="eastAsia" w:ascii="Times New Roman" w:hAnsi="Times New Roman" w:eastAsia="宋体" w:cs="Times New Roman"/>
          <w:b/>
          <w:bCs/>
          <w:color w:val="auto"/>
          <w:sz w:val="28"/>
          <w:szCs w:val="28"/>
          <w:lang w:val="en-US" w:eastAsia="zh-CN"/>
        </w:rPr>
        <w:t>3.4.5 除灰渣系统</w:t>
      </w:r>
      <w:bookmarkEnd w:id="249"/>
      <w:bookmarkEnd w:id="250"/>
      <w:bookmarkEnd w:id="251"/>
    </w:p>
    <w:p w14:paraId="1966E70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炉下布置1#重型板链除渣机，炉下渣斗及落灰管直接插入刮板捞渣机水封槽内，除尘器下细灰经落灰管直接落入2#刮板除渣机内，两台除渣机将渣运至3#重型板链除渣机内，再由3#重型板链除渣机运至灰渣楼内，渣楼内设有渣斗，渣斗单个有效容积约为40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，可存炉渣8小时左右。厂区设有1座全封闭灰渣仓，灰渣仓长10m、宽7m、高10m，布置在锅炉房北侧。</w:t>
      </w:r>
    </w:p>
    <w:p w14:paraId="49BCFD6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FF0000"/>
          <w:sz w:val="28"/>
          <w:szCs w:val="28"/>
          <w:lang w:val="en-US" w:eastAsia="zh-CN"/>
        </w:rPr>
      </w:pPr>
      <w:bookmarkStart w:id="252" w:name="_Toc7324"/>
      <w:bookmarkStart w:id="253" w:name="_Toc10393"/>
      <w:r>
        <w:rPr>
          <w:rFonts w:hint="eastAsia" w:ascii="Times New Roman" w:hAnsi="Times New Roman" w:eastAsia="宋体" w:cs="Times New Roman"/>
          <w:b/>
          <w:bCs/>
          <w:color w:val="FF0000"/>
          <w:sz w:val="28"/>
          <w:szCs w:val="28"/>
          <w:lang w:val="en-US" w:eastAsia="zh-CN"/>
        </w:rPr>
        <w:t>3.4.6 软化水处理系统</w:t>
      </w:r>
      <w:bookmarkEnd w:id="252"/>
      <w:bookmarkEnd w:id="253"/>
    </w:p>
    <w:p w14:paraId="4CD0DFE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化学水处理系统工艺采用离子交换树脂工艺，旨在深度去除原水中的钙（Ca²⁺）、镁（Mg²⁺）等结垢离子。其核心原理是利用强酸性阳离子交换树脂作为介质，当自来水通过树脂层时，水中的硬度成分与树脂上的钠离子（Na⁺）发生置换反应（2RNa+Ca²⁺/Mg²⁺→R₂Ca/Mg+2Na⁺）。经过这一过程，出水硬度</w:t>
      </w:r>
      <w:r>
        <w:rPr>
          <w:rFonts w:hint="eastAsia" w:ascii="Times New Roman" w:hAnsi="Times New Roman" w:eastAsia="宋体" w:cs="Times New Roman"/>
          <w:color w:val="FF0000"/>
          <w:sz w:val="24"/>
          <w:szCs w:val="24"/>
          <w:highlight w:val="none"/>
          <w:lang w:val="en-US" w:eastAsia="zh-CN"/>
        </w:rPr>
        <w:t>得到有效控制</w:t>
      </w:r>
      <w:r>
        <w:rPr>
          <w:rFonts w:hint="default" w:ascii="Times New Roman" w:hAnsi="Times New Roman" w:eastAsia="宋体" w:cs="Times New Roman"/>
          <w:color w:val="FF0000"/>
          <w:sz w:val="24"/>
          <w:szCs w:val="24"/>
          <w:highlight w:val="none"/>
          <w:lang w:val="en-US" w:eastAsia="zh-CN"/>
        </w:rPr>
        <w:t>，从而有效防止后续循环系统及热力设备内部产生碳酸盐水垢，保障设备的安全长周期运行。自来水首先进入生水箱进行初步沉淀与缓冲，随后启动生水泵。生水泵为系统提供稳定的进水压力，将原水按设定的流量输送至全自动软水器。原水进入全自动软水器罐体，自上而下流经离子交换树脂层，完成硬度离子的吸附与置换，产出合格的软化水。</w:t>
      </w:r>
    </w:p>
    <w:p w14:paraId="28AD211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系统主要构成为生水箱→生水泵→全自动软水器→软化水箱→软化水泵→除氧器。厂内对现有软化水系统进行更新，处理能力为60~80</w:t>
      </w:r>
      <w:r>
        <w:rPr>
          <w:rFonts w:hint="default" w:ascii="Times New Roman" w:hAnsi="Times New Roman" w:eastAsia="宋体" w:cs="Times New Roman"/>
          <w:color w:val="FF0000"/>
          <w:sz w:val="24"/>
          <w:szCs w:val="24"/>
          <w:highlight w:val="none"/>
          <w:lang w:val="en-US" w:eastAsia="zh-CN"/>
        </w:rPr>
        <w:t>m</w:t>
      </w:r>
      <w:r>
        <w:rPr>
          <w:rFonts w:hint="default" w:ascii="Times New Roman" w:hAnsi="Times New Roman" w:eastAsia="宋体" w:cs="Times New Roman"/>
          <w:color w:val="FF0000"/>
          <w:sz w:val="24"/>
          <w:szCs w:val="24"/>
          <w:highlight w:val="none"/>
          <w:vertAlign w:val="superscript"/>
          <w:lang w:val="en-US" w:eastAsia="zh-CN"/>
        </w:rPr>
        <w:t>3</w:t>
      </w:r>
      <w:r>
        <w:rPr>
          <w:rFonts w:hint="default" w:ascii="Times New Roman" w:hAnsi="Times New Roman" w:eastAsia="宋体" w:cs="Times New Roman"/>
          <w:color w:val="FF0000"/>
          <w:sz w:val="24"/>
          <w:szCs w:val="24"/>
          <w:highlight w:val="none"/>
          <w:lang w:val="en-US" w:eastAsia="zh-CN"/>
        </w:rPr>
        <w:t>/h</w:t>
      </w:r>
      <w:r>
        <w:rPr>
          <w:rFonts w:hint="eastAsia" w:ascii="Times New Roman" w:hAnsi="Times New Roman" w:eastAsia="宋体" w:cs="Times New Roman"/>
          <w:color w:val="FF0000"/>
          <w:sz w:val="24"/>
          <w:szCs w:val="24"/>
          <w:highlight w:val="none"/>
          <w:lang w:val="en-US" w:eastAsia="zh-CN"/>
        </w:rPr>
        <w:t>软化水</w:t>
      </w:r>
      <w:r>
        <w:rPr>
          <w:rFonts w:hint="default" w:ascii="Times New Roman" w:hAnsi="Times New Roman" w:eastAsia="宋体" w:cs="Times New Roman"/>
          <w:color w:val="FF0000"/>
          <w:sz w:val="24"/>
          <w:szCs w:val="24"/>
          <w:highlight w:val="none"/>
          <w:lang w:val="en-US" w:eastAsia="zh-CN"/>
        </w:rPr>
        <w:t>处理系统，</w:t>
      </w:r>
      <w:r>
        <w:rPr>
          <w:rFonts w:hint="eastAsia" w:ascii="Times New Roman" w:hAnsi="Times New Roman" w:eastAsia="宋体" w:cs="Times New Roman"/>
          <w:color w:val="FF0000"/>
          <w:sz w:val="24"/>
          <w:szCs w:val="24"/>
          <w:highlight w:val="none"/>
          <w:lang w:val="en-US" w:eastAsia="zh-CN"/>
        </w:rPr>
        <w:t>软化水箱容积为80m</w:t>
      </w:r>
      <w:r>
        <w:rPr>
          <w:rFonts w:hint="eastAsia" w:ascii="Times New Roman" w:hAnsi="Times New Roman" w:eastAsia="宋体" w:cs="Times New Roman"/>
          <w:color w:val="FF0000"/>
          <w:sz w:val="24"/>
          <w:szCs w:val="24"/>
          <w:highlight w:val="none"/>
          <w:vertAlign w:val="superscript"/>
          <w:lang w:val="en-US" w:eastAsia="zh-CN"/>
        </w:rPr>
        <w:t>3</w:t>
      </w:r>
      <w:r>
        <w:rPr>
          <w:rFonts w:hint="eastAsia" w:ascii="Times New Roman" w:hAnsi="Times New Roman" w:eastAsia="宋体" w:cs="Times New Roman"/>
          <w:color w:val="FF0000"/>
          <w:sz w:val="24"/>
          <w:szCs w:val="24"/>
          <w:highlight w:val="none"/>
          <w:lang w:val="en-US" w:eastAsia="zh-CN"/>
        </w:rPr>
        <w:t>。将自来水软化后，经补水泵补入循环水泵入口母管。在处理过程中，主要产生一定量的含盐废水，树脂更换时废树脂交由更换厂家回收处理，不在厂区内贮存，水处理过程中不使用酸碱试剂。锅炉下集箱设置有排污管，运行期间定期排污。排污水汇总至排污总管后送至厂房外地下的排污降温池内冷却沉淀，其后可作为厂内地面冲洗水或煤、脱硫系统补充水，以及煤灰防尘浇洒使用。锅炉设置有防止超压的安全阀，安全阀出水口接引至安全放水口处。</w:t>
      </w:r>
    </w:p>
    <w:p w14:paraId="4E476B98">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254" w:name="_Toc21415"/>
      <w:r>
        <w:rPr>
          <w:rFonts w:hint="eastAsia" w:ascii="Times New Roman" w:hAnsi="Times New Roman" w:eastAsia="宋体" w:cs="Times New Roman"/>
          <w:b/>
          <w:bCs/>
          <w:color w:val="auto"/>
          <w:lang w:val="en-US" w:eastAsia="zh-CN"/>
        </w:rPr>
        <w:t>3.5 配套</w:t>
      </w:r>
      <w:r>
        <w:rPr>
          <w:rFonts w:hint="eastAsia" w:ascii="Times New Roman" w:hAnsi="Times New Roman" w:eastAsia="宋体" w:cs="Times New Roman"/>
          <w:b/>
          <w:bCs/>
          <w:color w:val="auto"/>
        </w:rPr>
        <w:t>工程</w:t>
      </w:r>
      <w:bookmarkEnd w:id="254"/>
    </w:p>
    <w:p w14:paraId="4FFA3F1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农场区域内市政集中供热管网系统，因长期超期服役，已出现严重老化与破损现象。管网本体存在多处腐蚀、结构性损坏及密封失效，导致系统跑、冒、滴、漏问题频发。此状况不仅造成大量热能损失与水资源浪费，更直接导致供热效率显著降低，末端用户供暖效果不佳，室内温度难以达到规定标准，严重影响居民/用户的正常采暖需求。</w:t>
      </w:r>
    </w:p>
    <w:p w14:paraId="7B4FC72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因此，本次</w:t>
      </w:r>
      <w:r>
        <w:rPr>
          <w:rFonts w:hint="default" w:ascii="Times New Roman" w:hAnsi="Times New Roman" w:eastAsia="宋体" w:cs="Times New Roman"/>
          <w:color w:val="auto"/>
          <w:sz w:val="24"/>
          <w:szCs w:val="24"/>
          <w:highlight w:val="none"/>
          <w:lang w:val="en-US" w:eastAsia="zh-CN"/>
        </w:rPr>
        <w:t>对市政供热管线4.15km进行维修更换。</w:t>
      </w:r>
    </w:p>
    <w:p w14:paraId="15091C7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热水管网采用枝状管网，管网施工顺序为：沟槽开挖→砂垫层找平→管道安装→管道闭水→土方回填。</w:t>
      </w:r>
    </w:p>
    <w:bookmarkEnd w:id="226"/>
    <w:bookmarkEnd w:id="227"/>
    <w:bookmarkEnd w:id="230"/>
    <w:p w14:paraId="7FA5CD10">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255" w:name="_Toc4622"/>
      <w:bookmarkStart w:id="256" w:name="_Toc105659895"/>
      <w:bookmarkStart w:id="257" w:name="_Toc107238112"/>
      <w:bookmarkStart w:id="258" w:name="_Toc13619"/>
      <w:bookmarkStart w:id="259" w:name="_Toc14290"/>
      <w:r>
        <w:rPr>
          <w:rFonts w:hint="eastAsia" w:ascii="Times New Roman" w:hAnsi="Times New Roman" w:eastAsia="宋体" w:cs="Times New Roman"/>
          <w:b/>
          <w:bCs/>
          <w:color w:val="auto"/>
          <w:lang w:val="en-US" w:eastAsia="zh-CN"/>
        </w:rPr>
        <w:t>3.6 公用工程</w:t>
      </w:r>
      <w:bookmarkEnd w:id="255"/>
      <w:bookmarkEnd w:id="256"/>
      <w:bookmarkEnd w:id="257"/>
      <w:bookmarkEnd w:id="258"/>
      <w:bookmarkEnd w:id="259"/>
    </w:p>
    <w:p w14:paraId="067F1C8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60" w:name="_Toc3547"/>
      <w:bookmarkStart w:id="261" w:name="_Toc20004"/>
      <w:bookmarkStart w:id="262" w:name="_Toc8126"/>
      <w:r>
        <w:rPr>
          <w:rFonts w:hint="eastAsia" w:ascii="Times New Roman" w:hAnsi="Times New Roman" w:eastAsia="宋体" w:cs="Times New Roman"/>
          <w:b/>
          <w:bCs/>
          <w:color w:val="auto"/>
          <w:sz w:val="28"/>
          <w:szCs w:val="28"/>
          <w:lang w:val="en-US" w:eastAsia="zh-CN"/>
        </w:rPr>
        <w:t>3.6.1 给水系统</w:t>
      </w:r>
      <w:bookmarkEnd w:id="260"/>
      <w:bookmarkEnd w:id="261"/>
      <w:bookmarkEnd w:id="262"/>
    </w:p>
    <w:p w14:paraId="7B30351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（1）水源</w:t>
      </w:r>
    </w:p>
    <w:p w14:paraId="3A09B26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kern w:val="2"/>
          <w:sz w:val="24"/>
          <w:szCs w:val="24"/>
          <w:highlight w:val="none"/>
          <w:lang w:val="en-US" w:eastAsia="zh-CN" w:bidi="ar-SA"/>
        </w:rPr>
        <w:t>本工程给水水源由八五二农场市政管网供给，供水管径100mm，供水量满足厂区生产、生活用水。厂区建设软化水系统，其出力能够满足工程的用水需求。本工程</w:t>
      </w:r>
      <w:r>
        <w:rPr>
          <w:rFonts w:hint="eastAsia" w:ascii="Times New Roman" w:hAnsi="Times New Roman" w:eastAsia="宋体" w:cs="Times New Roman"/>
          <w:color w:val="auto"/>
          <w:kern w:val="2"/>
          <w:sz w:val="24"/>
          <w:szCs w:val="24"/>
          <w:highlight w:val="none"/>
          <w:lang w:val="en-US" w:eastAsia="zh-CN" w:bidi="ar-SA"/>
        </w:rPr>
        <w:t>利用现有</w:t>
      </w:r>
      <w:r>
        <w:rPr>
          <w:rFonts w:hint="default" w:ascii="Times New Roman" w:hAnsi="Times New Roman" w:eastAsia="宋体" w:cs="Times New Roman"/>
          <w:color w:val="auto"/>
          <w:kern w:val="2"/>
          <w:sz w:val="24"/>
          <w:szCs w:val="24"/>
          <w:highlight w:val="none"/>
          <w:lang w:val="en-US" w:eastAsia="zh-CN" w:bidi="ar-SA"/>
        </w:rPr>
        <w:t>全自动水处理系统，将自来水软化后，经补水泵补入循环水泵入口母</w:t>
      </w:r>
      <w:r>
        <w:rPr>
          <w:rFonts w:hint="default" w:ascii="Times New Roman" w:hAnsi="Times New Roman" w:eastAsia="宋体" w:cs="Times New Roman"/>
          <w:color w:val="auto"/>
          <w:sz w:val="24"/>
          <w:szCs w:val="24"/>
          <w:highlight w:val="none"/>
          <w:lang w:val="en-US" w:eastAsia="zh-CN"/>
        </w:rPr>
        <w:t>管</w:t>
      </w:r>
      <w:r>
        <w:rPr>
          <w:rFonts w:hint="eastAsia" w:ascii="Times New Roman" w:hAnsi="Times New Roman" w:eastAsia="宋体" w:cs="Times New Roman"/>
          <w:color w:val="auto"/>
          <w:sz w:val="24"/>
          <w:szCs w:val="24"/>
          <w:highlight w:val="none"/>
          <w:lang w:val="en-US" w:eastAsia="zh-CN"/>
        </w:rPr>
        <w:t>，软水处理能力为6</w:t>
      </w:r>
      <w:r>
        <w:rPr>
          <w:rFonts w:hint="default" w:ascii="Times New Roman" w:hAnsi="Times New Roman" w:eastAsia="宋体" w:cs="Times New Roman"/>
          <w:color w:val="auto"/>
          <w:sz w:val="24"/>
          <w:szCs w:val="24"/>
          <w:highlight w:val="none"/>
          <w:lang w:val="en-US" w:eastAsia="zh-CN"/>
        </w:rPr>
        <w:t>0</w:t>
      </w:r>
      <w:r>
        <w:rPr>
          <w:rFonts w:hint="eastAsia" w:ascii="Times New Roman" w:hAnsi="Times New Roman" w:eastAsia="宋体" w:cs="Times New Roman"/>
          <w:color w:val="auto"/>
          <w:sz w:val="24"/>
          <w:szCs w:val="24"/>
          <w:highlight w:val="none"/>
          <w:lang w:val="en-US" w:eastAsia="zh-CN"/>
        </w:rPr>
        <w:t>~80</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/h</w:t>
      </w:r>
      <w:r>
        <w:rPr>
          <w:rFonts w:hint="eastAsia" w:ascii="Times New Roman" w:hAnsi="Times New Roman" w:eastAsia="宋体" w:cs="Times New Roman"/>
          <w:color w:val="auto"/>
          <w:sz w:val="24"/>
          <w:szCs w:val="24"/>
          <w:highlight w:val="none"/>
          <w:lang w:val="en-US" w:eastAsia="zh-CN"/>
        </w:rPr>
        <w:t>。</w:t>
      </w:r>
    </w:p>
    <w:p w14:paraId="1E5BB4D5">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（2）给水</w:t>
      </w:r>
    </w:p>
    <w:p w14:paraId="1677012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项目不新增劳动定员，不增加生活用水。项目生产过程新鲜用水主要为锅炉及管网补水，脱硫系统补水。项目其他用水主要包括厂内降尘用水、除灰渣系统用水，主要为锅炉排水回用即可。本项目主要为锅炉的改建，不改变现有工艺及水量平衡。</w:t>
      </w:r>
    </w:p>
    <w:p w14:paraId="2EE6FE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rPr>
      </w:pPr>
      <w:r>
        <w:rPr>
          <w:rFonts w:hint="default" w:ascii="Times New Roman" w:hAnsi="Times New Roman" w:cs="Times New Roman"/>
          <w:color w:val="auto"/>
        </w:rPr>
        <w:object>
          <v:shape id="_x0000_i1026" o:spt="75" type="#_x0000_t75" style="height:343.4pt;width:415pt;" o:ole="t" filled="f" o:preferrelative="t" stroked="f" coordsize="21600,21600">
            <v:path/>
            <v:fill on="f" focussize="0,0"/>
            <v:stroke on="f"/>
            <v:imagedata r:id="rId57" o:title=""/>
            <o:lock v:ext="edit" aspectratio="f"/>
            <w10:wrap type="none"/>
            <w10:anchorlock/>
          </v:shape>
          <o:OLEObject Type="Embed" ProgID="Visio.Drawing.11" ShapeID="_x0000_i1026" DrawAspect="Content" ObjectID="_1468075726" r:id="rId56">
            <o:LockedField>false</o:LockedField>
          </o:OLEObject>
        </w:object>
      </w:r>
    </w:p>
    <w:p w14:paraId="5FDA96E6">
      <w:pPr>
        <w:pStyle w:val="3"/>
        <w:keepNext w:val="0"/>
        <w:keepLines w:val="0"/>
        <w:pageBreakBefore w:val="0"/>
        <w:widowControl w:val="0"/>
        <w:kinsoku/>
        <w:wordWrap/>
        <w:overflowPunct/>
        <w:topLinePunct w:val="0"/>
        <w:autoSpaceDE/>
        <w:autoSpaceDN/>
        <w:bidi w:val="0"/>
        <w:adjustRightInd/>
        <w:snapToGrid/>
        <w:spacing w:after="0" w:line="240" w:lineRule="auto"/>
        <w:ind w:left="0" w:firstLine="0" w:firstLineChars="0"/>
        <w:jc w:val="center"/>
        <w:textAlignment w:val="auto"/>
        <w:rPr>
          <w:rFonts w:hint="default" w:ascii="Times New Roman" w:hAnsi="Times New Roman" w:eastAsia="黑体" w:cs="Times New Roman"/>
          <w:color w:val="FF0000"/>
          <w:sz w:val="24"/>
          <w:lang w:val="en-US" w:eastAsia="zh-CN"/>
        </w:rPr>
      </w:pPr>
      <w:r>
        <w:rPr>
          <w:rFonts w:hint="default" w:ascii="Times New Roman" w:hAnsi="Times New Roman" w:eastAsia="黑体" w:cs="Times New Roman"/>
          <w:color w:val="FF0000"/>
          <w:sz w:val="24"/>
          <w:lang w:val="en-US" w:eastAsia="zh-CN"/>
        </w:rPr>
        <w:t>图3</w:t>
      </w:r>
      <w:r>
        <w:rPr>
          <w:rFonts w:hint="eastAsia" w:ascii="Times New Roman" w:hAnsi="Times New Roman" w:eastAsia="黑体" w:cs="Times New Roman"/>
          <w:color w:val="FF0000"/>
          <w:sz w:val="24"/>
          <w:lang w:val="en-US" w:eastAsia="zh-CN"/>
        </w:rPr>
        <w:t>.</w:t>
      </w:r>
      <w:r>
        <w:rPr>
          <w:rFonts w:hint="eastAsia" w:eastAsia="黑体" w:cs="Times New Roman"/>
          <w:color w:val="FF0000"/>
          <w:sz w:val="24"/>
          <w:lang w:val="en-US" w:eastAsia="zh-CN"/>
        </w:rPr>
        <w:t>6</w:t>
      </w:r>
      <w:r>
        <w:rPr>
          <w:rFonts w:hint="eastAsia" w:ascii="Times New Roman" w:hAnsi="Times New Roman" w:eastAsia="黑体" w:cs="Times New Roman"/>
          <w:color w:val="FF0000"/>
          <w:sz w:val="24"/>
          <w:lang w:val="en-US" w:eastAsia="zh-CN"/>
        </w:rPr>
        <w:t>-</w:t>
      </w:r>
      <w:r>
        <w:rPr>
          <w:rFonts w:hint="default" w:ascii="Times New Roman" w:hAnsi="Times New Roman" w:eastAsia="黑体" w:cs="Times New Roman"/>
          <w:color w:val="FF0000"/>
          <w:sz w:val="24"/>
          <w:lang w:val="en-US" w:eastAsia="zh-CN"/>
        </w:rPr>
        <w:t>1  水平衡图</w:t>
      </w:r>
      <w:r>
        <w:rPr>
          <w:rFonts w:hint="eastAsia" w:eastAsia="黑体" w:cs="Times New Roman"/>
          <w:color w:val="FF0000"/>
          <w:sz w:val="24"/>
          <w:lang w:val="en-US" w:eastAsia="zh-CN"/>
        </w:rPr>
        <w:t>（单位：m</w:t>
      </w:r>
      <w:r>
        <w:rPr>
          <w:rFonts w:hint="eastAsia" w:eastAsia="黑体" w:cs="Times New Roman"/>
          <w:color w:val="FF0000"/>
          <w:sz w:val="24"/>
          <w:vertAlign w:val="superscript"/>
          <w:lang w:val="en-US" w:eastAsia="zh-CN"/>
        </w:rPr>
        <w:t>3</w:t>
      </w:r>
      <w:r>
        <w:rPr>
          <w:rFonts w:hint="eastAsia" w:eastAsia="黑体" w:cs="Times New Roman"/>
          <w:color w:val="FF0000"/>
          <w:sz w:val="24"/>
          <w:lang w:val="en-US" w:eastAsia="zh-CN"/>
        </w:rPr>
        <w:t>/h）</w:t>
      </w:r>
    </w:p>
    <w:p w14:paraId="7688F0A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63" w:name="_Toc27556"/>
      <w:bookmarkStart w:id="264" w:name="_Toc13"/>
      <w:bookmarkStart w:id="265" w:name="_Toc24832"/>
      <w:r>
        <w:rPr>
          <w:rFonts w:hint="eastAsia" w:ascii="Times New Roman" w:hAnsi="Times New Roman" w:eastAsia="宋体" w:cs="Times New Roman"/>
          <w:b/>
          <w:bCs/>
          <w:color w:val="auto"/>
          <w:sz w:val="28"/>
          <w:szCs w:val="28"/>
          <w:lang w:val="en-US" w:eastAsia="zh-CN"/>
        </w:rPr>
        <w:t>3.6.2 排水</w:t>
      </w:r>
      <w:bookmarkEnd w:id="263"/>
      <w:bookmarkEnd w:id="264"/>
      <w:bookmarkEnd w:id="265"/>
      <w:r>
        <w:rPr>
          <w:rFonts w:hint="eastAsia" w:ascii="Times New Roman" w:hAnsi="Times New Roman" w:eastAsia="宋体" w:cs="Times New Roman"/>
          <w:b/>
          <w:bCs/>
          <w:color w:val="auto"/>
          <w:sz w:val="28"/>
          <w:szCs w:val="28"/>
          <w:lang w:val="en-US" w:eastAsia="zh-CN"/>
        </w:rPr>
        <w:t>系统</w:t>
      </w:r>
    </w:p>
    <w:p w14:paraId="54292BD8">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w:t>
      </w:r>
      <w:r>
        <w:rPr>
          <w:rFonts w:hint="eastAsia" w:ascii="Times New Roman" w:hAnsi="Times New Roman" w:eastAsia="宋体" w:cs="Times New Roman"/>
          <w:color w:val="auto"/>
          <w:kern w:val="2"/>
          <w:sz w:val="24"/>
          <w:szCs w:val="24"/>
          <w:highlight w:val="none"/>
          <w:lang w:val="en-US" w:eastAsia="zh-CN" w:bidi="ar-SA"/>
        </w:rPr>
        <w:t>排水系统采用分流制，即雨水排水系统、工业废水系统和生活污水系统。</w:t>
      </w:r>
    </w:p>
    <w:p w14:paraId="17B8D545">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①生活污水</w:t>
      </w:r>
    </w:p>
    <w:p w14:paraId="6169609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本项目不新增工作人员，</w:t>
      </w:r>
      <w:r>
        <w:rPr>
          <w:rFonts w:hint="eastAsia" w:ascii="Times New Roman" w:hAnsi="Times New Roman" w:eastAsia="宋体" w:cs="Times New Roman"/>
          <w:color w:val="auto"/>
          <w:kern w:val="2"/>
          <w:sz w:val="24"/>
          <w:szCs w:val="24"/>
          <w:highlight w:val="none"/>
          <w:lang w:val="en-US" w:eastAsia="zh-CN" w:bidi="ar-SA"/>
        </w:rPr>
        <w:t>不新增生活污水。</w:t>
      </w:r>
      <w:r>
        <w:rPr>
          <w:rFonts w:hint="default" w:ascii="Times New Roman" w:hAnsi="Times New Roman" w:eastAsia="宋体" w:cs="Times New Roman"/>
          <w:color w:val="auto"/>
          <w:kern w:val="2"/>
          <w:sz w:val="24"/>
          <w:szCs w:val="24"/>
          <w:highlight w:val="none"/>
          <w:lang w:val="en-US" w:eastAsia="zh-CN" w:bidi="ar-SA"/>
        </w:rPr>
        <w:t>本项目不新增工作人员，</w:t>
      </w:r>
      <w:r>
        <w:rPr>
          <w:rFonts w:hint="eastAsia" w:ascii="Times New Roman" w:hAnsi="Times New Roman" w:eastAsia="宋体" w:cs="Times New Roman"/>
          <w:color w:val="auto"/>
          <w:kern w:val="2"/>
          <w:sz w:val="24"/>
          <w:szCs w:val="24"/>
          <w:highlight w:val="none"/>
          <w:lang w:val="en-US" w:eastAsia="zh-CN" w:bidi="ar-SA"/>
        </w:rPr>
        <w:t>厂区现有员工25人，现有生活污水经化粪池暂存后满足污水处理厂进水指标后通过市政污水管网进入八五二农场污水处理厂进行处理，达到《城镇污水处理厂污染物排放标准》（GB18918-2002）中的一级A标准后，排水进入蛤蟆通河</w:t>
      </w:r>
      <w:r>
        <w:rPr>
          <w:rFonts w:hint="default" w:ascii="Times New Roman" w:hAnsi="Times New Roman" w:eastAsia="宋体" w:cs="Times New Roman"/>
          <w:color w:val="auto"/>
          <w:kern w:val="2"/>
          <w:sz w:val="24"/>
          <w:szCs w:val="24"/>
          <w:highlight w:val="none"/>
          <w:lang w:val="en-US" w:eastAsia="zh-CN" w:bidi="ar-SA"/>
        </w:rPr>
        <w:t>。</w:t>
      </w:r>
    </w:p>
    <w:p w14:paraId="11E26B51">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②生产废水</w:t>
      </w:r>
    </w:p>
    <w:p w14:paraId="29C08E9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FF0000"/>
          <w:kern w:val="2"/>
          <w:sz w:val="24"/>
          <w:szCs w:val="24"/>
          <w:highlight w:val="none"/>
          <w:lang w:val="en-US" w:eastAsia="zh-CN" w:bidi="ar-SA"/>
        </w:rPr>
      </w:pPr>
      <w:r>
        <w:rPr>
          <w:rFonts w:hint="eastAsia" w:ascii="Times New Roman" w:hAnsi="Times New Roman" w:eastAsia="宋体" w:cs="Times New Roman"/>
          <w:color w:val="FF0000"/>
          <w:kern w:val="2"/>
          <w:sz w:val="24"/>
          <w:szCs w:val="24"/>
          <w:highlight w:val="none"/>
          <w:lang w:val="en-US" w:eastAsia="zh-CN" w:bidi="ar-SA"/>
        </w:rPr>
        <w:t>本项目产生的生产废水全部回用，不外排。根据《排污许可证申请与核发技术规范  锅炉》（HJ953-2018），本项目锅炉排污水絮凝沉淀处理，脱硫水循环使用，均属于可实现生产废水不外排可行技术。同时，本项目除尘过程，处理后的生产废水仍有不足，需少量补充使用新鲜水。综上，本项目从水质、水量角度考虑，均可实现生产废水不外排。全厂水平衡图见图3.6-1。</w:t>
      </w:r>
    </w:p>
    <w:p w14:paraId="03CE6C9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266" w:name="_Toc4512"/>
      <w:bookmarkStart w:id="267" w:name="_Toc16583"/>
      <w:bookmarkStart w:id="268" w:name="_Toc277"/>
      <w:r>
        <w:rPr>
          <w:rFonts w:hint="eastAsia" w:ascii="Times New Roman" w:hAnsi="Times New Roman" w:eastAsia="宋体" w:cs="Times New Roman"/>
          <w:b/>
          <w:bCs/>
          <w:color w:val="auto"/>
          <w:sz w:val="28"/>
          <w:szCs w:val="28"/>
          <w:lang w:val="en-US" w:eastAsia="zh-CN"/>
        </w:rPr>
        <w:t>3.6.3 供电系统</w:t>
      </w:r>
      <w:bookmarkEnd w:id="266"/>
      <w:bookmarkEnd w:id="267"/>
      <w:bookmarkEnd w:id="268"/>
    </w:p>
    <w:p w14:paraId="0A9181B3">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bookmarkStart w:id="269" w:name="_Toc107238113"/>
      <w:bookmarkStart w:id="270" w:name="_Toc18551"/>
      <w:bookmarkStart w:id="271" w:name="_Toc27317"/>
      <w:bookmarkStart w:id="272" w:name="_Toc105659896"/>
      <w:r>
        <w:rPr>
          <w:rFonts w:hint="default" w:ascii="Times New Roman" w:hAnsi="Times New Roman" w:eastAsia="宋体" w:cs="Times New Roman"/>
          <w:color w:val="auto"/>
          <w:kern w:val="2"/>
          <w:sz w:val="24"/>
          <w:szCs w:val="24"/>
          <w:highlight w:val="none"/>
          <w:lang w:val="en-US" w:eastAsia="zh-CN" w:bidi="ar-SA"/>
        </w:rPr>
        <w:t>农场场部现有一座63KV枢纽变电所，变电所主变电压比63/35/10KV。负责向农场供电，电力充足</w:t>
      </w:r>
      <w:r>
        <w:rPr>
          <w:rFonts w:hint="eastAsia" w:ascii="Times New Roman" w:hAnsi="Times New Roman" w:eastAsia="宋体" w:cs="Times New Roman"/>
          <w:color w:val="auto"/>
          <w:kern w:val="2"/>
          <w:sz w:val="24"/>
          <w:szCs w:val="24"/>
          <w:highlight w:val="none"/>
          <w:lang w:val="en-US" w:eastAsia="zh-CN" w:bidi="ar-SA"/>
        </w:rPr>
        <w:t>。</w:t>
      </w:r>
    </w:p>
    <w:p w14:paraId="1A394EB6">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273" w:name="_Toc32210"/>
      <w:r>
        <w:rPr>
          <w:rFonts w:hint="eastAsia" w:ascii="Times New Roman" w:hAnsi="Times New Roman" w:eastAsia="宋体" w:cs="Times New Roman"/>
          <w:b/>
          <w:bCs/>
          <w:color w:val="auto"/>
          <w:lang w:val="en-US" w:eastAsia="zh-CN"/>
        </w:rPr>
        <w:t>3.7 平面布置</w:t>
      </w:r>
      <w:bookmarkEnd w:id="269"/>
      <w:bookmarkEnd w:id="270"/>
      <w:bookmarkEnd w:id="271"/>
      <w:bookmarkEnd w:id="272"/>
      <w:bookmarkEnd w:id="273"/>
    </w:p>
    <w:p w14:paraId="7E13F710">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 xml:space="preserve">3.7.1 </w:t>
      </w:r>
      <w:bookmarkStart w:id="274" w:name="_Toc107238114"/>
      <w:bookmarkStart w:id="275" w:name="_Toc25923"/>
      <w:bookmarkStart w:id="276" w:name="_Toc16868"/>
      <w:bookmarkStart w:id="277" w:name="_Toc105659897"/>
      <w:r>
        <w:rPr>
          <w:rFonts w:hint="eastAsia" w:ascii="Times New Roman" w:hAnsi="Times New Roman" w:eastAsia="宋体" w:cs="Times New Roman"/>
          <w:b/>
          <w:bCs/>
          <w:color w:val="auto"/>
          <w:sz w:val="28"/>
          <w:szCs w:val="28"/>
          <w:lang w:val="en-US" w:eastAsia="zh-CN"/>
        </w:rPr>
        <w:t>总平面布置</w:t>
      </w:r>
    </w:p>
    <w:p w14:paraId="4983611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根据锅炉房的使用性质、规模及使用方式等多方面要求，综合考虑自然条件、交通运输、环境质量及发展前景等因素，进行规划设计。集体布置作如下安排：</w:t>
      </w:r>
    </w:p>
    <w:p w14:paraId="20E716D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拆除现有</w:t>
      </w:r>
      <w:r>
        <w:rPr>
          <w:rFonts w:hint="eastAsia"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46</w:t>
      </w:r>
      <w:r>
        <w:rPr>
          <w:rFonts w:hint="default" w:ascii="Times New Roman" w:hAnsi="Times New Roman" w:eastAsia="宋体" w:cs="Times New Roman"/>
          <w:color w:val="auto"/>
          <w:kern w:val="2"/>
          <w:sz w:val="24"/>
          <w:szCs w:val="24"/>
          <w:highlight w:val="none"/>
          <w:lang w:val="en-US" w:eastAsia="zh-CN" w:bidi="ar-SA"/>
        </w:rPr>
        <w:t>MW热水锅炉，原址</w:t>
      </w:r>
      <w:r>
        <w:rPr>
          <w:rFonts w:hint="eastAsia" w:ascii="Times New Roman" w:hAnsi="Times New Roman" w:eastAsia="宋体" w:cs="Times New Roman"/>
          <w:color w:val="auto"/>
          <w:kern w:val="2"/>
          <w:sz w:val="24"/>
          <w:szCs w:val="24"/>
          <w:highlight w:val="none"/>
          <w:lang w:val="en-US" w:eastAsia="zh-CN" w:bidi="ar-SA"/>
        </w:rPr>
        <w:t>改</w:t>
      </w:r>
      <w:r>
        <w:rPr>
          <w:rFonts w:hint="default" w:ascii="Times New Roman" w:hAnsi="Times New Roman" w:eastAsia="宋体" w:cs="Times New Roman"/>
          <w:color w:val="auto"/>
          <w:kern w:val="2"/>
          <w:sz w:val="24"/>
          <w:szCs w:val="24"/>
          <w:highlight w:val="none"/>
          <w:lang w:val="en-US" w:eastAsia="zh-CN" w:bidi="ar-SA"/>
        </w:rPr>
        <w:t>建</w:t>
      </w:r>
      <w:r>
        <w:rPr>
          <w:rFonts w:hint="eastAsia"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×4</w:t>
      </w:r>
      <w:r>
        <w:rPr>
          <w:rFonts w:hint="eastAsia"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MW热水锅炉；</w:t>
      </w:r>
      <w:r>
        <w:rPr>
          <w:rFonts w:hint="eastAsia" w:ascii="Times New Roman" w:hAnsi="Times New Roman" w:eastAsia="宋体" w:cs="Times New Roman"/>
          <w:color w:val="auto"/>
          <w:kern w:val="2"/>
          <w:sz w:val="24"/>
          <w:szCs w:val="24"/>
          <w:highlight w:val="none"/>
          <w:lang w:val="en-US" w:eastAsia="zh-CN" w:bidi="ar-SA"/>
        </w:rPr>
        <w:t>锅炉房北侧新建脱硫副产品间，西侧新建消防泵房及消防水池。厂区南侧新建围墙及大门等。</w:t>
      </w:r>
    </w:p>
    <w:p w14:paraId="668AE09D">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除上述本期建设内容外，现有</w:t>
      </w:r>
      <w:r>
        <w:rPr>
          <w:rFonts w:hint="default" w:ascii="Times New Roman" w:hAnsi="Times New Roman" w:eastAsia="宋体" w:cs="Times New Roman"/>
          <w:color w:val="auto"/>
          <w:kern w:val="2"/>
          <w:sz w:val="24"/>
          <w:szCs w:val="24"/>
          <w:highlight w:val="none"/>
          <w:lang w:val="en-US" w:eastAsia="zh-CN" w:bidi="ar-SA"/>
        </w:rPr>
        <w:t>锅炉房、煤</w:t>
      </w:r>
      <w:r>
        <w:rPr>
          <w:rFonts w:hint="eastAsia" w:ascii="Times New Roman" w:hAnsi="Times New Roman" w:eastAsia="宋体" w:cs="Times New Roman"/>
          <w:color w:val="auto"/>
          <w:kern w:val="2"/>
          <w:sz w:val="24"/>
          <w:szCs w:val="24"/>
          <w:highlight w:val="none"/>
          <w:lang w:val="en-US" w:eastAsia="zh-CN" w:bidi="ar-SA"/>
        </w:rPr>
        <w:t>库、上煤间、灰渣仓、危险废物贮存点等均为利用现有布局，不进行改动</w:t>
      </w:r>
      <w:r>
        <w:rPr>
          <w:rFonts w:hint="default" w:ascii="Times New Roman" w:hAnsi="Times New Roman" w:eastAsia="宋体"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详见总平面布置图。</w:t>
      </w:r>
    </w:p>
    <w:p w14:paraId="6CF678C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3.7.2 管线维修</w:t>
      </w:r>
    </w:p>
    <w:p w14:paraId="4F128C2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本次管线工程主要为</w:t>
      </w:r>
      <w:r>
        <w:rPr>
          <w:rFonts w:hint="default" w:ascii="Times New Roman" w:hAnsi="Times New Roman" w:eastAsia="宋体" w:cs="Times New Roman"/>
          <w:color w:val="auto"/>
          <w:kern w:val="2"/>
          <w:sz w:val="24"/>
          <w:szCs w:val="24"/>
          <w:highlight w:val="none"/>
          <w:lang w:val="en-US" w:eastAsia="zh-CN" w:bidi="ar-SA"/>
        </w:rPr>
        <w:t>对市政供热管线4.15km进行维修更换。</w:t>
      </w:r>
      <w:r>
        <w:rPr>
          <w:rFonts w:hint="eastAsia" w:ascii="Times New Roman" w:hAnsi="Times New Roman" w:eastAsia="宋体" w:cs="Times New Roman"/>
          <w:color w:val="auto"/>
          <w:kern w:val="2"/>
          <w:sz w:val="24"/>
          <w:szCs w:val="24"/>
          <w:highlight w:val="none"/>
          <w:lang w:val="en-US" w:eastAsia="zh-CN" w:bidi="ar-SA"/>
        </w:rPr>
        <w:t>主要分布于八五二农场场部现有供热管网范围内。对现有管线进行维修更换。不涉及新建管线。维修更换地点主要包括农资库、建业经典小区、八五二农场医院、盛世嘉园、林苑家园、八五二农场中学和学苑小区附近管线。详见附图。</w:t>
      </w:r>
    </w:p>
    <w:p w14:paraId="0F79CC28">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278" w:name="_Toc16332"/>
      <w:r>
        <w:rPr>
          <w:rFonts w:hint="eastAsia" w:ascii="Times New Roman" w:hAnsi="Times New Roman" w:eastAsia="宋体" w:cs="Times New Roman"/>
          <w:b/>
          <w:bCs/>
          <w:color w:val="auto"/>
          <w:lang w:val="en-US" w:eastAsia="zh-CN"/>
        </w:rPr>
        <w:t>3.8 劳动人员及工作制度</w:t>
      </w:r>
      <w:bookmarkEnd w:id="274"/>
      <w:bookmarkEnd w:id="275"/>
      <w:bookmarkEnd w:id="276"/>
      <w:bookmarkEnd w:id="277"/>
      <w:bookmarkEnd w:id="278"/>
    </w:p>
    <w:p w14:paraId="38CC5733">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项目不新增工作人员，厂区现有员工25人，锅炉房生产部门按三班运行，部分生产部门和管理部门按一班生产配置定员，生产人员和部分技术人员由建设单位负责组织培训；设备技术人员和操作人员由提供设备的厂家(公司)负责培训工作。锅炉为供热锅炉，采暖期工作180天，日运行24小时，锅炉年运行小时数为4320h，利用小时数为2880h。</w:t>
      </w:r>
    </w:p>
    <w:p w14:paraId="34E091A7">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279" w:name="_Toc107238115"/>
      <w:bookmarkStart w:id="280" w:name="_Toc15230"/>
      <w:bookmarkStart w:id="281" w:name="_Toc105659898"/>
      <w:bookmarkStart w:id="282" w:name="_Toc21394"/>
      <w:bookmarkStart w:id="283" w:name="_Toc31117"/>
      <w:r>
        <w:rPr>
          <w:rFonts w:hint="eastAsia" w:ascii="Times New Roman" w:hAnsi="Times New Roman" w:eastAsia="宋体" w:cs="Times New Roman"/>
          <w:b/>
          <w:bCs/>
          <w:color w:val="auto"/>
          <w:lang w:val="en-US" w:eastAsia="zh-CN"/>
        </w:rPr>
        <w:t>3.9 建设周期</w:t>
      </w:r>
      <w:bookmarkEnd w:id="279"/>
      <w:bookmarkEnd w:id="280"/>
      <w:bookmarkEnd w:id="281"/>
      <w:bookmarkEnd w:id="282"/>
      <w:bookmarkEnd w:id="283"/>
    </w:p>
    <w:p w14:paraId="4F14B2C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本项目预计2026年6月开工建设，预计2026年10月投产。</w:t>
      </w:r>
    </w:p>
    <w:p w14:paraId="5B39503E">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284" w:name="_Toc28991"/>
      <w:bookmarkStart w:id="285" w:name="_Toc107238116"/>
      <w:bookmarkStart w:id="286" w:name="_Toc20282"/>
      <w:bookmarkStart w:id="287" w:name="_Toc7830"/>
      <w:bookmarkStart w:id="288" w:name="_Toc105659899"/>
      <w:r>
        <w:rPr>
          <w:rFonts w:hint="eastAsia" w:ascii="Times New Roman" w:hAnsi="Times New Roman" w:eastAsia="宋体" w:cs="Times New Roman"/>
          <w:b/>
          <w:bCs/>
          <w:color w:val="auto"/>
          <w:lang w:val="en-US" w:eastAsia="zh-CN"/>
        </w:rPr>
        <w:t>3.10 项目投资估算</w:t>
      </w:r>
      <w:bookmarkEnd w:id="284"/>
      <w:bookmarkEnd w:id="285"/>
      <w:bookmarkEnd w:id="286"/>
      <w:bookmarkEnd w:id="287"/>
      <w:bookmarkEnd w:id="288"/>
    </w:p>
    <w:p w14:paraId="6435BC74">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本项目总投资2420</w:t>
      </w:r>
      <w:r>
        <w:rPr>
          <w:rFonts w:hint="default" w:ascii="Times New Roman" w:hAnsi="Times New Roman" w:eastAsia="宋体" w:cs="Times New Roman"/>
          <w:color w:val="auto"/>
          <w:kern w:val="2"/>
          <w:sz w:val="24"/>
          <w:szCs w:val="24"/>
          <w:highlight w:val="none"/>
          <w:lang w:val="en-US" w:eastAsia="zh-CN" w:bidi="ar-SA"/>
        </w:rPr>
        <w:t>万元</w:t>
      </w:r>
      <w:r>
        <w:rPr>
          <w:rFonts w:hint="eastAsia" w:ascii="Times New Roman" w:hAnsi="Times New Roman" w:eastAsia="宋体" w:cs="Times New Roman"/>
          <w:color w:val="auto"/>
          <w:kern w:val="2"/>
          <w:sz w:val="24"/>
          <w:szCs w:val="24"/>
          <w:highlight w:val="none"/>
          <w:lang w:val="en-US" w:eastAsia="zh-CN" w:bidi="ar-SA"/>
        </w:rPr>
        <w:t>，资金来源为申请中央预算内资金和企业自有资金。</w:t>
      </w:r>
    </w:p>
    <w:p w14:paraId="5C1181E9">
      <w:pPr>
        <w:ind w:firstLine="480"/>
        <w:rPr>
          <w:rFonts w:ascii="Times New Roman" w:hAnsi="Times New Roman" w:eastAsia="宋体" w:cs="Times New Roman"/>
          <w:color w:val="auto"/>
        </w:rPr>
      </w:pPr>
      <w:r>
        <w:rPr>
          <w:rFonts w:ascii="Times New Roman" w:hAnsi="Times New Roman" w:eastAsia="宋体" w:cs="Times New Roman"/>
          <w:color w:val="auto"/>
        </w:rPr>
        <w:br w:type="page"/>
      </w:r>
    </w:p>
    <w:p w14:paraId="505BC18F">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eastAsia" w:ascii="Times New Roman" w:hAnsi="Times New Roman" w:eastAsia="宋体" w:cs="Times New Roman"/>
          <w:b/>
          <w:bCs/>
          <w:color w:val="auto"/>
          <w:kern w:val="2"/>
          <w:sz w:val="32"/>
          <w:szCs w:val="32"/>
          <w:lang w:val="en-US" w:eastAsia="zh-CN"/>
        </w:rPr>
      </w:pPr>
      <w:bookmarkStart w:id="289" w:name="_Toc3982"/>
      <w:bookmarkStart w:id="290" w:name="_Toc23679"/>
      <w:r>
        <w:rPr>
          <w:rStyle w:val="164"/>
          <w:rFonts w:hint="eastAsia" w:ascii="Times New Roman" w:hAnsi="Times New Roman" w:cs="Times New Roman"/>
          <w:b/>
          <w:bCs/>
          <w:color w:val="auto"/>
          <w:kern w:val="2"/>
          <w:sz w:val="32"/>
          <w:szCs w:val="32"/>
          <w:lang w:val="en-US" w:eastAsia="zh-CN"/>
        </w:rPr>
        <w:t>4、</w:t>
      </w:r>
      <w:r>
        <w:rPr>
          <w:rStyle w:val="164"/>
          <w:rFonts w:hint="eastAsia" w:ascii="Times New Roman" w:hAnsi="Times New Roman" w:eastAsia="宋体" w:cs="Times New Roman"/>
          <w:b/>
          <w:bCs/>
          <w:color w:val="auto"/>
          <w:kern w:val="2"/>
          <w:sz w:val="32"/>
          <w:szCs w:val="32"/>
          <w:lang w:val="en-US" w:eastAsia="zh-CN"/>
        </w:rPr>
        <w:t>工程分析</w:t>
      </w:r>
      <w:bookmarkEnd w:id="289"/>
      <w:bookmarkEnd w:id="290"/>
    </w:p>
    <w:p w14:paraId="41614A13">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291" w:name="_Toc1142"/>
      <w:bookmarkStart w:id="292" w:name="_Toc4109"/>
      <w:r>
        <w:rPr>
          <w:rFonts w:hint="eastAsia" w:ascii="Times New Roman" w:hAnsi="Times New Roman" w:eastAsia="宋体" w:cs="Times New Roman"/>
          <w:b/>
          <w:bCs/>
          <w:color w:val="auto"/>
          <w:lang w:val="en-US" w:eastAsia="zh-CN"/>
        </w:rPr>
        <w:t>4.1 工艺流程简述</w:t>
      </w:r>
      <w:bookmarkEnd w:id="291"/>
      <w:bookmarkEnd w:id="292"/>
    </w:p>
    <w:p w14:paraId="62B42D4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拆除淘汰原有的2台46MW热水锅炉，在原址改建2×42MW热水锅炉，新建脱硫副产品间和消防泵房及消防水池等。锅炉房运行的主要生产工艺流程是燃煤进厂后在厂区的煤库贮存，用碎煤机破碎筛分将煤破碎成一定粒度的小颗粒（粒度≤30mm）后，由输煤栈桥进入炉前煤仓间，经炉排送入炉膛内燃烧。煤炭在锅炉内燃烧放热，转换为热能，把水加热成高温热水直接用于供热。</w:t>
      </w:r>
    </w:p>
    <w:p w14:paraId="3AC883B5">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本项目锅炉产生的烟气经“SNCR-SCR脱硝+布袋除尘器除尘+氧化镁法脱硫”处理后，通过1座100m高烟囱排放。锅炉排出的灰渣送灰渣仓，</w:t>
      </w:r>
      <w:r>
        <w:rPr>
          <w:rFonts w:hint="default" w:ascii="Times New Roman" w:hAnsi="Times New Roman" w:eastAsia="宋体" w:cs="Times New Roman"/>
          <w:color w:val="auto"/>
          <w:kern w:val="2"/>
          <w:sz w:val="24"/>
          <w:szCs w:val="24"/>
          <w:highlight w:val="none"/>
          <w:lang w:val="en-US" w:eastAsia="zh-CN" w:bidi="ar-SA"/>
        </w:rPr>
        <w:t>灰渣随排随运</w:t>
      </w:r>
      <w:r>
        <w:rPr>
          <w:rFonts w:hint="eastAsia" w:ascii="Times New Roman" w:hAnsi="Times New Roman" w:eastAsia="宋体" w:cs="Times New Roman"/>
          <w:color w:val="auto"/>
          <w:kern w:val="2"/>
          <w:sz w:val="24"/>
          <w:szCs w:val="24"/>
          <w:highlight w:val="none"/>
          <w:lang w:val="en-US" w:eastAsia="zh-CN" w:bidi="ar-SA"/>
        </w:rPr>
        <w:t>，外售拉运至虎林市源泽永固水泥制品销售有限公司综合利用（</w:t>
      </w:r>
      <w:r>
        <w:rPr>
          <w:rFonts w:hint="eastAsia" w:ascii="Times New Roman" w:hAnsi="Times New Roman" w:eastAsia="宋体" w:cs="Times New Roman"/>
          <w:color w:val="FF0000"/>
          <w:sz w:val="24"/>
          <w:szCs w:val="24"/>
          <w:highlight w:val="none"/>
          <w:lang w:val="en-US" w:eastAsia="zh-CN"/>
        </w:rPr>
        <w:t>同时，建设单位与宝清县焱顺煤炭经销有限公司作签订协议，锅炉灰渣处置行程综合利用双保险</w:t>
      </w:r>
      <w:r>
        <w:rPr>
          <w:rFonts w:hint="eastAsia" w:ascii="Times New Roman" w:hAnsi="Times New Roman" w:eastAsia="宋体" w:cs="Times New Roman"/>
          <w:color w:val="auto"/>
          <w:kern w:val="2"/>
          <w:sz w:val="24"/>
          <w:szCs w:val="24"/>
          <w:highlight w:val="none"/>
          <w:lang w:val="en-US" w:eastAsia="zh-CN" w:bidi="ar-SA"/>
        </w:rPr>
        <w:t>）。本项目不新增员工，不新增生活污水。现有生活污水经化粪池暂存后满足污水处理厂进水指标后通过市政污水管网进入八五二农场污水处理厂进行处理，达到《城镇污水处理厂污染物排放标准》（GB18918-2002）中的一级A标准后，排水进入蛤蟆通河。锅炉用水来自市政自来水，生产废水全部回用，不外排。锅炉灰渣、脱硫副产物集中收集外售综合利用。布袋除尘器滤袋定期更换，废滤袋由厂家回收、脱硝废催化剂交由有资质的单位处置。碎煤机室、煤库、灰渣仓均全封闭。输送皮带上方设有喷淋水管用于燃料干燥时的加湿。地下沉淀池沉渣定期清掏作为燃料入炉燃烧。</w:t>
      </w:r>
    </w:p>
    <w:p w14:paraId="0DFCA5B4">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lang w:val="en-US" w:eastAsia="zh-CN"/>
        </w:rPr>
      </w:pPr>
      <w:bookmarkStart w:id="293" w:name="_Toc2071"/>
      <w:bookmarkStart w:id="294" w:name="_Toc25006"/>
      <w:r>
        <w:rPr>
          <w:rFonts w:hint="eastAsia" w:ascii="Times New Roman" w:hAnsi="Times New Roman" w:eastAsia="宋体" w:cs="Times New Roman"/>
          <w:b/>
          <w:bCs/>
          <w:color w:val="auto"/>
          <w:lang w:val="en-US" w:eastAsia="zh-CN"/>
        </w:rPr>
        <w:t>4.2 污染环节及污染因素分析</w:t>
      </w:r>
      <w:bookmarkEnd w:id="293"/>
      <w:bookmarkEnd w:id="294"/>
    </w:p>
    <w:p w14:paraId="706A23E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bookmarkStart w:id="295" w:name="_Toc30072"/>
      <w:r>
        <w:rPr>
          <w:rFonts w:hint="eastAsia" w:ascii="Times New Roman" w:hAnsi="Times New Roman" w:eastAsia="宋体" w:cs="Times New Roman"/>
          <w:b/>
          <w:bCs/>
          <w:color w:val="auto"/>
          <w:sz w:val="28"/>
          <w:szCs w:val="28"/>
          <w:lang w:val="en-US" w:eastAsia="zh-CN"/>
        </w:rPr>
        <w:t>4.2.1 施工期</w:t>
      </w:r>
      <w:bookmarkEnd w:id="295"/>
    </w:p>
    <w:p w14:paraId="5EF5D57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建设施工期主要建筑工程有土地平整、各种管线的铺设</w:t>
      </w:r>
      <w:r>
        <w:rPr>
          <w:rFonts w:hint="eastAsia" w:ascii="Times New Roman" w:hAnsi="Times New Roman" w:eastAsia="宋体" w:cs="Times New Roman"/>
          <w:color w:val="auto"/>
          <w:kern w:val="2"/>
          <w:sz w:val="24"/>
          <w:szCs w:val="24"/>
          <w:highlight w:val="none"/>
          <w:lang w:val="en-US" w:eastAsia="zh-CN" w:bidi="ar-SA"/>
        </w:rPr>
        <w:t>改造</w:t>
      </w:r>
      <w:r>
        <w:rPr>
          <w:rFonts w:hint="default" w:ascii="Times New Roman" w:hAnsi="Times New Roman" w:eastAsia="宋体" w:cs="Times New Roman"/>
          <w:color w:val="auto"/>
          <w:kern w:val="2"/>
          <w:sz w:val="24"/>
          <w:szCs w:val="24"/>
          <w:highlight w:val="none"/>
          <w:lang w:val="en-US" w:eastAsia="zh-CN" w:bidi="ar-SA"/>
        </w:rPr>
        <w:t>、修建车间、辅助设施及室内装修等。施工过程中对周围环境产生的影响主要有：</w:t>
      </w:r>
    </w:p>
    <w:p w14:paraId="468A112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（1）噪声</w:t>
      </w:r>
    </w:p>
    <w:p w14:paraId="20858B4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各种施工机械，如汽车、推土机、挖掘机、打桩机、混凝土搅拌机、工程钻机、振捣棒、电锯等均可产生较强烈的噪声。虽然这些施工机械噪声属非连续性间歇排放，但由于噪声源相对集中，且多为裸露声源，故其噪声幅射范围及影响程度都较大。</w:t>
      </w:r>
    </w:p>
    <w:p w14:paraId="6ED26F6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运输汽车是流动声源，流动范围较大，除施工场地外，对外环境也将造成污染。本项目建设期间将使运输所经道路两侧的噪声污染加重，同时引起扬尘。</w:t>
      </w:r>
    </w:p>
    <w:p w14:paraId="365959F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（2）废气</w:t>
      </w:r>
    </w:p>
    <w:p w14:paraId="69559EC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土石方施工过程中产生的扬尘、施工动力机械，如汽车、推土机、翻斗车排放的尾气、混凝土搅拌过程中产生的粉尘等均会对施工现场及附近大气环境产生不利影响。</w:t>
      </w:r>
    </w:p>
    <w:p w14:paraId="56F8ECD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建设期间大气的主要污染因子为粉尘，由于建筑粉尘比重较大，沉降较快，只要加强管理，则影响范围较小，一般仅在本项目的周边地块。为尽可能减少建筑粉尘对建设项目周边地区的污染程度，应实施标准化施工。首先，要加强施工管理，工地配置滞尘防护网，地面硬化处理；其次是对粉尘发生量较大的部位采用喷水雾法降尘，对运输交通道路及时清扫、洒水。此外，在运输、装卸建筑材料时，尤其是泥沙运输车辆，需采用封闭车辆。</w:t>
      </w:r>
    </w:p>
    <w:p w14:paraId="4D8AC61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（3）废水</w:t>
      </w:r>
    </w:p>
    <w:p w14:paraId="0EEA714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施工过程中施工人员排放的生活废水和生活垃圾对环境污染产生的影响。建设期的废水排放主要来自建筑施工人员的生活污水和施工废水。施工废水主要为泥浆废水，来自浇水泥工段，主要污染因子为SS。建设单位应做好建设期的污水回用工作，则建设期废水对环境影响较小。</w:t>
      </w:r>
    </w:p>
    <w:p w14:paraId="1C166BF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（4）固体废物</w:t>
      </w:r>
    </w:p>
    <w:p w14:paraId="29C52B3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施工期间需要挖土、运输弃土、运输各种建筑材料（如砂石、水泥、砖、木材、建筑垃圾等），工程完工后，会残留不少废建筑材料。建设单位应要求施工单位实行标准施工、规划运输，送至环保指定地点处理，不要随意倾倒建筑垃圾、制造新的“垃圾堆场”，造成水土流失，不然会对周围环境造成影响。其次，施工人员的生活垃圾也要收集到指定的垃圾箱（桶）内，由环卫部门统一及时处理。</w:t>
      </w:r>
    </w:p>
    <w:p w14:paraId="2012C57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bookmarkStart w:id="296" w:name="_Toc25371"/>
      <w:r>
        <w:rPr>
          <w:rFonts w:hint="eastAsia" w:ascii="Times New Roman" w:hAnsi="Times New Roman" w:eastAsia="宋体" w:cs="Times New Roman"/>
          <w:b/>
          <w:bCs/>
          <w:color w:val="auto"/>
          <w:sz w:val="28"/>
          <w:szCs w:val="28"/>
          <w:lang w:val="en-US" w:eastAsia="zh-CN"/>
        </w:rPr>
        <w:t>4.2.2 运营期</w:t>
      </w:r>
      <w:bookmarkEnd w:id="296"/>
    </w:p>
    <w:p w14:paraId="7FDACD4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eastAsia="宋体" w:cs="Times New Roman"/>
          <w:color w:val="auto"/>
          <w:kern w:val="2"/>
          <w:sz w:val="24"/>
          <w:szCs w:val="24"/>
          <w:highlight w:val="none"/>
          <w:lang w:val="en-US" w:eastAsia="zh-CN" w:bidi="ar-SA"/>
        </w:rPr>
        <w:t>燃煤锅炉生产工艺过程及主要污染环节示意图4.</w:t>
      </w:r>
      <w:r>
        <w:rPr>
          <w:rFonts w:hint="eastAsia"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-1。</w:t>
      </w:r>
    </w:p>
    <w:p w14:paraId="4BD79161">
      <w:pPr>
        <w:pStyle w:val="34"/>
        <w:ind w:left="0" w:leftChars="0" w:firstLine="0" w:firstLineChars="0"/>
        <w:jc w:val="center"/>
        <w:rPr>
          <w:rFonts w:hint="default" w:ascii="Times New Roman" w:hAnsi="Times New Roman" w:eastAsia="黑体" w:cs="Times New Roman"/>
          <w:color w:val="auto"/>
          <w:kern w:val="2"/>
          <w:sz w:val="24"/>
          <w:szCs w:val="24"/>
          <w:lang w:val="en-US" w:eastAsia="zh-CN" w:bidi="ar-SA"/>
        </w:rPr>
      </w:pPr>
      <w:r>
        <w:rPr>
          <w:rFonts w:hint="default" w:ascii="Times New Roman" w:hAnsi="Times New Roman" w:eastAsia="黑体" w:cs="Times New Roman"/>
          <w:color w:val="auto"/>
          <w:kern w:val="2"/>
          <w:sz w:val="24"/>
          <w:szCs w:val="24"/>
          <w:lang w:val="en-US" w:eastAsia="zh-CN" w:bidi="ar-SA"/>
        </w:rPr>
        <w:drawing>
          <wp:inline distT="0" distB="0" distL="114300" distR="114300">
            <wp:extent cx="8862695" cy="4937760"/>
            <wp:effectExtent l="0" t="0" r="1905" b="2540"/>
            <wp:docPr id="170" name="图片 170" descr="细化工艺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细化工艺流程"/>
                    <pic:cNvPicPr>
                      <a:picLocks noChangeAspect="1"/>
                    </pic:cNvPicPr>
                  </pic:nvPicPr>
                  <pic:blipFill>
                    <a:blip r:embed="rId58"/>
                    <a:stretch>
                      <a:fillRect/>
                    </a:stretch>
                  </pic:blipFill>
                  <pic:spPr>
                    <a:xfrm>
                      <a:off x="0" y="0"/>
                      <a:ext cx="8862695" cy="4937760"/>
                    </a:xfrm>
                    <a:prstGeom prst="rect">
                      <a:avLst/>
                    </a:prstGeom>
                  </pic:spPr>
                </pic:pic>
              </a:graphicData>
            </a:graphic>
          </wp:inline>
        </w:drawing>
      </w:r>
    </w:p>
    <w:p w14:paraId="7DB70816">
      <w:pPr>
        <w:pStyle w:val="34"/>
        <w:ind w:left="0" w:leftChars="0" w:firstLine="0" w:firstLineChars="0"/>
        <w:jc w:val="center"/>
        <w:rPr>
          <w:rFonts w:hint="default" w:ascii="Times New Roman" w:hAnsi="Times New Roman" w:eastAsia="黑体" w:cs="Times New Roman"/>
          <w:color w:val="FF0000"/>
          <w:kern w:val="2"/>
          <w:sz w:val="24"/>
          <w:szCs w:val="24"/>
          <w:lang w:val="en-US" w:eastAsia="zh-CN" w:bidi="ar-SA"/>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eastAsia="黑体" w:cs="Times New Roman"/>
          <w:color w:val="FF0000"/>
          <w:kern w:val="2"/>
          <w:sz w:val="24"/>
          <w:szCs w:val="24"/>
          <w:lang w:val="en-US" w:eastAsia="zh-CN" w:bidi="ar-SA"/>
        </w:rPr>
        <w:t>图4.</w:t>
      </w:r>
      <w:r>
        <w:rPr>
          <w:rFonts w:hint="eastAsia" w:ascii="Times New Roman" w:hAnsi="Times New Roman" w:eastAsia="黑体" w:cs="Times New Roman"/>
          <w:color w:val="FF0000"/>
          <w:kern w:val="2"/>
          <w:sz w:val="24"/>
          <w:szCs w:val="24"/>
          <w:lang w:val="en-US" w:eastAsia="zh-CN" w:bidi="ar-SA"/>
        </w:rPr>
        <w:t>2</w:t>
      </w:r>
      <w:r>
        <w:rPr>
          <w:rFonts w:hint="default" w:ascii="Times New Roman" w:hAnsi="Times New Roman" w:eastAsia="黑体" w:cs="Times New Roman"/>
          <w:color w:val="FF0000"/>
          <w:kern w:val="2"/>
          <w:sz w:val="24"/>
          <w:szCs w:val="24"/>
          <w:lang w:val="en-US" w:eastAsia="zh-CN" w:bidi="ar-SA"/>
        </w:rPr>
        <w:t xml:space="preserve">-1 </w:t>
      </w:r>
      <w:r>
        <w:rPr>
          <w:rFonts w:hint="eastAsia" w:ascii="Times New Roman" w:hAnsi="Times New Roman" w:eastAsia="黑体" w:cs="Times New Roman"/>
          <w:color w:val="FF0000"/>
          <w:kern w:val="2"/>
          <w:sz w:val="24"/>
          <w:szCs w:val="24"/>
          <w:lang w:val="en-US" w:eastAsia="zh-CN" w:bidi="ar-SA"/>
        </w:rPr>
        <w:t xml:space="preserve"> </w:t>
      </w:r>
      <w:r>
        <w:rPr>
          <w:rFonts w:hint="default" w:ascii="Times New Roman" w:hAnsi="Times New Roman" w:eastAsia="黑体" w:cs="Times New Roman"/>
          <w:color w:val="FF0000"/>
          <w:kern w:val="2"/>
          <w:sz w:val="24"/>
          <w:szCs w:val="24"/>
          <w:lang w:val="en-US" w:eastAsia="zh-CN" w:bidi="ar-SA"/>
        </w:rPr>
        <w:t>本项目锅炉生产工艺流程图（含排污节点）</w:t>
      </w:r>
    </w:p>
    <w:p w14:paraId="7B8F7B41">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297" w:name="_Toc6261"/>
      <w:bookmarkStart w:id="298" w:name="_Toc15711"/>
      <w:r>
        <w:rPr>
          <w:rFonts w:hint="eastAsia" w:ascii="Times New Roman" w:hAnsi="Times New Roman" w:eastAsia="宋体" w:cs="Times New Roman"/>
          <w:b/>
          <w:bCs/>
          <w:color w:val="auto"/>
          <w:lang w:val="en-US" w:eastAsia="zh-CN"/>
        </w:rPr>
        <w:t>4.3 主要污染环节及污染物分析</w:t>
      </w:r>
      <w:bookmarkEnd w:id="297"/>
      <w:bookmarkEnd w:id="298"/>
    </w:p>
    <w:p w14:paraId="182941C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根据对本项目生产工艺过程分析可知燃煤锅炉运行时主要污染物产生环节如下：</w:t>
      </w:r>
    </w:p>
    <w:p w14:paraId="153F55F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1、燃煤贮存、装卸、输送过程</w:t>
      </w:r>
    </w:p>
    <w:p w14:paraId="1AE1B2C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燃煤装卸及输送时会产生颗粒物；燃煤装卸及运输时会产生噪声。</w:t>
      </w:r>
    </w:p>
    <w:p w14:paraId="65A6664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t>2、燃煤燃烧过程</w:t>
      </w:r>
    </w:p>
    <w:p w14:paraId="0A9784D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FF0000"/>
          <w:kern w:val="2"/>
          <w:sz w:val="24"/>
          <w:szCs w:val="24"/>
          <w:highlight w:val="none"/>
          <w:lang w:val="en-US" w:eastAsia="zh-CN" w:bidi="ar-SA"/>
        </w:rPr>
        <w:t>燃煤锅炉正常运行时的燃烧过程主要包括燃煤的</w:t>
      </w:r>
      <w:r>
        <w:rPr>
          <w:rFonts w:hint="eastAsia" w:ascii="Times New Roman" w:hAnsi="Times New Roman" w:eastAsia="宋体" w:cs="Times New Roman"/>
          <w:color w:val="FF0000"/>
          <w:kern w:val="2"/>
          <w:sz w:val="24"/>
          <w:szCs w:val="24"/>
          <w:highlight w:val="none"/>
          <w:lang w:val="en-US" w:eastAsia="zh-CN" w:bidi="ar-SA"/>
        </w:rPr>
        <w:t>粉碎、</w:t>
      </w:r>
      <w:r>
        <w:rPr>
          <w:rFonts w:hint="default" w:ascii="Times New Roman" w:hAnsi="Times New Roman" w:eastAsia="宋体" w:cs="Times New Roman"/>
          <w:color w:val="FF0000"/>
          <w:kern w:val="2"/>
          <w:sz w:val="24"/>
          <w:szCs w:val="24"/>
          <w:highlight w:val="none"/>
          <w:lang w:val="en-US" w:eastAsia="zh-CN" w:bidi="ar-SA"/>
        </w:rPr>
        <w:t>输送，燃煤在锅炉内的燃烧，以及燃烧后产生的烟气经除尘器、烟道、烟囱排入环境空气。</w:t>
      </w:r>
      <w:r>
        <w:rPr>
          <w:rFonts w:ascii="Times New Roman" w:hAnsi="Times New Roman" w:eastAsia="宋体" w:cs="Times New Roman"/>
          <w:color w:val="FF0000"/>
        </w:rPr>
        <w:t>燃煤粉碎过程中会产生颗粒物和噪声</w:t>
      </w:r>
      <w:r>
        <w:rPr>
          <w:rFonts w:hint="eastAsia" w:ascii="Times New Roman" w:hAnsi="Times New Roman" w:eastAsia="宋体" w:cs="Times New Roman"/>
          <w:color w:val="FF0000"/>
          <w:lang w:eastAsia="zh-CN"/>
        </w:rPr>
        <w:t>；</w:t>
      </w:r>
      <w:r>
        <w:rPr>
          <w:rFonts w:hint="eastAsia" w:ascii="Times New Roman" w:hAnsi="Times New Roman" w:eastAsia="宋体" w:cs="Times New Roman"/>
          <w:color w:val="FF0000"/>
          <w:lang w:val="en-US" w:eastAsia="zh-CN"/>
        </w:rPr>
        <w:t>燃煤燃烧</w:t>
      </w:r>
      <w:r>
        <w:rPr>
          <w:rFonts w:hint="default" w:ascii="Times New Roman" w:hAnsi="Times New Roman" w:eastAsia="宋体" w:cs="Times New Roman"/>
          <w:color w:val="FF0000"/>
          <w:kern w:val="2"/>
          <w:sz w:val="24"/>
          <w:szCs w:val="24"/>
          <w:highlight w:val="none"/>
          <w:lang w:val="en-US" w:eastAsia="zh-CN" w:bidi="ar-SA"/>
        </w:rPr>
        <w:t>过程中，可能产生烟气污染物、生产废水及灰渣，一些机械转动设备，如风机等可能产生噪声。</w:t>
      </w:r>
      <w:r>
        <w:rPr>
          <w:rFonts w:hint="eastAsia" w:ascii="Times New Roman" w:hAnsi="Times New Roman" w:eastAsia="宋体" w:cs="Times New Roman"/>
          <w:color w:val="FF0000"/>
          <w:kern w:val="2"/>
          <w:sz w:val="24"/>
          <w:szCs w:val="24"/>
          <w:highlight w:val="none"/>
          <w:lang w:val="en-US" w:eastAsia="zh-CN" w:bidi="ar-SA"/>
        </w:rPr>
        <w:t>由于</w:t>
      </w:r>
      <w:r>
        <w:rPr>
          <w:rFonts w:hint="default" w:ascii="Times New Roman" w:hAnsi="Times New Roman" w:eastAsia="宋体" w:cs="Times New Roman"/>
          <w:color w:val="FF0000"/>
          <w:kern w:val="2"/>
          <w:sz w:val="24"/>
          <w:szCs w:val="24"/>
          <w:highlight w:val="none"/>
          <w:lang w:val="en-US" w:eastAsia="zh-CN" w:bidi="ar-SA"/>
        </w:rPr>
        <w:t>本项目现有工程燃煤量为</w:t>
      </w:r>
      <w:r>
        <w:rPr>
          <w:rFonts w:hint="eastAsia" w:ascii="Times New Roman" w:hAnsi="Times New Roman" w:eastAsia="宋体" w:cs="Times New Roman"/>
          <w:color w:val="FF0000"/>
          <w:kern w:val="2"/>
          <w:sz w:val="24"/>
          <w:szCs w:val="24"/>
          <w:highlight w:val="none"/>
          <w:lang w:val="en-US" w:eastAsia="zh-CN" w:bidi="ar-SA"/>
        </w:rPr>
        <w:t>55209.6</w:t>
      </w:r>
      <w:r>
        <w:rPr>
          <w:rFonts w:hint="default" w:ascii="Times New Roman" w:hAnsi="Times New Roman" w:eastAsia="宋体" w:cs="Times New Roman"/>
          <w:color w:val="FF0000"/>
          <w:kern w:val="2"/>
          <w:sz w:val="24"/>
          <w:szCs w:val="24"/>
          <w:highlight w:val="none"/>
          <w:lang w:val="en-US" w:eastAsia="zh-CN" w:bidi="ar-SA"/>
        </w:rPr>
        <w:t>t/a，本次改建后，年燃煤量为49622.4t/a。项目碎煤机室利旧，项目燃煤量减少的情况下，本次评价认为碎煤工序污染影响应当有所减轻，因此</w:t>
      </w:r>
      <w:r>
        <w:rPr>
          <w:rFonts w:hint="eastAsia" w:ascii="Times New Roman" w:hAnsi="Times New Roman" w:eastAsia="宋体" w:cs="Times New Roman"/>
          <w:color w:val="FF0000"/>
          <w:kern w:val="2"/>
          <w:sz w:val="24"/>
          <w:szCs w:val="24"/>
          <w:highlight w:val="none"/>
          <w:lang w:val="en-US" w:eastAsia="zh-CN" w:bidi="ar-SA"/>
        </w:rPr>
        <w:t>不再进行定量分析</w:t>
      </w:r>
      <w:r>
        <w:rPr>
          <w:rFonts w:hint="default" w:ascii="Times New Roman" w:hAnsi="Times New Roman" w:eastAsia="宋体" w:cs="Times New Roman"/>
          <w:color w:val="FF0000"/>
          <w:kern w:val="2"/>
          <w:sz w:val="24"/>
          <w:szCs w:val="24"/>
          <w:highlight w:val="none"/>
          <w:lang w:val="en-US" w:eastAsia="zh-CN" w:bidi="ar-SA"/>
        </w:rPr>
        <w:t>。</w:t>
      </w:r>
    </w:p>
    <w:p w14:paraId="1DD2128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3、软化水处理过程</w:t>
      </w:r>
    </w:p>
    <w:p w14:paraId="57B63C2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FF0000"/>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软水处理过程主要是为锅炉正常运行提供水质合格的工业补给水，在该过程中，</w:t>
      </w:r>
      <w:r>
        <w:rPr>
          <w:rFonts w:hint="default" w:ascii="Times New Roman" w:hAnsi="Times New Roman" w:eastAsia="宋体" w:cs="Times New Roman"/>
          <w:color w:val="FF0000"/>
          <w:kern w:val="2"/>
          <w:sz w:val="24"/>
          <w:szCs w:val="24"/>
          <w:highlight w:val="none"/>
          <w:lang w:val="en-US" w:eastAsia="zh-CN" w:bidi="ar-SA"/>
        </w:rPr>
        <w:t>通过</w:t>
      </w:r>
      <w:r>
        <w:rPr>
          <w:rFonts w:hint="eastAsia" w:ascii="Times New Roman" w:hAnsi="Times New Roman" w:eastAsia="宋体" w:cs="Times New Roman"/>
          <w:color w:val="FF0000"/>
          <w:kern w:val="2"/>
          <w:sz w:val="24"/>
          <w:szCs w:val="24"/>
          <w:highlight w:val="none"/>
          <w:lang w:val="en-US" w:eastAsia="zh-CN" w:bidi="ar-SA"/>
        </w:rPr>
        <w:t>离子交换树脂法</w:t>
      </w:r>
      <w:r>
        <w:rPr>
          <w:rFonts w:hint="default" w:ascii="Times New Roman" w:hAnsi="Times New Roman" w:eastAsia="宋体" w:cs="Times New Roman"/>
          <w:color w:val="FF0000"/>
          <w:kern w:val="2"/>
          <w:sz w:val="24"/>
          <w:szCs w:val="24"/>
          <w:highlight w:val="none"/>
          <w:lang w:val="en-US" w:eastAsia="zh-CN" w:bidi="ar-SA"/>
        </w:rPr>
        <w:t>对原水进行处理。在处理过程中，主要产生一定量的反冲洗废水及废树脂。</w:t>
      </w:r>
    </w:p>
    <w:p w14:paraId="58474AF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4</w:t>
      </w:r>
      <w:r>
        <w:rPr>
          <w:rFonts w:hint="default" w:ascii="Times New Roman" w:hAnsi="Times New Roman" w:eastAsia="宋体" w:cs="Times New Roman"/>
          <w:color w:val="auto"/>
          <w:kern w:val="2"/>
          <w:sz w:val="24"/>
          <w:szCs w:val="24"/>
          <w:highlight w:val="none"/>
          <w:lang w:val="en-US" w:eastAsia="zh-CN" w:bidi="ar-SA"/>
        </w:rPr>
        <w:t>、除灰渣过程</w:t>
      </w:r>
    </w:p>
    <w:p w14:paraId="11B8002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除灰渣过程中，将产生大量的灰渣。灰渣装车运输及在存放过程中，若管理不当或在不利气象条件下，可能产生扬尘。</w:t>
      </w:r>
    </w:p>
    <w:p w14:paraId="0DB6780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5</w:t>
      </w:r>
      <w:r>
        <w:rPr>
          <w:rFonts w:hint="default" w:ascii="Times New Roman" w:hAnsi="Times New Roman" w:eastAsia="宋体" w:cs="Times New Roman"/>
          <w:color w:val="auto"/>
          <w:kern w:val="2"/>
          <w:sz w:val="24"/>
          <w:szCs w:val="24"/>
          <w:highlight w:val="none"/>
          <w:lang w:val="en-US" w:eastAsia="zh-CN" w:bidi="ar-SA"/>
        </w:rPr>
        <w:t>、脱硫过程</w:t>
      </w:r>
    </w:p>
    <w:p w14:paraId="44108C4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脱硫系统风机、运行过程中会产生设备噪声</w:t>
      </w:r>
      <w:r>
        <w:rPr>
          <w:rFonts w:hint="eastAsia" w:ascii="Times New Roman" w:hAnsi="Times New Roman" w:eastAsia="宋体" w:cs="Times New Roman"/>
          <w:color w:val="auto"/>
          <w:kern w:val="2"/>
          <w:sz w:val="24"/>
          <w:szCs w:val="24"/>
          <w:highlight w:val="none"/>
          <w:lang w:val="en-US" w:eastAsia="zh-CN" w:bidi="ar-SA"/>
        </w:rPr>
        <w:t>，脱硫产生脱硫副产物，</w:t>
      </w:r>
      <w:r>
        <w:rPr>
          <w:rFonts w:hint="default" w:ascii="Times New Roman" w:hAnsi="Times New Roman" w:eastAsia="宋体" w:cs="Times New Roman"/>
          <w:color w:val="auto"/>
          <w:kern w:val="2"/>
          <w:sz w:val="24"/>
          <w:szCs w:val="24"/>
          <w:highlight w:val="none"/>
          <w:lang w:val="en-US" w:eastAsia="zh-CN" w:bidi="ar-SA"/>
        </w:rPr>
        <w:t>脱硫</w:t>
      </w:r>
      <w:r>
        <w:rPr>
          <w:rFonts w:hint="eastAsia" w:ascii="Times New Roman" w:hAnsi="Times New Roman" w:eastAsia="宋体" w:cs="Times New Roman"/>
          <w:color w:val="auto"/>
          <w:kern w:val="2"/>
          <w:sz w:val="24"/>
          <w:szCs w:val="24"/>
          <w:highlight w:val="none"/>
          <w:lang w:val="en-US" w:eastAsia="zh-CN" w:bidi="ar-SA"/>
        </w:rPr>
        <w:t>过程会产生脱硫</w:t>
      </w:r>
      <w:r>
        <w:rPr>
          <w:rFonts w:hint="default" w:ascii="Times New Roman" w:hAnsi="Times New Roman" w:eastAsia="宋体" w:cs="Times New Roman"/>
          <w:color w:val="auto"/>
          <w:kern w:val="2"/>
          <w:sz w:val="24"/>
          <w:szCs w:val="24"/>
          <w:highlight w:val="none"/>
          <w:lang w:val="en-US" w:eastAsia="zh-CN" w:bidi="ar-SA"/>
        </w:rPr>
        <w:t>废水</w:t>
      </w:r>
      <w:r>
        <w:rPr>
          <w:rFonts w:hint="eastAsia" w:ascii="Times New Roman" w:hAnsi="Times New Roman" w:eastAsia="宋体" w:cs="Times New Roman"/>
          <w:color w:val="auto"/>
          <w:kern w:val="2"/>
          <w:sz w:val="24"/>
          <w:szCs w:val="24"/>
          <w:highlight w:val="none"/>
          <w:lang w:val="en-US" w:eastAsia="zh-CN" w:bidi="ar-SA"/>
        </w:rPr>
        <w:t>，脱硫水循环使用，不外排</w:t>
      </w:r>
      <w:r>
        <w:rPr>
          <w:rFonts w:hint="default" w:ascii="Times New Roman" w:hAnsi="Times New Roman" w:eastAsia="宋体" w:cs="Times New Roman"/>
          <w:color w:val="auto"/>
          <w:kern w:val="2"/>
          <w:sz w:val="24"/>
          <w:szCs w:val="24"/>
          <w:highlight w:val="none"/>
          <w:lang w:val="en-US" w:eastAsia="zh-CN" w:bidi="ar-SA"/>
        </w:rPr>
        <w:t>。</w:t>
      </w:r>
    </w:p>
    <w:p w14:paraId="73156954">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6</w:t>
      </w:r>
      <w:r>
        <w:rPr>
          <w:rFonts w:hint="default" w:ascii="Times New Roman" w:hAnsi="Times New Roman" w:eastAsia="宋体" w:cs="Times New Roman"/>
          <w:color w:val="auto"/>
          <w:kern w:val="2"/>
          <w:sz w:val="24"/>
          <w:szCs w:val="24"/>
          <w:highlight w:val="none"/>
          <w:lang w:val="en-US" w:eastAsia="zh-CN" w:bidi="ar-SA"/>
        </w:rPr>
        <w:t>、脱硝过程</w:t>
      </w:r>
    </w:p>
    <w:p w14:paraId="3853408B">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本项目脱硝过程会产生NH</w:t>
      </w:r>
      <w:r>
        <w:rPr>
          <w:rFonts w:hint="default" w:ascii="Times New Roman" w:hAnsi="Times New Roman" w:eastAsia="宋体" w:cs="Times New Roman"/>
          <w:color w:val="auto"/>
          <w:kern w:val="2"/>
          <w:sz w:val="24"/>
          <w:szCs w:val="24"/>
          <w:highlight w:val="none"/>
          <w:vertAlign w:val="subscript"/>
          <w:lang w:val="en-US" w:eastAsia="zh-CN" w:bidi="ar-SA"/>
        </w:rPr>
        <w:t>3</w:t>
      </w:r>
      <w:r>
        <w:rPr>
          <w:rFonts w:hint="eastAsia" w:ascii="Times New Roman" w:hAnsi="Times New Roman" w:eastAsia="宋体" w:cs="Times New Roman"/>
          <w:color w:val="auto"/>
          <w:kern w:val="2"/>
          <w:sz w:val="24"/>
          <w:szCs w:val="24"/>
          <w:highlight w:val="none"/>
          <w:lang w:val="en-US" w:eastAsia="zh-CN" w:bidi="ar-SA"/>
        </w:rPr>
        <w:t>和废脱硝催化剂</w:t>
      </w:r>
      <w:r>
        <w:rPr>
          <w:rFonts w:hint="default" w:ascii="Times New Roman" w:hAnsi="Times New Roman" w:eastAsia="宋体" w:cs="Times New Roman"/>
          <w:color w:val="auto"/>
          <w:kern w:val="2"/>
          <w:sz w:val="24"/>
          <w:szCs w:val="24"/>
          <w:highlight w:val="none"/>
          <w:lang w:val="en-US" w:eastAsia="zh-CN" w:bidi="ar-SA"/>
        </w:rPr>
        <w:t>；设备运行会产生设备噪声。</w:t>
      </w:r>
    </w:p>
    <w:p w14:paraId="61150D31">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7</w:t>
      </w:r>
      <w:r>
        <w:rPr>
          <w:rFonts w:hint="default" w:ascii="Times New Roman" w:hAnsi="Times New Roman" w:eastAsia="宋体" w:cs="Times New Roman"/>
          <w:color w:val="auto"/>
          <w:kern w:val="2"/>
          <w:sz w:val="24"/>
          <w:szCs w:val="24"/>
          <w:highlight w:val="none"/>
          <w:lang w:val="en-US" w:eastAsia="zh-CN" w:bidi="ar-SA"/>
        </w:rPr>
        <w:t>、除尘过程</w:t>
      </w:r>
    </w:p>
    <w:p w14:paraId="6E76053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本项目热水锅炉除尘过程中会产生废布袋</w:t>
      </w:r>
      <w:r>
        <w:rPr>
          <w:rFonts w:hint="eastAsia" w:ascii="Times New Roman" w:hAnsi="Times New Roman" w:eastAsia="宋体" w:cs="Times New Roman"/>
          <w:color w:val="auto"/>
          <w:kern w:val="2"/>
          <w:sz w:val="24"/>
          <w:szCs w:val="24"/>
          <w:highlight w:val="none"/>
          <w:lang w:val="en-US" w:eastAsia="zh-CN" w:bidi="ar-SA"/>
        </w:rPr>
        <w:t>和</w:t>
      </w:r>
      <w:r>
        <w:rPr>
          <w:rFonts w:hint="default" w:ascii="Times New Roman" w:hAnsi="Times New Roman" w:eastAsia="宋体" w:cs="Times New Roman"/>
          <w:color w:val="auto"/>
          <w:kern w:val="2"/>
          <w:sz w:val="24"/>
          <w:szCs w:val="24"/>
          <w:highlight w:val="none"/>
          <w:lang w:val="en-US" w:eastAsia="zh-CN" w:bidi="ar-SA"/>
        </w:rPr>
        <w:t>设备噪声。</w:t>
      </w:r>
    </w:p>
    <w:p w14:paraId="4DB7040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本项目运营期主要污染环节和污染物排放情况见表4.2-1。</w:t>
      </w:r>
    </w:p>
    <w:p w14:paraId="77DDF5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表4.</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-1  本项目运营期主要污染环节和污染物一览表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34"/>
        <w:gridCol w:w="1710"/>
        <w:gridCol w:w="1870"/>
        <w:gridCol w:w="1236"/>
        <w:gridCol w:w="3076"/>
      </w:tblGrid>
      <w:tr w14:paraId="47C0E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tcBorders>
              <w:tl2br w:val="nil"/>
              <w:tr2bl w:val="nil"/>
            </w:tcBorders>
            <w:vAlign w:val="center"/>
          </w:tcPr>
          <w:p w14:paraId="796550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序号</w:t>
            </w:r>
          </w:p>
        </w:tc>
        <w:tc>
          <w:tcPr>
            <w:tcW w:w="1014" w:type="pct"/>
            <w:tcBorders>
              <w:tl2br w:val="nil"/>
              <w:tr2bl w:val="nil"/>
            </w:tcBorders>
            <w:vAlign w:val="center"/>
          </w:tcPr>
          <w:p w14:paraId="7EA9A5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生产过程</w:t>
            </w:r>
          </w:p>
        </w:tc>
        <w:tc>
          <w:tcPr>
            <w:tcW w:w="1109" w:type="pct"/>
            <w:tcBorders>
              <w:tl2br w:val="nil"/>
              <w:tr2bl w:val="nil"/>
            </w:tcBorders>
            <w:vAlign w:val="center"/>
          </w:tcPr>
          <w:p w14:paraId="63D906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产污环节</w:t>
            </w:r>
          </w:p>
        </w:tc>
        <w:tc>
          <w:tcPr>
            <w:tcW w:w="733" w:type="pct"/>
            <w:tcBorders>
              <w:tl2br w:val="nil"/>
              <w:tr2bl w:val="nil"/>
            </w:tcBorders>
            <w:vAlign w:val="center"/>
          </w:tcPr>
          <w:p w14:paraId="741FB9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污染因素</w:t>
            </w:r>
          </w:p>
        </w:tc>
        <w:tc>
          <w:tcPr>
            <w:tcW w:w="1824" w:type="pct"/>
            <w:tcBorders>
              <w:tl2br w:val="nil"/>
              <w:tr2bl w:val="nil"/>
            </w:tcBorders>
            <w:vAlign w:val="center"/>
          </w:tcPr>
          <w:p w14:paraId="4110FD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主要污染物</w:t>
            </w:r>
          </w:p>
        </w:tc>
      </w:tr>
      <w:tr w14:paraId="02B92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vMerge w:val="restart"/>
            <w:tcBorders>
              <w:tl2br w:val="nil"/>
              <w:tr2bl w:val="nil"/>
            </w:tcBorders>
            <w:vAlign w:val="center"/>
          </w:tcPr>
          <w:p w14:paraId="0A3832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1014" w:type="pct"/>
            <w:vMerge w:val="restart"/>
            <w:tcBorders>
              <w:tl2br w:val="nil"/>
              <w:tr2bl w:val="nil"/>
            </w:tcBorders>
            <w:vAlign w:val="center"/>
          </w:tcPr>
          <w:p w14:paraId="1A6533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燃煤贮存、装卸</w:t>
            </w:r>
          </w:p>
          <w:p w14:paraId="6A1333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及输送过程</w:t>
            </w:r>
          </w:p>
        </w:tc>
        <w:tc>
          <w:tcPr>
            <w:tcW w:w="1109" w:type="pct"/>
            <w:tcBorders>
              <w:tl2br w:val="nil"/>
              <w:tr2bl w:val="nil"/>
            </w:tcBorders>
            <w:vAlign w:val="center"/>
          </w:tcPr>
          <w:p w14:paraId="7EEC30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贮存、装卸、输送</w:t>
            </w:r>
          </w:p>
        </w:tc>
        <w:tc>
          <w:tcPr>
            <w:tcW w:w="733" w:type="pct"/>
            <w:tcBorders>
              <w:tl2br w:val="nil"/>
              <w:tr2bl w:val="nil"/>
            </w:tcBorders>
            <w:vAlign w:val="center"/>
          </w:tcPr>
          <w:p w14:paraId="52D6F3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废气</w:t>
            </w:r>
          </w:p>
        </w:tc>
        <w:tc>
          <w:tcPr>
            <w:tcW w:w="1824" w:type="pct"/>
            <w:tcBorders>
              <w:tl2br w:val="nil"/>
              <w:tr2bl w:val="nil"/>
            </w:tcBorders>
            <w:vAlign w:val="center"/>
          </w:tcPr>
          <w:p w14:paraId="2ACA02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颗粒物</w:t>
            </w:r>
          </w:p>
        </w:tc>
      </w:tr>
      <w:tr w14:paraId="6BF22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vMerge w:val="continue"/>
            <w:tcBorders>
              <w:tl2br w:val="nil"/>
              <w:tr2bl w:val="nil"/>
            </w:tcBorders>
            <w:vAlign w:val="center"/>
          </w:tcPr>
          <w:p w14:paraId="62A1A2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0A6390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tcBorders>
              <w:tl2br w:val="nil"/>
              <w:tr2bl w:val="nil"/>
            </w:tcBorders>
            <w:vAlign w:val="center"/>
          </w:tcPr>
          <w:p w14:paraId="4F0D24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装卸及运输系统</w:t>
            </w:r>
          </w:p>
        </w:tc>
        <w:tc>
          <w:tcPr>
            <w:tcW w:w="733" w:type="pct"/>
            <w:tcBorders>
              <w:tl2br w:val="nil"/>
              <w:tr2bl w:val="nil"/>
            </w:tcBorders>
            <w:vAlign w:val="center"/>
          </w:tcPr>
          <w:p w14:paraId="5E2776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废气、噪声</w:t>
            </w:r>
          </w:p>
        </w:tc>
        <w:tc>
          <w:tcPr>
            <w:tcW w:w="1824" w:type="pct"/>
            <w:tcBorders>
              <w:tl2br w:val="nil"/>
              <w:tr2bl w:val="nil"/>
            </w:tcBorders>
            <w:vAlign w:val="center"/>
          </w:tcPr>
          <w:p w14:paraId="0E845A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颗粒物、噪声</w:t>
            </w:r>
          </w:p>
        </w:tc>
      </w:tr>
      <w:tr w14:paraId="35E0B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vMerge w:val="continue"/>
            <w:tcBorders>
              <w:tl2br w:val="nil"/>
              <w:tr2bl w:val="nil"/>
            </w:tcBorders>
            <w:vAlign w:val="center"/>
          </w:tcPr>
          <w:p w14:paraId="6C532B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6A4735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tcBorders>
              <w:tl2br w:val="nil"/>
              <w:tr2bl w:val="nil"/>
            </w:tcBorders>
            <w:vAlign w:val="center"/>
          </w:tcPr>
          <w:p w14:paraId="5D9374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输送</w:t>
            </w:r>
          </w:p>
        </w:tc>
        <w:tc>
          <w:tcPr>
            <w:tcW w:w="733" w:type="pct"/>
            <w:tcBorders>
              <w:tl2br w:val="nil"/>
              <w:tr2bl w:val="nil"/>
            </w:tcBorders>
            <w:vAlign w:val="center"/>
          </w:tcPr>
          <w:p w14:paraId="482E7C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废水</w:t>
            </w:r>
          </w:p>
        </w:tc>
        <w:tc>
          <w:tcPr>
            <w:tcW w:w="1824" w:type="pct"/>
            <w:tcBorders>
              <w:tl2br w:val="nil"/>
              <w:tr2bl w:val="nil"/>
            </w:tcBorders>
            <w:vAlign w:val="center"/>
          </w:tcPr>
          <w:p w14:paraId="1F89B1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SS、溶解性总固体</w:t>
            </w:r>
          </w:p>
        </w:tc>
      </w:tr>
      <w:tr w14:paraId="7B270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vMerge w:val="restart"/>
            <w:tcBorders>
              <w:tl2br w:val="nil"/>
              <w:tr2bl w:val="nil"/>
            </w:tcBorders>
            <w:vAlign w:val="center"/>
          </w:tcPr>
          <w:p w14:paraId="67B485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1014" w:type="pct"/>
            <w:vMerge w:val="restart"/>
            <w:tcBorders>
              <w:tl2br w:val="nil"/>
              <w:tr2bl w:val="nil"/>
            </w:tcBorders>
            <w:vAlign w:val="center"/>
          </w:tcPr>
          <w:p w14:paraId="1B0DE3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燃煤燃烧过程</w:t>
            </w:r>
          </w:p>
        </w:tc>
        <w:tc>
          <w:tcPr>
            <w:tcW w:w="1109" w:type="pct"/>
            <w:tcBorders>
              <w:tl2br w:val="nil"/>
              <w:tr2bl w:val="nil"/>
            </w:tcBorders>
            <w:vAlign w:val="center"/>
          </w:tcPr>
          <w:p w14:paraId="79A9DB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燃煤粉碎及风机</w:t>
            </w:r>
          </w:p>
        </w:tc>
        <w:tc>
          <w:tcPr>
            <w:tcW w:w="733" w:type="pct"/>
            <w:tcBorders>
              <w:tl2br w:val="nil"/>
              <w:tr2bl w:val="nil"/>
            </w:tcBorders>
            <w:vAlign w:val="center"/>
          </w:tcPr>
          <w:p w14:paraId="7E75D2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废气、噪声</w:t>
            </w:r>
          </w:p>
        </w:tc>
        <w:tc>
          <w:tcPr>
            <w:tcW w:w="1824" w:type="pct"/>
            <w:tcBorders>
              <w:tl2br w:val="nil"/>
              <w:tr2bl w:val="nil"/>
            </w:tcBorders>
            <w:vAlign w:val="center"/>
          </w:tcPr>
          <w:p w14:paraId="2EA6B7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颗粒物、噪声</w:t>
            </w:r>
          </w:p>
        </w:tc>
      </w:tr>
      <w:tr w14:paraId="3B752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vMerge w:val="continue"/>
            <w:tcBorders>
              <w:tl2br w:val="nil"/>
              <w:tr2bl w:val="nil"/>
            </w:tcBorders>
            <w:vAlign w:val="center"/>
          </w:tcPr>
          <w:p w14:paraId="7628E6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5A7D5F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vMerge w:val="restart"/>
            <w:tcBorders>
              <w:tl2br w:val="nil"/>
              <w:tr2bl w:val="nil"/>
            </w:tcBorders>
            <w:vAlign w:val="center"/>
          </w:tcPr>
          <w:p w14:paraId="0B1568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锅炉内燃烧</w:t>
            </w:r>
          </w:p>
        </w:tc>
        <w:tc>
          <w:tcPr>
            <w:tcW w:w="733" w:type="pct"/>
            <w:tcBorders>
              <w:tl2br w:val="nil"/>
              <w:tr2bl w:val="nil"/>
            </w:tcBorders>
            <w:vAlign w:val="center"/>
          </w:tcPr>
          <w:p w14:paraId="65D387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烟气</w:t>
            </w:r>
          </w:p>
        </w:tc>
        <w:tc>
          <w:tcPr>
            <w:tcW w:w="1824" w:type="pct"/>
            <w:tcBorders>
              <w:tl2br w:val="nil"/>
              <w:tr2bl w:val="nil"/>
            </w:tcBorders>
            <w:vAlign w:val="center"/>
          </w:tcPr>
          <w:p w14:paraId="0B3417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烟尘、SO</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、NO</w:t>
            </w:r>
            <w:r>
              <w:rPr>
                <w:rFonts w:hint="eastAsia" w:ascii="Times New Roman" w:hAnsi="Times New Roman" w:cs="Times New Roman"/>
                <w:color w:val="auto"/>
                <w:sz w:val="21"/>
                <w:szCs w:val="21"/>
                <w:highlight w:val="none"/>
                <w:vertAlign w:val="subscript"/>
                <w:lang w:val="en-US" w:eastAsia="zh-CN"/>
              </w:rPr>
              <w:t>x</w:t>
            </w:r>
            <w:r>
              <w:rPr>
                <w:rFonts w:hint="eastAsia" w:ascii="Times New Roman" w:hAnsi="Times New Roman" w:cs="Times New Roman"/>
                <w:color w:val="auto"/>
                <w:sz w:val="21"/>
                <w:szCs w:val="21"/>
                <w:highlight w:val="none"/>
                <w:lang w:val="en-US" w:eastAsia="zh-CN"/>
              </w:rPr>
              <w:t>、汞及其化合物</w:t>
            </w:r>
          </w:p>
        </w:tc>
      </w:tr>
      <w:tr w14:paraId="2BEF5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vMerge w:val="continue"/>
            <w:tcBorders>
              <w:tl2br w:val="nil"/>
              <w:tr2bl w:val="nil"/>
            </w:tcBorders>
            <w:vAlign w:val="center"/>
          </w:tcPr>
          <w:p w14:paraId="6F5632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2F6218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vMerge w:val="continue"/>
            <w:tcBorders>
              <w:tl2br w:val="nil"/>
              <w:tr2bl w:val="nil"/>
            </w:tcBorders>
            <w:vAlign w:val="center"/>
          </w:tcPr>
          <w:p w14:paraId="5DE498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733" w:type="pct"/>
            <w:tcBorders>
              <w:tl2br w:val="nil"/>
              <w:tr2bl w:val="nil"/>
            </w:tcBorders>
            <w:vAlign w:val="center"/>
          </w:tcPr>
          <w:p w14:paraId="322EC8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w:t>
            </w:r>
          </w:p>
        </w:tc>
        <w:tc>
          <w:tcPr>
            <w:tcW w:w="1824" w:type="pct"/>
            <w:tcBorders>
              <w:tl2br w:val="nil"/>
              <w:tr2bl w:val="nil"/>
            </w:tcBorders>
            <w:vAlign w:val="center"/>
          </w:tcPr>
          <w:p w14:paraId="2725C2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灰渣</w:t>
            </w:r>
          </w:p>
        </w:tc>
      </w:tr>
      <w:tr w14:paraId="4FD10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vMerge w:val="continue"/>
            <w:tcBorders>
              <w:tl2br w:val="nil"/>
              <w:tr2bl w:val="nil"/>
            </w:tcBorders>
            <w:vAlign w:val="center"/>
          </w:tcPr>
          <w:p w14:paraId="4B0B70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4454FE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tcBorders>
              <w:tl2br w:val="nil"/>
              <w:tr2bl w:val="nil"/>
            </w:tcBorders>
            <w:vAlign w:val="center"/>
          </w:tcPr>
          <w:p w14:paraId="49A99B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锅炉排污</w:t>
            </w:r>
          </w:p>
        </w:tc>
        <w:tc>
          <w:tcPr>
            <w:tcW w:w="733" w:type="pct"/>
            <w:tcBorders>
              <w:tl2br w:val="nil"/>
              <w:tr2bl w:val="nil"/>
            </w:tcBorders>
            <w:vAlign w:val="center"/>
          </w:tcPr>
          <w:p w14:paraId="44C892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废水</w:t>
            </w:r>
          </w:p>
        </w:tc>
        <w:tc>
          <w:tcPr>
            <w:tcW w:w="1824" w:type="pct"/>
            <w:tcBorders>
              <w:tl2br w:val="nil"/>
              <w:tr2bl w:val="nil"/>
            </w:tcBorders>
            <w:vAlign w:val="center"/>
          </w:tcPr>
          <w:p w14:paraId="7C241E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pH、化学需氧量、溶解性总固体</w:t>
            </w:r>
          </w:p>
        </w:tc>
      </w:tr>
      <w:tr w14:paraId="57E44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04" w:hRule="atLeast"/>
          <w:jc w:val="center"/>
        </w:trPr>
        <w:tc>
          <w:tcPr>
            <w:tcW w:w="317" w:type="pct"/>
            <w:vMerge w:val="restart"/>
            <w:tcBorders>
              <w:tl2br w:val="nil"/>
              <w:tr2bl w:val="nil"/>
            </w:tcBorders>
            <w:vAlign w:val="center"/>
          </w:tcPr>
          <w:p w14:paraId="679B1E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1014" w:type="pct"/>
            <w:vMerge w:val="restart"/>
            <w:tcBorders>
              <w:tl2br w:val="nil"/>
              <w:tr2bl w:val="nil"/>
            </w:tcBorders>
            <w:vAlign w:val="center"/>
          </w:tcPr>
          <w:p w14:paraId="2AC49A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脱硫过程</w:t>
            </w:r>
          </w:p>
        </w:tc>
        <w:tc>
          <w:tcPr>
            <w:tcW w:w="1109" w:type="pct"/>
            <w:vMerge w:val="restart"/>
            <w:tcBorders>
              <w:tl2br w:val="nil"/>
              <w:tr2bl w:val="nil"/>
            </w:tcBorders>
            <w:vAlign w:val="center"/>
          </w:tcPr>
          <w:p w14:paraId="6CC1DE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脱硫系统</w:t>
            </w:r>
          </w:p>
        </w:tc>
        <w:tc>
          <w:tcPr>
            <w:tcW w:w="733" w:type="pct"/>
            <w:tcBorders>
              <w:tl2br w:val="nil"/>
              <w:tr2bl w:val="nil"/>
            </w:tcBorders>
            <w:vAlign w:val="center"/>
          </w:tcPr>
          <w:p w14:paraId="3E9A5E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设备噪声</w:t>
            </w:r>
          </w:p>
        </w:tc>
        <w:tc>
          <w:tcPr>
            <w:tcW w:w="1824" w:type="pct"/>
            <w:tcBorders>
              <w:tl2br w:val="nil"/>
              <w:tr2bl w:val="nil"/>
            </w:tcBorders>
            <w:vAlign w:val="center"/>
          </w:tcPr>
          <w:p w14:paraId="3A2B75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噪声</w:t>
            </w:r>
          </w:p>
        </w:tc>
      </w:tr>
      <w:tr w14:paraId="77B4F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04" w:hRule="atLeast"/>
          <w:jc w:val="center"/>
        </w:trPr>
        <w:tc>
          <w:tcPr>
            <w:tcW w:w="317" w:type="pct"/>
            <w:vMerge w:val="continue"/>
            <w:tcBorders>
              <w:tl2br w:val="nil"/>
              <w:tr2bl w:val="nil"/>
            </w:tcBorders>
            <w:vAlign w:val="center"/>
          </w:tcPr>
          <w:p w14:paraId="26ABC9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61CA85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vMerge w:val="continue"/>
            <w:tcBorders>
              <w:tl2br w:val="nil"/>
              <w:tr2bl w:val="nil"/>
            </w:tcBorders>
            <w:vAlign w:val="center"/>
          </w:tcPr>
          <w:p w14:paraId="374B1A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733" w:type="pct"/>
            <w:tcBorders>
              <w:tl2br w:val="nil"/>
              <w:tr2bl w:val="nil"/>
            </w:tcBorders>
            <w:vAlign w:val="center"/>
          </w:tcPr>
          <w:p w14:paraId="339924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废水</w:t>
            </w:r>
          </w:p>
        </w:tc>
        <w:tc>
          <w:tcPr>
            <w:tcW w:w="1824" w:type="pct"/>
            <w:tcBorders>
              <w:tl2br w:val="nil"/>
              <w:tr2bl w:val="nil"/>
            </w:tcBorders>
            <w:vAlign w:val="center"/>
          </w:tcPr>
          <w:p w14:paraId="01B214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pH、SS</w:t>
            </w:r>
          </w:p>
        </w:tc>
      </w:tr>
      <w:tr w14:paraId="04464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0" w:hRule="atLeast"/>
          <w:jc w:val="center"/>
        </w:trPr>
        <w:tc>
          <w:tcPr>
            <w:tcW w:w="317" w:type="pct"/>
            <w:vMerge w:val="continue"/>
            <w:tcBorders>
              <w:tl2br w:val="nil"/>
              <w:tr2bl w:val="nil"/>
            </w:tcBorders>
            <w:vAlign w:val="center"/>
          </w:tcPr>
          <w:p w14:paraId="550C48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07E10A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vMerge w:val="continue"/>
            <w:tcBorders>
              <w:tl2br w:val="nil"/>
              <w:tr2bl w:val="nil"/>
            </w:tcBorders>
            <w:vAlign w:val="center"/>
          </w:tcPr>
          <w:p w14:paraId="4527F0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733" w:type="pct"/>
            <w:tcBorders>
              <w:tl2br w:val="nil"/>
              <w:tr2bl w:val="nil"/>
            </w:tcBorders>
            <w:vAlign w:val="center"/>
          </w:tcPr>
          <w:p w14:paraId="198AE4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w:t>
            </w:r>
          </w:p>
        </w:tc>
        <w:tc>
          <w:tcPr>
            <w:tcW w:w="1824" w:type="pct"/>
            <w:tcBorders>
              <w:tl2br w:val="nil"/>
              <w:tr2bl w:val="nil"/>
            </w:tcBorders>
            <w:vAlign w:val="center"/>
          </w:tcPr>
          <w:p w14:paraId="47CA50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脱硫副产物（</w:t>
            </w:r>
            <w:r>
              <w:rPr>
                <w:rFonts w:hint="default" w:ascii="Times New Roman" w:hAnsi="Times New Roman" w:cs="Times New Roman"/>
                <w:color w:val="auto"/>
                <w:sz w:val="21"/>
                <w:szCs w:val="21"/>
                <w:highlight w:val="none"/>
                <w:lang w:val="en-US" w:eastAsia="zh-CN"/>
              </w:rPr>
              <w:t>硫酸镁</w:t>
            </w:r>
            <w:r>
              <w:rPr>
                <w:rFonts w:hint="eastAsia" w:ascii="Times New Roman" w:hAnsi="Times New Roman" w:cs="Times New Roman"/>
                <w:color w:val="auto"/>
                <w:sz w:val="21"/>
                <w:szCs w:val="21"/>
                <w:highlight w:val="none"/>
                <w:lang w:val="en-US" w:eastAsia="zh-CN"/>
              </w:rPr>
              <w:t>）</w:t>
            </w:r>
          </w:p>
        </w:tc>
      </w:tr>
      <w:tr w14:paraId="33042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317" w:type="pct"/>
            <w:vMerge w:val="restart"/>
            <w:tcBorders>
              <w:tl2br w:val="nil"/>
              <w:tr2bl w:val="nil"/>
            </w:tcBorders>
            <w:vAlign w:val="center"/>
          </w:tcPr>
          <w:p w14:paraId="4F3E45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c>
          <w:tcPr>
            <w:tcW w:w="1014" w:type="pct"/>
            <w:vMerge w:val="restart"/>
            <w:tcBorders>
              <w:tl2br w:val="nil"/>
              <w:tr2bl w:val="nil"/>
            </w:tcBorders>
            <w:vAlign w:val="center"/>
          </w:tcPr>
          <w:p w14:paraId="3C7E16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脱硝过程</w:t>
            </w:r>
          </w:p>
        </w:tc>
        <w:tc>
          <w:tcPr>
            <w:tcW w:w="1109" w:type="pct"/>
            <w:vMerge w:val="restart"/>
            <w:tcBorders>
              <w:tl2br w:val="nil"/>
              <w:tr2bl w:val="nil"/>
            </w:tcBorders>
            <w:vAlign w:val="center"/>
          </w:tcPr>
          <w:p w14:paraId="57E64E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脱硝装置</w:t>
            </w:r>
          </w:p>
        </w:tc>
        <w:tc>
          <w:tcPr>
            <w:tcW w:w="733" w:type="pct"/>
            <w:tcBorders>
              <w:tl2br w:val="nil"/>
              <w:tr2bl w:val="nil"/>
            </w:tcBorders>
            <w:vAlign w:val="center"/>
          </w:tcPr>
          <w:p w14:paraId="639EC7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废气</w:t>
            </w:r>
          </w:p>
        </w:tc>
        <w:tc>
          <w:tcPr>
            <w:tcW w:w="1824" w:type="pct"/>
            <w:tcBorders>
              <w:tl2br w:val="nil"/>
              <w:tr2bl w:val="nil"/>
            </w:tcBorders>
            <w:vAlign w:val="center"/>
          </w:tcPr>
          <w:p w14:paraId="2FD8C7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NH</w:t>
            </w:r>
            <w:r>
              <w:rPr>
                <w:rFonts w:hint="eastAsia" w:ascii="Times New Roman" w:hAnsi="Times New Roman" w:cs="Times New Roman"/>
                <w:color w:val="auto"/>
                <w:sz w:val="21"/>
                <w:szCs w:val="21"/>
                <w:highlight w:val="none"/>
                <w:vertAlign w:val="subscript"/>
                <w:lang w:val="en-US" w:eastAsia="zh-CN"/>
              </w:rPr>
              <w:t>3</w:t>
            </w:r>
          </w:p>
        </w:tc>
      </w:tr>
      <w:tr w14:paraId="687A6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40" w:hRule="atLeast"/>
          <w:jc w:val="center"/>
        </w:trPr>
        <w:tc>
          <w:tcPr>
            <w:tcW w:w="317" w:type="pct"/>
            <w:vMerge w:val="continue"/>
            <w:tcBorders>
              <w:tl2br w:val="nil"/>
              <w:tr2bl w:val="nil"/>
            </w:tcBorders>
            <w:vAlign w:val="center"/>
          </w:tcPr>
          <w:p w14:paraId="258607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2D007A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vMerge w:val="continue"/>
            <w:tcBorders>
              <w:tl2br w:val="nil"/>
              <w:tr2bl w:val="nil"/>
            </w:tcBorders>
            <w:vAlign w:val="center"/>
          </w:tcPr>
          <w:p w14:paraId="26EE21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733" w:type="pct"/>
            <w:tcBorders>
              <w:tl2br w:val="nil"/>
              <w:tr2bl w:val="nil"/>
            </w:tcBorders>
            <w:shd w:val="clear" w:color="auto" w:fill="auto"/>
            <w:vAlign w:val="center"/>
          </w:tcPr>
          <w:p w14:paraId="3570C0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w:t>
            </w:r>
          </w:p>
        </w:tc>
        <w:tc>
          <w:tcPr>
            <w:tcW w:w="1824" w:type="pct"/>
            <w:tcBorders>
              <w:tl2br w:val="nil"/>
              <w:tr2bl w:val="nil"/>
            </w:tcBorders>
            <w:shd w:val="clear" w:color="auto" w:fill="auto"/>
            <w:vAlign w:val="center"/>
          </w:tcPr>
          <w:p w14:paraId="34BCE7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废脱硝催化剂</w:t>
            </w:r>
          </w:p>
        </w:tc>
      </w:tr>
      <w:tr w14:paraId="2FF56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17" w:type="pct"/>
            <w:tcBorders>
              <w:tl2br w:val="nil"/>
              <w:tr2bl w:val="nil"/>
            </w:tcBorders>
            <w:vAlign w:val="center"/>
          </w:tcPr>
          <w:p w14:paraId="1BCC99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1014" w:type="pct"/>
            <w:tcBorders>
              <w:tl2br w:val="nil"/>
              <w:tr2bl w:val="nil"/>
            </w:tcBorders>
            <w:vAlign w:val="center"/>
          </w:tcPr>
          <w:p w14:paraId="02F6C7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除尘过程</w:t>
            </w:r>
          </w:p>
        </w:tc>
        <w:tc>
          <w:tcPr>
            <w:tcW w:w="1109" w:type="pct"/>
            <w:tcBorders>
              <w:tl2br w:val="nil"/>
              <w:tr2bl w:val="nil"/>
            </w:tcBorders>
            <w:vAlign w:val="center"/>
          </w:tcPr>
          <w:p w14:paraId="6C2F1F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布袋除尘器</w:t>
            </w:r>
          </w:p>
        </w:tc>
        <w:tc>
          <w:tcPr>
            <w:tcW w:w="733" w:type="pct"/>
            <w:tcBorders>
              <w:tl2br w:val="nil"/>
              <w:tr2bl w:val="nil"/>
            </w:tcBorders>
            <w:vAlign w:val="center"/>
          </w:tcPr>
          <w:p w14:paraId="1509F2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w:t>
            </w:r>
          </w:p>
        </w:tc>
        <w:tc>
          <w:tcPr>
            <w:tcW w:w="1824" w:type="pct"/>
            <w:tcBorders>
              <w:tl2br w:val="nil"/>
              <w:tr2bl w:val="nil"/>
            </w:tcBorders>
            <w:vAlign w:val="center"/>
          </w:tcPr>
          <w:p w14:paraId="1F44F3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废布袋、布袋除尘器收尘</w:t>
            </w:r>
          </w:p>
        </w:tc>
      </w:tr>
      <w:tr w14:paraId="64E33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317" w:type="pct"/>
            <w:tcBorders>
              <w:tl2br w:val="nil"/>
              <w:tr2bl w:val="nil"/>
            </w:tcBorders>
            <w:vAlign w:val="center"/>
          </w:tcPr>
          <w:p w14:paraId="46980A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w:t>
            </w:r>
          </w:p>
        </w:tc>
        <w:tc>
          <w:tcPr>
            <w:tcW w:w="1014" w:type="pct"/>
            <w:tcBorders>
              <w:tl2br w:val="nil"/>
              <w:tr2bl w:val="nil"/>
            </w:tcBorders>
            <w:vAlign w:val="center"/>
          </w:tcPr>
          <w:p w14:paraId="21D98B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灰渣贮存及装卸</w:t>
            </w:r>
          </w:p>
        </w:tc>
        <w:tc>
          <w:tcPr>
            <w:tcW w:w="1109" w:type="pct"/>
            <w:tcBorders>
              <w:tl2br w:val="nil"/>
              <w:tr2bl w:val="nil"/>
            </w:tcBorders>
            <w:vAlign w:val="center"/>
          </w:tcPr>
          <w:p w14:paraId="1C3E54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灰渣装车运输</w:t>
            </w:r>
          </w:p>
        </w:tc>
        <w:tc>
          <w:tcPr>
            <w:tcW w:w="733" w:type="pct"/>
            <w:tcBorders>
              <w:tl2br w:val="nil"/>
              <w:tr2bl w:val="nil"/>
            </w:tcBorders>
            <w:vAlign w:val="center"/>
          </w:tcPr>
          <w:p w14:paraId="7C08BA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废气</w:t>
            </w:r>
          </w:p>
        </w:tc>
        <w:tc>
          <w:tcPr>
            <w:tcW w:w="1824" w:type="pct"/>
            <w:tcBorders>
              <w:tl2br w:val="nil"/>
              <w:tr2bl w:val="nil"/>
            </w:tcBorders>
            <w:vAlign w:val="center"/>
          </w:tcPr>
          <w:p w14:paraId="154312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颗粒物</w:t>
            </w:r>
          </w:p>
        </w:tc>
      </w:tr>
      <w:tr w14:paraId="001AE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68" w:hRule="atLeast"/>
          <w:jc w:val="center"/>
        </w:trPr>
        <w:tc>
          <w:tcPr>
            <w:tcW w:w="317" w:type="pct"/>
            <w:vMerge w:val="restart"/>
            <w:tcBorders>
              <w:tl2br w:val="nil"/>
              <w:tr2bl w:val="nil"/>
            </w:tcBorders>
            <w:vAlign w:val="center"/>
          </w:tcPr>
          <w:p w14:paraId="65775E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bookmarkStart w:id="299" w:name="_Toc12075"/>
            <w:r>
              <w:rPr>
                <w:rFonts w:hint="eastAsia" w:ascii="Times New Roman" w:hAnsi="Times New Roman" w:cs="Times New Roman"/>
                <w:color w:val="auto"/>
                <w:sz w:val="21"/>
                <w:szCs w:val="21"/>
                <w:highlight w:val="none"/>
                <w:lang w:val="en-US" w:eastAsia="zh-CN"/>
              </w:rPr>
              <w:t>7</w:t>
            </w:r>
          </w:p>
        </w:tc>
        <w:tc>
          <w:tcPr>
            <w:tcW w:w="1014" w:type="pct"/>
            <w:vMerge w:val="restart"/>
            <w:tcBorders>
              <w:tl2br w:val="nil"/>
              <w:tr2bl w:val="nil"/>
            </w:tcBorders>
            <w:vAlign w:val="center"/>
          </w:tcPr>
          <w:p w14:paraId="07E2F2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软化水处理系统</w:t>
            </w:r>
          </w:p>
        </w:tc>
        <w:tc>
          <w:tcPr>
            <w:tcW w:w="1109" w:type="pct"/>
            <w:vMerge w:val="restart"/>
            <w:tcBorders>
              <w:tl2br w:val="nil"/>
              <w:tr2bl w:val="nil"/>
            </w:tcBorders>
            <w:vAlign w:val="center"/>
          </w:tcPr>
          <w:p w14:paraId="7459A2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原水处理</w:t>
            </w:r>
          </w:p>
        </w:tc>
        <w:tc>
          <w:tcPr>
            <w:tcW w:w="733" w:type="pct"/>
            <w:tcBorders>
              <w:tl2br w:val="nil"/>
              <w:tr2bl w:val="nil"/>
            </w:tcBorders>
            <w:vAlign w:val="center"/>
          </w:tcPr>
          <w:p w14:paraId="055C54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废水</w:t>
            </w:r>
          </w:p>
        </w:tc>
        <w:tc>
          <w:tcPr>
            <w:tcW w:w="1824" w:type="pct"/>
            <w:tcBorders>
              <w:tl2br w:val="nil"/>
              <w:tr2bl w:val="nil"/>
            </w:tcBorders>
            <w:vAlign w:val="center"/>
          </w:tcPr>
          <w:p w14:paraId="2FC210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少量盐类</w:t>
            </w:r>
          </w:p>
        </w:tc>
      </w:tr>
      <w:tr w14:paraId="41E65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68" w:hRule="atLeast"/>
          <w:jc w:val="center"/>
        </w:trPr>
        <w:tc>
          <w:tcPr>
            <w:tcW w:w="317" w:type="pct"/>
            <w:vMerge w:val="continue"/>
            <w:tcBorders>
              <w:tl2br w:val="nil"/>
              <w:tr2bl w:val="nil"/>
            </w:tcBorders>
            <w:vAlign w:val="center"/>
          </w:tcPr>
          <w:p w14:paraId="28997E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6942DA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vMerge w:val="continue"/>
            <w:tcBorders>
              <w:tl2br w:val="nil"/>
              <w:tr2bl w:val="nil"/>
            </w:tcBorders>
            <w:vAlign w:val="center"/>
          </w:tcPr>
          <w:p w14:paraId="407A91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733" w:type="pct"/>
            <w:tcBorders>
              <w:tl2br w:val="nil"/>
              <w:tr2bl w:val="nil"/>
            </w:tcBorders>
            <w:vAlign w:val="center"/>
          </w:tcPr>
          <w:p w14:paraId="3A8E15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w:t>
            </w:r>
          </w:p>
        </w:tc>
        <w:tc>
          <w:tcPr>
            <w:tcW w:w="1824" w:type="pct"/>
            <w:tcBorders>
              <w:tl2br w:val="nil"/>
              <w:tr2bl w:val="nil"/>
            </w:tcBorders>
            <w:vAlign w:val="center"/>
          </w:tcPr>
          <w:p w14:paraId="3DBFF9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废离子交换树脂</w:t>
            </w:r>
          </w:p>
        </w:tc>
      </w:tr>
      <w:tr w14:paraId="4F287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96" w:hRule="atLeast"/>
          <w:jc w:val="center"/>
        </w:trPr>
        <w:tc>
          <w:tcPr>
            <w:tcW w:w="317" w:type="pct"/>
            <w:vMerge w:val="continue"/>
            <w:tcBorders>
              <w:tl2br w:val="nil"/>
              <w:tr2bl w:val="nil"/>
            </w:tcBorders>
            <w:vAlign w:val="center"/>
          </w:tcPr>
          <w:p w14:paraId="37F2B4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014" w:type="pct"/>
            <w:vMerge w:val="continue"/>
            <w:tcBorders>
              <w:tl2br w:val="nil"/>
              <w:tr2bl w:val="nil"/>
            </w:tcBorders>
            <w:vAlign w:val="center"/>
          </w:tcPr>
          <w:p w14:paraId="2DE09D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09" w:type="pct"/>
            <w:tcBorders>
              <w:tl2br w:val="nil"/>
              <w:tr2bl w:val="nil"/>
            </w:tcBorders>
            <w:vAlign w:val="center"/>
          </w:tcPr>
          <w:p w14:paraId="5A65BA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生产设备</w:t>
            </w:r>
          </w:p>
        </w:tc>
        <w:tc>
          <w:tcPr>
            <w:tcW w:w="733" w:type="pct"/>
            <w:tcBorders>
              <w:tl2br w:val="nil"/>
              <w:tr2bl w:val="nil"/>
            </w:tcBorders>
            <w:vAlign w:val="center"/>
          </w:tcPr>
          <w:p w14:paraId="1D9CCE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设备噪声</w:t>
            </w:r>
          </w:p>
        </w:tc>
        <w:tc>
          <w:tcPr>
            <w:tcW w:w="1824" w:type="pct"/>
            <w:tcBorders>
              <w:tl2br w:val="nil"/>
              <w:tr2bl w:val="nil"/>
            </w:tcBorders>
            <w:vAlign w:val="center"/>
          </w:tcPr>
          <w:p w14:paraId="263E96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噪声</w:t>
            </w:r>
          </w:p>
        </w:tc>
      </w:tr>
    </w:tbl>
    <w:p w14:paraId="47680BD3">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val="en-US" w:eastAsia="zh-CN"/>
        </w:rPr>
      </w:pPr>
      <w:bookmarkStart w:id="300" w:name="_Toc14385"/>
      <w:r>
        <w:rPr>
          <w:rFonts w:hint="eastAsia" w:ascii="Times New Roman" w:hAnsi="Times New Roman" w:eastAsia="宋体" w:cs="Times New Roman"/>
          <w:b/>
          <w:bCs/>
          <w:color w:val="auto"/>
          <w:lang w:val="en-US" w:eastAsia="zh-CN"/>
        </w:rPr>
        <w:t>4.4 运营期污染物源强分析</w:t>
      </w:r>
      <w:bookmarkEnd w:id="299"/>
      <w:bookmarkEnd w:id="300"/>
    </w:p>
    <w:p w14:paraId="051059F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01" w:name="_Toc31141"/>
      <w:bookmarkStart w:id="302" w:name="_Toc12623"/>
      <w:bookmarkStart w:id="303" w:name="_Toc16330"/>
      <w:r>
        <w:rPr>
          <w:rFonts w:hint="eastAsia" w:ascii="Times New Roman" w:hAnsi="Times New Roman" w:eastAsia="宋体" w:cs="Times New Roman"/>
          <w:b/>
          <w:bCs/>
          <w:color w:val="auto"/>
          <w:sz w:val="28"/>
          <w:szCs w:val="28"/>
          <w:lang w:val="en-US" w:eastAsia="zh-CN"/>
        </w:rPr>
        <w:t>4.4.1 废气污染物源强</w:t>
      </w:r>
      <w:bookmarkEnd w:id="301"/>
      <w:bookmarkEnd w:id="302"/>
      <w:bookmarkEnd w:id="303"/>
    </w:p>
    <w:p w14:paraId="4AEBBDC4">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（1）锅炉烟气</w:t>
      </w:r>
    </w:p>
    <w:p w14:paraId="62C3B3E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正常工况：工程运行后，主要的大气污染物为锅炉排放的颗粒物、SO</w:t>
      </w:r>
      <w:r>
        <w:rPr>
          <w:rFonts w:hint="default" w:ascii="Times New Roman" w:hAnsi="Times New Roman" w:eastAsia="宋体" w:cs="Times New Roman"/>
          <w:color w:val="auto"/>
          <w:kern w:val="2"/>
          <w:sz w:val="24"/>
          <w:szCs w:val="24"/>
          <w:highlight w:val="none"/>
          <w:vertAlign w:val="subscript"/>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和NO</w:t>
      </w:r>
      <w:r>
        <w:rPr>
          <w:rFonts w:hint="default" w:ascii="Times New Roman" w:hAnsi="Times New Roman" w:eastAsia="宋体" w:cs="Times New Roman"/>
          <w:color w:val="auto"/>
          <w:kern w:val="2"/>
          <w:sz w:val="24"/>
          <w:szCs w:val="24"/>
          <w:highlight w:val="none"/>
          <w:vertAlign w:val="subscript"/>
          <w:lang w:val="en-US" w:eastAsia="zh-CN" w:bidi="ar-SA"/>
        </w:rPr>
        <w:t>x</w:t>
      </w:r>
      <w:r>
        <w:rPr>
          <w:rFonts w:hint="default" w:ascii="Times New Roman" w:hAnsi="Times New Roman" w:eastAsia="宋体" w:cs="Times New Roman"/>
          <w:color w:val="auto"/>
          <w:kern w:val="2"/>
          <w:sz w:val="24"/>
          <w:szCs w:val="24"/>
          <w:highlight w:val="none"/>
          <w:lang w:val="en-US" w:eastAsia="zh-CN" w:bidi="ar-SA"/>
        </w:rPr>
        <w:t>、汞及其化合物。本项目新建</w:t>
      </w:r>
      <w:r>
        <w:rPr>
          <w:rFonts w:hint="eastAsia"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4</w:t>
      </w:r>
      <w:r>
        <w:rPr>
          <w:rFonts w:hint="default" w:ascii="Times New Roman" w:hAnsi="Times New Roman" w:eastAsia="宋体" w:cs="Times New Roman"/>
          <w:color w:val="auto"/>
          <w:kern w:val="2"/>
          <w:sz w:val="24"/>
          <w:szCs w:val="24"/>
          <w:highlight w:val="none"/>
          <w:lang w:val="en-US" w:eastAsia="zh-CN" w:bidi="ar-SA"/>
        </w:rPr>
        <w:t>2MW锅炉，锅炉日运行24h，年运行</w:t>
      </w:r>
      <w:r>
        <w:rPr>
          <w:rFonts w:hint="eastAsia" w:ascii="Times New Roman" w:hAnsi="Times New Roman" w:eastAsia="宋体" w:cs="Times New Roman"/>
          <w:color w:val="auto"/>
          <w:kern w:val="2"/>
          <w:sz w:val="24"/>
          <w:szCs w:val="24"/>
          <w:highlight w:val="none"/>
          <w:lang w:val="en-US" w:eastAsia="zh-CN" w:bidi="ar-SA"/>
        </w:rPr>
        <w:t>180</w:t>
      </w:r>
      <w:r>
        <w:rPr>
          <w:rFonts w:hint="default" w:ascii="Times New Roman" w:hAnsi="Times New Roman" w:eastAsia="宋体" w:cs="Times New Roman"/>
          <w:color w:val="auto"/>
          <w:kern w:val="2"/>
          <w:sz w:val="24"/>
          <w:szCs w:val="24"/>
          <w:highlight w:val="none"/>
          <w:lang w:val="en-US" w:eastAsia="zh-CN" w:bidi="ar-SA"/>
        </w:rPr>
        <w:t>d，年</w:t>
      </w:r>
      <w:r>
        <w:rPr>
          <w:rFonts w:hint="eastAsia" w:ascii="Times New Roman" w:hAnsi="Times New Roman" w:eastAsia="宋体" w:cs="Times New Roman"/>
          <w:color w:val="auto"/>
          <w:kern w:val="2"/>
          <w:sz w:val="24"/>
          <w:szCs w:val="24"/>
          <w:highlight w:val="none"/>
          <w:lang w:val="en-US" w:eastAsia="zh-CN" w:bidi="ar-SA"/>
        </w:rPr>
        <w:t>运行</w:t>
      </w:r>
      <w:r>
        <w:rPr>
          <w:rFonts w:hint="default" w:ascii="Times New Roman" w:hAnsi="Times New Roman" w:eastAsia="宋体" w:cs="Times New Roman"/>
          <w:color w:val="auto"/>
          <w:kern w:val="2"/>
          <w:sz w:val="24"/>
          <w:szCs w:val="24"/>
          <w:highlight w:val="none"/>
          <w:lang w:val="en-US" w:eastAsia="zh-CN" w:bidi="ar-SA"/>
        </w:rPr>
        <w:t>小时数为</w:t>
      </w:r>
      <w:r>
        <w:rPr>
          <w:rFonts w:hint="eastAsia" w:ascii="Times New Roman" w:hAnsi="Times New Roman" w:eastAsia="宋体" w:cs="Times New Roman"/>
          <w:color w:val="auto"/>
          <w:kern w:val="2"/>
          <w:sz w:val="24"/>
          <w:szCs w:val="24"/>
          <w:highlight w:val="none"/>
          <w:lang w:val="en-US" w:eastAsia="zh-CN" w:bidi="ar-SA"/>
        </w:rPr>
        <w:t>4320</w:t>
      </w:r>
      <w:r>
        <w:rPr>
          <w:rFonts w:hint="default" w:ascii="Times New Roman" w:hAnsi="Times New Roman" w:eastAsia="宋体" w:cs="Times New Roman"/>
          <w:color w:val="auto"/>
          <w:kern w:val="2"/>
          <w:sz w:val="24"/>
          <w:szCs w:val="24"/>
          <w:highlight w:val="none"/>
          <w:lang w:val="en-US" w:eastAsia="zh-CN" w:bidi="ar-SA"/>
        </w:rPr>
        <w:t>h</w:t>
      </w:r>
      <w:r>
        <w:rPr>
          <w:rFonts w:hint="eastAsia" w:ascii="Times New Roman" w:hAnsi="Times New Roman" w:eastAsia="宋体" w:cs="Times New Roman"/>
          <w:color w:val="auto"/>
          <w:kern w:val="2"/>
          <w:sz w:val="24"/>
          <w:szCs w:val="24"/>
          <w:highlight w:val="none"/>
          <w:lang w:val="en-US" w:eastAsia="zh-CN" w:bidi="ar-SA"/>
        </w:rPr>
        <w:t>，年利用小时数2880h</w:t>
      </w:r>
      <w:r>
        <w:rPr>
          <w:rFonts w:hint="default" w:ascii="Times New Roman" w:hAnsi="Times New Roman" w:eastAsia="宋体" w:cs="Times New Roman"/>
          <w:color w:val="auto"/>
          <w:kern w:val="2"/>
          <w:sz w:val="24"/>
          <w:szCs w:val="24"/>
          <w:highlight w:val="none"/>
          <w:lang w:val="en-US" w:eastAsia="zh-CN" w:bidi="ar-SA"/>
        </w:rPr>
        <w:t>。小时最大耗煤量为</w:t>
      </w:r>
      <w:r>
        <w:rPr>
          <w:rFonts w:hint="eastAsia" w:ascii="Times New Roman" w:hAnsi="Times New Roman" w:eastAsia="宋体" w:cs="Times New Roman"/>
          <w:color w:val="auto"/>
          <w:kern w:val="2"/>
          <w:sz w:val="24"/>
          <w:szCs w:val="24"/>
          <w:highlight w:val="none"/>
          <w:lang w:val="en-US" w:eastAsia="zh-CN" w:bidi="ar-SA"/>
        </w:rPr>
        <w:t>17.23</w:t>
      </w:r>
      <w:r>
        <w:rPr>
          <w:rFonts w:hint="default" w:ascii="Times New Roman" w:hAnsi="Times New Roman" w:eastAsia="宋体" w:cs="Times New Roman"/>
          <w:color w:val="auto"/>
          <w:kern w:val="2"/>
          <w:sz w:val="24"/>
          <w:szCs w:val="24"/>
          <w:highlight w:val="none"/>
          <w:lang w:val="en-US" w:eastAsia="zh-CN" w:bidi="ar-SA"/>
        </w:rPr>
        <w:t>t/h（受环境温度影响），年耗煤量为</w:t>
      </w:r>
      <w:r>
        <w:rPr>
          <w:rFonts w:hint="eastAsia" w:ascii="Times New Roman" w:hAnsi="Times New Roman" w:eastAsia="宋体" w:cs="Times New Roman"/>
          <w:color w:val="auto"/>
          <w:kern w:val="2"/>
          <w:sz w:val="24"/>
          <w:szCs w:val="24"/>
          <w:highlight w:val="none"/>
          <w:lang w:val="en-US" w:eastAsia="zh-CN" w:bidi="ar-SA"/>
        </w:rPr>
        <w:t>49622.4</w:t>
      </w:r>
      <w:r>
        <w:rPr>
          <w:rFonts w:hint="default" w:ascii="Times New Roman" w:hAnsi="Times New Roman" w:eastAsia="宋体" w:cs="Times New Roman"/>
          <w:color w:val="auto"/>
          <w:kern w:val="2"/>
          <w:sz w:val="24"/>
          <w:szCs w:val="24"/>
          <w:highlight w:val="none"/>
          <w:lang w:val="en-US" w:eastAsia="zh-CN" w:bidi="ar-SA"/>
        </w:rPr>
        <w:t>t。</w:t>
      </w:r>
    </w:p>
    <w:p w14:paraId="67DB480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锅炉燃烧产生的烟气中，废气污染物包括SO</w:t>
      </w:r>
      <w:r>
        <w:rPr>
          <w:rFonts w:hint="default" w:ascii="Times New Roman" w:hAnsi="Times New Roman" w:eastAsia="宋体" w:cs="Times New Roman"/>
          <w:color w:val="auto"/>
          <w:kern w:val="2"/>
          <w:sz w:val="24"/>
          <w:szCs w:val="24"/>
          <w:highlight w:val="none"/>
          <w:vertAlign w:val="subscript"/>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、NO</w:t>
      </w:r>
      <w:r>
        <w:rPr>
          <w:rFonts w:hint="default" w:ascii="Times New Roman" w:hAnsi="Times New Roman" w:eastAsia="宋体" w:cs="Times New Roman"/>
          <w:color w:val="auto"/>
          <w:kern w:val="2"/>
          <w:sz w:val="24"/>
          <w:szCs w:val="24"/>
          <w:highlight w:val="none"/>
          <w:vertAlign w:val="subscript"/>
          <w:lang w:val="en-US" w:eastAsia="zh-CN" w:bidi="ar-SA"/>
        </w:rPr>
        <w:t>x</w:t>
      </w:r>
      <w:r>
        <w:rPr>
          <w:rFonts w:hint="default" w:ascii="Times New Roman" w:hAnsi="Times New Roman" w:eastAsia="宋体" w:cs="Times New Roman"/>
          <w:color w:val="auto"/>
          <w:kern w:val="2"/>
          <w:sz w:val="24"/>
          <w:szCs w:val="24"/>
          <w:highlight w:val="none"/>
          <w:lang w:val="en-US" w:eastAsia="zh-CN" w:bidi="ar-SA"/>
        </w:rPr>
        <w:t xml:space="preserve">、颗粒物、汞及其化合物。本项目拟采取的锅炉烟气环境保护措施如下： </w:t>
      </w:r>
    </w:p>
    <w:p w14:paraId="035F92D4">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除尘：布袋除尘器，除尘效率可达99</w:t>
      </w:r>
      <w:r>
        <w:rPr>
          <w:rFonts w:hint="eastAsia" w:ascii="Times New Roman" w:hAnsi="Times New Roman" w:eastAsia="宋体" w:cs="Times New Roman"/>
          <w:color w:val="auto"/>
          <w:kern w:val="2"/>
          <w:sz w:val="24"/>
          <w:szCs w:val="24"/>
          <w:highlight w:val="none"/>
          <w:lang w:val="en-US" w:eastAsia="zh-CN" w:bidi="ar-SA"/>
        </w:rPr>
        <w:t>.8</w:t>
      </w:r>
      <w:r>
        <w:rPr>
          <w:rFonts w:hint="default" w:ascii="Times New Roman" w:hAnsi="Times New Roman" w:eastAsia="宋体" w:cs="Times New Roman"/>
          <w:color w:val="auto"/>
          <w:kern w:val="2"/>
          <w:sz w:val="24"/>
          <w:szCs w:val="24"/>
          <w:highlight w:val="none"/>
          <w:lang w:val="en-US" w:eastAsia="zh-CN" w:bidi="ar-SA"/>
        </w:rPr>
        <w:t>%。</w:t>
      </w:r>
    </w:p>
    <w:p w14:paraId="35DA90F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脱硝：SNCR-SCR联合脱硝，脱硝效率</w:t>
      </w:r>
      <w:r>
        <w:rPr>
          <w:rFonts w:hint="eastAsia" w:ascii="Times New Roman" w:hAnsi="Times New Roman" w:eastAsia="宋体" w:cs="Times New Roman"/>
          <w:color w:val="auto"/>
          <w:kern w:val="2"/>
          <w:sz w:val="24"/>
          <w:szCs w:val="24"/>
          <w:highlight w:val="none"/>
          <w:lang w:val="en-US" w:eastAsia="zh-CN" w:bidi="ar-SA"/>
        </w:rPr>
        <w:t>65</w:t>
      </w:r>
      <w:r>
        <w:rPr>
          <w:rFonts w:hint="default" w:ascii="Times New Roman" w:hAnsi="Times New Roman" w:eastAsia="宋体"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w:t>
      </w:r>
    </w:p>
    <w:p w14:paraId="377D71A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 xml:space="preserve">脱硫：氧化镁法烟气脱硫，脱硫效率可达90%。 </w:t>
      </w:r>
    </w:p>
    <w:p w14:paraId="132B114A">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本项目产生的SO</w:t>
      </w:r>
      <w:r>
        <w:rPr>
          <w:rFonts w:hint="default" w:ascii="Times New Roman" w:hAnsi="Times New Roman" w:eastAsia="宋体" w:cs="Times New Roman"/>
          <w:color w:val="auto"/>
          <w:kern w:val="2"/>
          <w:sz w:val="24"/>
          <w:szCs w:val="24"/>
          <w:highlight w:val="none"/>
          <w:vertAlign w:val="subscript"/>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、NO</w:t>
      </w:r>
      <w:r>
        <w:rPr>
          <w:rFonts w:hint="default" w:ascii="Times New Roman" w:hAnsi="Times New Roman" w:eastAsia="宋体" w:cs="Times New Roman"/>
          <w:color w:val="auto"/>
          <w:kern w:val="2"/>
          <w:sz w:val="24"/>
          <w:szCs w:val="24"/>
          <w:highlight w:val="none"/>
          <w:vertAlign w:val="subscript"/>
          <w:lang w:val="en-US" w:eastAsia="zh-CN" w:bidi="ar-SA"/>
        </w:rPr>
        <w:t>x</w:t>
      </w:r>
      <w:r>
        <w:rPr>
          <w:rFonts w:hint="default" w:ascii="Times New Roman" w:hAnsi="Times New Roman" w:eastAsia="宋体" w:cs="Times New Roman"/>
          <w:color w:val="auto"/>
          <w:kern w:val="2"/>
          <w:sz w:val="24"/>
          <w:szCs w:val="24"/>
          <w:highlight w:val="none"/>
          <w:lang w:val="en-US" w:eastAsia="zh-CN" w:bidi="ar-SA"/>
        </w:rPr>
        <w:t xml:space="preserve">、颗粒物和汞及其化合物源强核算根据《污染源源强核算技术指南 </w:t>
      </w:r>
      <w:r>
        <w:rPr>
          <w:rFonts w:hint="eastAsia" w:ascii="Times New Roman" w:hAnsi="Times New Roman" w:eastAsia="宋体" w:cs="Times New Roman"/>
          <w:color w:val="auto"/>
          <w:kern w:val="2"/>
          <w:sz w:val="24"/>
          <w:szCs w:val="24"/>
          <w:highlight w:val="none"/>
          <w:lang w:val="en-US" w:eastAsia="zh-CN" w:bidi="ar-SA"/>
        </w:rPr>
        <w:t xml:space="preserve"> </w:t>
      </w:r>
      <w:r>
        <w:rPr>
          <w:rFonts w:hint="default" w:ascii="Times New Roman" w:hAnsi="Times New Roman" w:eastAsia="宋体" w:cs="Times New Roman"/>
          <w:color w:val="auto"/>
          <w:kern w:val="2"/>
          <w:sz w:val="24"/>
          <w:szCs w:val="24"/>
          <w:highlight w:val="none"/>
          <w:lang w:val="en-US" w:eastAsia="zh-CN" w:bidi="ar-SA"/>
        </w:rPr>
        <w:t>锅炉》（HJ991-2018）进行计算，计算过程如下：</w:t>
      </w:r>
    </w:p>
    <w:p w14:paraId="7AC88783">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①烟气量计算</w:t>
      </w:r>
    </w:p>
    <w:p w14:paraId="07C8161D">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理论空气量：</w:t>
      </w:r>
    </w:p>
    <w:p w14:paraId="54BECDB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drawing>
          <wp:inline distT="0" distB="0" distL="114300" distR="114300">
            <wp:extent cx="4175760" cy="299085"/>
            <wp:effectExtent l="0" t="0" r="2540" b="5715"/>
            <wp:docPr id="4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3"/>
                    <pic:cNvPicPr>
                      <a:picLocks noChangeAspect="1"/>
                    </pic:cNvPicPr>
                  </pic:nvPicPr>
                  <pic:blipFill>
                    <a:blip r:embed="rId59"/>
                    <a:srcRect b="81369"/>
                    <a:stretch>
                      <a:fillRect/>
                    </a:stretch>
                  </pic:blipFill>
                  <pic:spPr>
                    <a:xfrm>
                      <a:off x="0" y="0"/>
                      <a:ext cx="4175760" cy="299085"/>
                    </a:xfrm>
                    <a:prstGeom prst="rect">
                      <a:avLst/>
                    </a:prstGeom>
                    <a:noFill/>
                    <a:ln>
                      <a:noFill/>
                    </a:ln>
                  </pic:spPr>
                </pic:pic>
              </a:graphicData>
            </a:graphic>
          </wp:inline>
        </w:drawing>
      </w:r>
    </w:p>
    <w:p w14:paraId="78F587BE">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式中：V</w:t>
      </w:r>
      <w:r>
        <w:rPr>
          <w:rFonts w:hint="default" w:ascii="Times New Roman" w:hAnsi="Times New Roman" w:eastAsia="宋体" w:cs="Times New Roman"/>
          <w:color w:val="auto"/>
          <w:vertAlign w:val="subscript"/>
          <w:lang w:val="en-US" w:eastAsia="zh-CN"/>
        </w:rPr>
        <w:t>0</w:t>
      </w:r>
      <w:r>
        <w:rPr>
          <w:rFonts w:hint="default" w:ascii="Times New Roman" w:hAnsi="Times New Roman" w:eastAsia="宋体" w:cs="Times New Roman"/>
          <w:color w:val="auto"/>
          <w:lang w:val="en-US" w:eastAsia="zh-CN"/>
        </w:rPr>
        <w:t>—理论空气量，m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 xml:space="preserve">/kg； </w:t>
      </w:r>
    </w:p>
    <w:p w14:paraId="461B2562">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C</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—收到基碳的质量分数，%；取</w:t>
      </w:r>
      <w:r>
        <w:rPr>
          <w:rFonts w:hint="eastAsia" w:ascii="Times New Roman" w:hAnsi="Times New Roman" w:eastAsia="宋体" w:cs="Times New Roman"/>
          <w:color w:val="auto"/>
          <w:lang w:val="en-US" w:eastAsia="zh-CN"/>
        </w:rPr>
        <w:t>36.20</w:t>
      </w:r>
      <w:r>
        <w:rPr>
          <w:rFonts w:hint="default" w:ascii="Times New Roman" w:hAnsi="Times New Roman" w:eastAsia="宋体" w:cs="Times New Roman"/>
          <w:color w:val="auto"/>
          <w:lang w:val="en-US" w:eastAsia="zh-CN"/>
        </w:rPr>
        <w:t xml:space="preserve">。 </w:t>
      </w:r>
    </w:p>
    <w:p w14:paraId="400E56D5">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S</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—收到基硫的质量分数，%；取</w:t>
      </w:r>
      <w:r>
        <w:rPr>
          <w:rFonts w:hint="eastAsia" w:ascii="Times New Roman" w:hAnsi="Times New Roman" w:eastAsia="宋体" w:cs="Times New Roman"/>
          <w:color w:val="auto"/>
          <w:lang w:val="en-US" w:eastAsia="zh-CN"/>
        </w:rPr>
        <w:t>0.15</w:t>
      </w:r>
      <w:r>
        <w:rPr>
          <w:rFonts w:hint="default" w:ascii="Times New Roman" w:hAnsi="Times New Roman" w:eastAsia="宋体" w:cs="Times New Roman"/>
          <w:color w:val="auto"/>
          <w:lang w:val="en-US" w:eastAsia="zh-CN"/>
        </w:rPr>
        <w:t xml:space="preserve">。 </w:t>
      </w:r>
    </w:p>
    <w:p w14:paraId="3FF7EEDA">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H</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—收到基氢的质量分数，%；取</w:t>
      </w:r>
      <w:r>
        <w:rPr>
          <w:rFonts w:hint="eastAsia" w:ascii="Times New Roman" w:hAnsi="Times New Roman" w:eastAsia="宋体" w:cs="Times New Roman"/>
          <w:color w:val="auto"/>
          <w:lang w:val="en-US" w:eastAsia="zh-CN"/>
        </w:rPr>
        <w:t>2.60</w:t>
      </w:r>
      <w:r>
        <w:rPr>
          <w:rFonts w:hint="default" w:ascii="Times New Roman" w:hAnsi="Times New Roman" w:eastAsia="宋体" w:cs="Times New Roman"/>
          <w:color w:val="auto"/>
          <w:lang w:val="en-US" w:eastAsia="zh-CN"/>
        </w:rPr>
        <w:t xml:space="preserve">。 </w:t>
      </w:r>
    </w:p>
    <w:p w14:paraId="39E80D70">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O</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—收到基氧的质量分数，%。取</w:t>
      </w:r>
      <w:r>
        <w:rPr>
          <w:rFonts w:hint="eastAsia" w:ascii="Times New Roman" w:hAnsi="Times New Roman" w:eastAsia="宋体" w:cs="Times New Roman"/>
          <w:color w:val="auto"/>
          <w:lang w:val="en-US" w:eastAsia="zh-CN"/>
        </w:rPr>
        <w:t>8.63</w:t>
      </w:r>
      <w:r>
        <w:rPr>
          <w:rFonts w:hint="default" w:ascii="Times New Roman" w:hAnsi="Times New Roman" w:eastAsia="宋体" w:cs="Times New Roman"/>
          <w:color w:val="auto"/>
          <w:lang w:val="en-US" w:eastAsia="zh-CN"/>
        </w:rPr>
        <w:t>。</w:t>
      </w:r>
    </w:p>
    <w:p w14:paraId="099F7DCA">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lang w:val="en-US" w:eastAsia="zh-CN"/>
        </w:rPr>
        <w:t>烟气排放量：</w:t>
      </w:r>
    </w:p>
    <w:p w14:paraId="4E6CA86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drawing>
          <wp:inline distT="0" distB="0" distL="114300" distR="114300">
            <wp:extent cx="2778125" cy="448945"/>
            <wp:effectExtent l="0" t="0" r="3175" b="8255"/>
            <wp:docPr id="3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4"/>
                    <pic:cNvPicPr>
                      <a:picLocks noChangeAspect="1"/>
                    </pic:cNvPicPr>
                  </pic:nvPicPr>
                  <pic:blipFill>
                    <a:blip r:embed="rId60"/>
                    <a:srcRect r="9518" b="27222"/>
                    <a:stretch>
                      <a:fillRect/>
                    </a:stretch>
                  </pic:blipFill>
                  <pic:spPr>
                    <a:xfrm>
                      <a:off x="0" y="0"/>
                      <a:ext cx="2778125" cy="448945"/>
                    </a:xfrm>
                    <a:prstGeom prst="rect">
                      <a:avLst/>
                    </a:prstGeom>
                    <a:noFill/>
                    <a:ln>
                      <a:noFill/>
                    </a:ln>
                  </pic:spPr>
                </pic:pic>
              </a:graphicData>
            </a:graphic>
          </wp:inline>
        </w:drawing>
      </w:r>
    </w:p>
    <w:p w14:paraId="29BE3ED1">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 xml:space="preserve">          </w:t>
      </w:r>
      <w:r>
        <w:rPr>
          <w:rFonts w:hint="default" w:ascii="Times New Roman" w:hAnsi="Times New Roman" w:eastAsia="宋体" w:cs="Times New Roman"/>
          <w:color w:val="auto"/>
        </w:rPr>
        <w:drawing>
          <wp:inline distT="0" distB="0" distL="114300" distR="114300">
            <wp:extent cx="3268980" cy="1376680"/>
            <wp:effectExtent l="0" t="0" r="7620" b="7620"/>
            <wp:docPr id="5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61"/>
                    <a:stretch>
                      <a:fillRect/>
                    </a:stretch>
                  </pic:blipFill>
                  <pic:spPr>
                    <a:xfrm>
                      <a:off x="0" y="0"/>
                      <a:ext cx="3268980" cy="1376680"/>
                    </a:xfrm>
                    <a:prstGeom prst="rect">
                      <a:avLst/>
                    </a:prstGeom>
                    <a:noFill/>
                    <a:ln>
                      <a:noFill/>
                    </a:ln>
                  </pic:spPr>
                </pic:pic>
              </a:graphicData>
            </a:graphic>
          </wp:inline>
        </w:drawing>
      </w:r>
    </w:p>
    <w:p w14:paraId="55F878BB">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式中：V</w:t>
      </w:r>
      <w:r>
        <w:rPr>
          <w:rFonts w:hint="default" w:ascii="Times New Roman" w:hAnsi="Times New Roman" w:eastAsia="宋体" w:cs="Times New Roman"/>
          <w:color w:val="auto"/>
          <w:vertAlign w:val="subscript"/>
          <w:lang w:val="en-US" w:eastAsia="zh-CN"/>
        </w:rPr>
        <w:t>RO2</w:t>
      </w:r>
      <w:r>
        <w:rPr>
          <w:rFonts w:hint="default" w:ascii="Times New Roman" w:hAnsi="Times New Roman" w:eastAsia="宋体" w:cs="Times New Roman"/>
          <w:color w:val="auto"/>
          <w:lang w:val="en-US" w:eastAsia="zh-CN"/>
        </w:rPr>
        <w:t>——烟气中二氧化碳（V</w:t>
      </w:r>
      <w:r>
        <w:rPr>
          <w:rFonts w:hint="default" w:ascii="Times New Roman" w:hAnsi="Times New Roman" w:eastAsia="宋体" w:cs="Times New Roman"/>
          <w:color w:val="auto"/>
          <w:vertAlign w:val="subscript"/>
          <w:lang w:val="en-US" w:eastAsia="zh-CN"/>
        </w:rPr>
        <w:t>CO2</w:t>
      </w:r>
      <w:r>
        <w:rPr>
          <w:rFonts w:hint="default" w:ascii="Times New Roman" w:hAnsi="Times New Roman" w:eastAsia="宋体" w:cs="Times New Roman"/>
          <w:color w:val="auto"/>
          <w:lang w:val="en-US" w:eastAsia="zh-CN"/>
        </w:rPr>
        <w:t>）和二氧化硫（V</w:t>
      </w:r>
      <w:r>
        <w:rPr>
          <w:rFonts w:hint="default" w:ascii="Times New Roman" w:hAnsi="Times New Roman" w:eastAsia="宋体" w:cs="Times New Roman"/>
          <w:color w:val="auto"/>
          <w:vertAlign w:val="subscript"/>
          <w:lang w:val="en-US" w:eastAsia="zh-CN"/>
        </w:rPr>
        <w:t>SO2</w:t>
      </w:r>
      <w:r>
        <w:rPr>
          <w:rFonts w:hint="default" w:ascii="Times New Roman" w:hAnsi="Times New Roman" w:eastAsia="宋体" w:cs="Times New Roman"/>
          <w:color w:val="auto"/>
          <w:lang w:val="en-US" w:eastAsia="zh-CN"/>
        </w:rPr>
        <w:t>）容积之和，m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 xml:space="preserve">/kg； </w:t>
      </w:r>
    </w:p>
    <w:p w14:paraId="5868EEE8">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C</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——收到基碳的质量分数，%；取</w:t>
      </w:r>
      <w:r>
        <w:rPr>
          <w:rFonts w:hint="eastAsia" w:ascii="Times New Roman" w:hAnsi="Times New Roman" w:eastAsia="宋体" w:cs="Times New Roman"/>
          <w:color w:val="auto"/>
          <w:lang w:val="en-US" w:eastAsia="zh-CN"/>
        </w:rPr>
        <w:t>36.20</w:t>
      </w:r>
      <w:r>
        <w:rPr>
          <w:rFonts w:hint="default" w:ascii="Times New Roman" w:hAnsi="Times New Roman" w:eastAsia="宋体" w:cs="Times New Roman"/>
          <w:color w:val="auto"/>
          <w:lang w:val="en-US" w:eastAsia="zh-CN"/>
        </w:rPr>
        <w:t xml:space="preserve">。 </w:t>
      </w:r>
    </w:p>
    <w:p w14:paraId="0C630A01">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S</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——收到基硫的质量分数，%；取</w:t>
      </w:r>
      <w:r>
        <w:rPr>
          <w:rFonts w:hint="eastAsia" w:ascii="Times New Roman" w:hAnsi="Times New Roman" w:eastAsia="宋体" w:cs="Times New Roman"/>
          <w:color w:val="auto"/>
          <w:lang w:val="en-US" w:eastAsia="zh-CN"/>
        </w:rPr>
        <w:t>0.15</w:t>
      </w:r>
      <w:r>
        <w:rPr>
          <w:rFonts w:hint="default" w:ascii="Times New Roman" w:hAnsi="Times New Roman" w:eastAsia="宋体" w:cs="Times New Roman"/>
          <w:color w:val="auto"/>
          <w:lang w:val="en-US" w:eastAsia="zh-CN"/>
        </w:rPr>
        <w:t xml:space="preserve">。 </w:t>
      </w:r>
    </w:p>
    <w:p w14:paraId="3CB5A2A3">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V</w:t>
      </w:r>
      <w:r>
        <w:rPr>
          <w:rFonts w:hint="default" w:ascii="Times New Roman" w:hAnsi="Times New Roman" w:eastAsia="宋体" w:cs="Times New Roman"/>
          <w:color w:val="auto"/>
          <w:vertAlign w:val="subscript"/>
          <w:lang w:val="en-US" w:eastAsia="zh-CN"/>
        </w:rPr>
        <w:t>N2</w:t>
      </w:r>
      <w:r>
        <w:rPr>
          <w:rFonts w:hint="default" w:ascii="Times New Roman" w:hAnsi="Times New Roman" w:eastAsia="宋体" w:cs="Times New Roman"/>
          <w:color w:val="auto"/>
          <w:lang w:val="en-US" w:eastAsia="zh-CN"/>
        </w:rPr>
        <w:t>——烟气中氮气量，m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 xml:space="preserve">/kg； </w:t>
      </w:r>
    </w:p>
    <w:p w14:paraId="765655E7">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N</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——收到基氮的质量分数，%；取</w:t>
      </w:r>
      <w:r>
        <w:rPr>
          <w:rFonts w:hint="eastAsia" w:ascii="Times New Roman" w:hAnsi="Times New Roman" w:eastAsia="宋体" w:cs="Times New Roman"/>
          <w:color w:val="auto"/>
          <w:lang w:val="en-US" w:eastAsia="zh-CN"/>
        </w:rPr>
        <w:t>0.98</w:t>
      </w:r>
      <w:r>
        <w:rPr>
          <w:rFonts w:hint="default" w:ascii="Times New Roman" w:hAnsi="Times New Roman" w:eastAsia="宋体" w:cs="Times New Roman"/>
          <w:color w:val="auto"/>
          <w:lang w:val="en-US" w:eastAsia="zh-CN"/>
        </w:rPr>
        <w:t xml:space="preserve">。 </w:t>
      </w:r>
    </w:p>
    <w:p w14:paraId="49F08B91">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V</w:t>
      </w:r>
      <w:r>
        <w:rPr>
          <w:rFonts w:hint="default" w:ascii="Times New Roman" w:hAnsi="Times New Roman" w:eastAsia="宋体" w:cs="Times New Roman"/>
          <w:color w:val="auto"/>
          <w:vertAlign w:val="subscript"/>
          <w:lang w:val="en-US" w:eastAsia="zh-CN"/>
        </w:rPr>
        <w:t>0</w:t>
      </w:r>
      <w:r>
        <w:rPr>
          <w:rFonts w:hint="default" w:ascii="Times New Roman" w:hAnsi="Times New Roman" w:eastAsia="宋体" w:cs="Times New Roman"/>
          <w:color w:val="auto"/>
          <w:lang w:val="en-US" w:eastAsia="zh-CN"/>
        </w:rPr>
        <w:t>——理论空气量，m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 xml:space="preserve">/kg； </w:t>
      </w:r>
    </w:p>
    <w:p w14:paraId="0435126B">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 xml:space="preserve">α——过量空气系数，燃料燃烧时实际空气供给量与理论空气需要量之比值，燃煤锅炉、燃油锅炉及燃气锅炉的规定过量空气系数分别为1.75、1.2，对应基准氧含量分别为9%、3.5%；取1.75。 </w:t>
      </w:r>
    </w:p>
    <w:p w14:paraId="3B6CA521">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Vg——干烟气排放量，m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/kg。</w:t>
      </w:r>
    </w:p>
    <w:p w14:paraId="207E26AD">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Mar</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收到基水分的质量分数，%，本项目为12.0。</w:t>
      </w:r>
    </w:p>
    <w:p w14:paraId="65D8B947">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Vs—湿烟气排放量，m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/kg；</w:t>
      </w:r>
    </w:p>
    <w:p w14:paraId="50FAB2BD">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V</w:t>
      </w:r>
      <w:r>
        <w:rPr>
          <w:rFonts w:hint="eastAsia" w:ascii="Times New Roman" w:hAnsi="Times New Roman" w:eastAsia="宋体" w:cs="Times New Roman"/>
          <w:color w:val="auto"/>
          <w:vertAlign w:val="subscript"/>
          <w:lang w:val="en-US" w:eastAsia="zh-CN"/>
        </w:rPr>
        <w:t>H2O</w:t>
      </w:r>
      <w:r>
        <w:rPr>
          <w:rFonts w:hint="eastAsia" w:ascii="Times New Roman" w:hAnsi="Times New Roman" w:eastAsia="宋体" w:cs="Times New Roman"/>
          <w:color w:val="auto"/>
          <w:lang w:val="en-US" w:eastAsia="zh-CN"/>
        </w:rPr>
        <w:t>——烟气中水蒸气量，m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/kg；</w:t>
      </w:r>
    </w:p>
    <w:p w14:paraId="1FC3CC47">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G</w:t>
      </w:r>
      <w:r>
        <w:rPr>
          <w:rFonts w:hint="eastAsia" w:ascii="Times New Roman" w:hAnsi="Times New Roman" w:eastAsia="宋体" w:cs="Times New Roman"/>
          <w:color w:val="auto"/>
          <w:vertAlign w:val="subscript"/>
          <w:lang w:val="en-US" w:eastAsia="zh-CN"/>
        </w:rPr>
        <w:t>wh</w:t>
      </w:r>
      <w:r>
        <w:rPr>
          <w:rFonts w:hint="eastAsia" w:ascii="Times New Roman" w:hAnsi="Times New Roman" w:eastAsia="宋体" w:cs="Times New Roman"/>
          <w:color w:val="auto"/>
          <w:lang w:val="en-US" w:eastAsia="zh-CN"/>
        </w:rPr>
        <w:t>─雾化燃油时消耗的蒸汽量，kg/kg，本次评价取0；</w:t>
      </w:r>
    </w:p>
    <w:p w14:paraId="1D11E4B8">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经计算，本项目</w:t>
      </w:r>
      <w:r>
        <w:rPr>
          <w:rFonts w:hint="eastAsia" w:ascii="Times New Roman" w:hAnsi="Times New Roman" w:eastAsia="宋体" w:cs="Times New Roman"/>
          <w:color w:val="auto"/>
          <w:lang w:val="en-US" w:eastAsia="zh-CN"/>
        </w:rPr>
        <w:t>理论空气量</w:t>
      </w:r>
      <w:r>
        <w:rPr>
          <w:rFonts w:hint="default" w:ascii="Times New Roman" w:hAnsi="Times New Roman" w:eastAsia="宋体" w:cs="Times New Roman"/>
          <w:color w:val="auto"/>
          <w:lang w:val="en-US" w:eastAsia="zh-CN"/>
        </w:rPr>
        <w:t>V</w:t>
      </w:r>
      <w:r>
        <w:rPr>
          <w:rFonts w:hint="default" w:ascii="Times New Roman" w:hAnsi="Times New Roman" w:eastAsia="宋体" w:cs="Times New Roman"/>
          <w:color w:val="auto"/>
          <w:vertAlign w:val="subscript"/>
          <w:lang w:val="en-US" w:eastAsia="zh-CN"/>
        </w:rPr>
        <w:t>0</w:t>
      </w:r>
      <w:r>
        <w:rPr>
          <w:rFonts w:hint="eastAsia" w:ascii="Times New Roman" w:hAnsi="Times New Roman" w:eastAsia="宋体" w:cs="Times New Roman"/>
          <w:color w:val="auto"/>
          <w:lang w:val="en-US" w:eastAsia="zh-CN"/>
        </w:rPr>
        <w:t>为3.625m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/kg，</w:t>
      </w:r>
      <w:r>
        <w:rPr>
          <w:rFonts w:hint="default" w:ascii="Times New Roman" w:hAnsi="Times New Roman" w:eastAsia="宋体" w:cs="Times New Roman"/>
          <w:color w:val="auto"/>
          <w:lang w:val="en-US" w:eastAsia="zh-CN"/>
        </w:rPr>
        <w:t>干烟气量Vg为</w:t>
      </w:r>
      <w:r>
        <w:rPr>
          <w:rFonts w:hint="eastAsia" w:ascii="Times New Roman" w:hAnsi="Times New Roman" w:eastAsia="宋体" w:cs="Times New Roman"/>
          <w:color w:val="auto"/>
          <w:lang w:val="en-US" w:eastAsia="zh-CN"/>
        </w:rPr>
        <w:t>6.267</w:t>
      </w:r>
      <w:r>
        <w:rPr>
          <w:rFonts w:hint="default" w:ascii="Times New Roman" w:hAnsi="Times New Roman" w:eastAsia="宋体" w:cs="Times New Roman"/>
          <w:color w:val="auto"/>
          <w:lang w:val="en-US" w:eastAsia="zh-CN"/>
        </w:rPr>
        <w:t>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/kg，</w:t>
      </w:r>
      <w:r>
        <w:rPr>
          <w:rFonts w:hint="eastAsia" w:ascii="Times New Roman" w:hAnsi="Times New Roman" w:eastAsia="宋体" w:cs="Times New Roman"/>
          <w:color w:val="auto"/>
          <w:lang w:val="en-US" w:eastAsia="zh-CN"/>
        </w:rPr>
        <w:t>湿烟气量Vs为6.807m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/kg，</w:t>
      </w:r>
      <w:r>
        <w:rPr>
          <w:rFonts w:hint="default" w:ascii="Times New Roman" w:hAnsi="Times New Roman" w:eastAsia="宋体" w:cs="Times New Roman"/>
          <w:color w:val="auto"/>
          <w:lang w:val="en-US" w:eastAsia="zh-CN"/>
        </w:rPr>
        <w:t>锅炉燃料最大消耗量为</w:t>
      </w:r>
      <w:r>
        <w:rPr>
          <w:rFonts w:hint="eastAsia" w:ascii="Times New Roman" w:hAnsi="Times New Roman" w:eastAsia="宋体" w:cs="Times New Roman"/>
          <w:color w:val="auto"/>
          <w:lang w:val="en-US" w:eastAsia="zh-CN"/>
        </w:rPr>
        <w:t>17.23</w:t>
      </w:r>
      <w:r>
        <w:rPr>
          <w:rFonts w:hint="default" w:ascii="Times New Roman" w:hAnsi="Times New Roman" w:eastAsia="宋体" w:cs="Times New Roman"/>
          <w:color w:val="auto"/>
          <w:lang w:val="en-US" w:eastAsia="zh-CN"/>
        </w:rPr>
        <w:t>t/h，则</w:t>
      </w:r>
      <w:r>
        <w:rPr>
          <w:rFonts w:hint="eastAsia" w:ascii="Times New Roman" w:hAnsi="Times New Roman" w:eastAsia="宋体" w:cs="Times New Roman"/>
          <w:color w:val="auto"/>
          <w:lang w:val="en-US" w:eastAsia="zh-CN"/>
        </w:rPr>
        <w:t>干</w:t>
      </w:r>
      <w:r>
        <w:rPr>
          <w:rFonts w:hint="default" w:ascii="Times New Roman" w:hAnsi="Times New Roman" w:eastAsia="宋体" w:cs="Times New Roman"/>
          <w:color w:val="auto"/>
          <w:lang w:val="en-US" w:eastAsia="zh-CN"/>
        </w:rPr>
        <w:t>烟气量为</w:t>
      </w:r>
      <w:r>
        <w:rPr>
          <w:rFonts w:hint="eastAsia" w:ascii="Times New Roman" w:hAnsi="Times New Roman" w:eastAsia="宋体" w:cs="Times New Roman"/>
          <w:color w:val="auto"/>
          <w:lang w:val="en-US" w:eastAsia="zh-CN"/>
        </w:rPr>
        <w:t>107980.41</w:t>
      </w:r>
      <w:r>
        <w:rPr>
          <w:rFonts w:hint="default" w:ascii="Times New Roman" w:hAnsi="Times New Roman" w:eastAsia="宋体" w:cs="Times New Roman"/>
          <w:color w:val="auto"/>
          <w:lang w:val="en-US" w:eastAsia="zh-CN"/>
        </w:rPr>
        <w:t>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/h</w:t>
      </w:r>
      <w:r>
        <w:rPr>
          <w:rFonts w:hint="eastAsia" w:ascii="Times New Roman" w:hAnsi="Times New Roman" w:eastAsia="宋体" w:cs="Times New Roman"/>
          <w:color w:val="auto"/>
          <w:lang w:val="en-US" w:eastAsia="zh-CN"/>
        </w:rPr>
        <w:t>，湿烟气量为117284.61m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/h。</w:t>
      </w:r>
    </w:p>
    <w:p w14:paraId="2731B7B1">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②颗粒物排放量</w:t>
      </w:r>
    </w:p>
    <w:p w14:paraId="71401DE9">
      <w:pPr>
        <w:snapToGrid w:val="0"/>
        <w:spacing w:line="240" w:lineRule="auto"/>
        <w:ind w:firstLine="480" w:firstLineChars="20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drawing>
          <wp:inline distT="0" distB="0" distL="114300" distR="114300">
            <wp:extent cx="2262505" cy="737870"/>
            <wp:effectExtent l="0" t="0" r="10795" b="11430"/>
            <wp:docPr id="4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6"/>
                    <pic:cNvPicPr>
                      <a:picLocks noChangeAspect="1"/>
                    </pic:cNvPicPr>
                  </pic:nvPicPr>
                  <pic:blipFill>
                    <a:blip r:embed="rId62"/>
                    <a:stretch>
                      <a:fillRect/>
                    </a:stretch>
                  </pic:blipFill>
                  <pic:spPr>
                    <a:xfrm>
                      <a:off x="0" y="0"/>
                      <a:ext cx="2262505" cy="737870"/>
                    </a:xfrm>
                    <a:prstGeom prst="rect">
                      <a:avLst/>
                    </a:prstGeom>
                    <a:noFill/>
                    <a:ln>
                      <a:noFill/>
                    </a:ln>
                  </pic:spPr>
                </pic:pic>
              </a:graphicData>
            </a:graphic>
          </wp:inline>
        </w:drawing>
      </w:r>
    </w:p>
    <w:p w14:paraId="26FFA034">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式中：E</w:t>
      </w:r>
      <w:r>
        <w:rPr>
          <w:rFonts w:hint="default" w:ascii="Times New Roman" w:hAnsi="Times New Roman" w:eastAsia="宋体" w:cs="Times New Roman"/>
          <w:color w:val="auto"/>
          <w:vertAlign w:val="subscript"/>
          <w:lang w:val="en-US" w:eastAsia="zh-CN"/>
        </w:rPr>
        <w:t>A</w:t>
      </w:r>
      <w:r>
        <w:rPr>
          <w:rFonts w:hint="default" w:ascii="Times New Roman" w:hAnsi="Times New Roman" w:eastAsia="宋体" w:cs="Times New Roman"/>
          <w:color w:val="auto"/>
          <w:lang w:val="en-US" w:eastAsia="zh-CN"/>
        </w:rPr>
        <w:t xml:space="preserve">——核算时段内颗粒物排放量，t/h； </w:t>
      </w:r>
    </w:p>
    <w:p w14:paraId="42E0F505">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R——核算时段内锅炉燃料耗量，t/h；取最大值</w:t>
      </w:r>
      <w:r>
        <w:rPr>
          <w:rFonts w:hint="eastAsia" w:ascii="Times New Roman" w:hAnsi="Times New Roman" w:eastAsia="宋体" w:cs="Times New Roman"/>
          <w:color w:val="auto"/>
          <w:lang w:val="en-US" w:eastAsia="zh-CN"/>
        </w:rPr>
        <w:t>17.23</w:t>
      </w:r>
      <w:r>
        <w:rPr>
          <w:rFonts w:hint="default" w:ascii="Times New Roman" w:hAnsi="Times New Roman" w:eastAsia="宋体" w:cs="Times New Roman"/>
          <w:color w:val="auto"/>
          <w:lang w:val="en-US" w:eastAsia="zh-CN"/>
        </w:rPr>
        <w:t xml:space="preserve">。 </w:t>
      </w:r>
    </w:p>
    <w:p w14:paraId="5666EAF5">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A</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——收到基灰分的质量分数，%；取</w:t>
      </w:r>
      <w:r>
        <w:rPr>
          <w:rFonts w:hint="eastAsia" w:ascii="Times New Roman" w:hAnsi="Times New Roman" w:eastAsia="宋体" w:cs="Times New Roman"/>
          <w:color w:val="auto"/>
          <w:lang w:val="en-US" w:eastAsia="zh-CN"/>
        </w:rPr>
        <w:t>39.44</w:t>
      </w:r>
      <w:r>
        <w:rPr>
          <w:rFonts w:hint="default" w:ascii="Times New Roman" w:hAnsi="Times New Roman" w:eastAsia="宋体" w:cs="Times New Roman"/>
          <w:color w:val="auto"/>
          <w:lang w:val="en-US" w:eastAsia="zh-CN"/>
        </w:rPr>
        <w:t>。</w:t>
      </w:r>
    </w:p>
    <w:p w14:paraId="1B113E64">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d</w:t>
      </w:r>
      <w:r>
        <w:rPr>
          <w:rFonts w:hint="default" w:ascii="Times New Roman" w:hAnsi="Times New Roman" w:eastAsia="宋体" w:cs="Times New Roman"/>
          <w:color w:val="auto"/>
          <w:vertAlign w:val="subscript"/>
          <w:lang w:val="en-US" w:eastAsia="zh-CN"/>
        </w:rPr>
        <w:t>fh</w:t>
      </w:r>
      <w:r>
        <w:rPr>
          <w:rFonts w:hint="default" w:ascii="Times New Roman" w:hAnsi="Times New Roman" w:eastAsia="宋体" w:cs="Times New Roman"/>
          <w:color w:val="auto"/>
          <w:lang w:val="en-US" w:eastAsia="zh-CN"/>
        </w:rPr>
        <w:t>——锅炉烟气带出的飞灰份额，%；</w:t>
      </w:r>
      <w:r>
        <w:rPr>
          <w:rFonts w:hint="default" w:ascii="Times New Roman" w:hAnsi="Times New Roman" w:eastAsia="宋体" w:cs="Times New Roman"/>
          <w:color w:val="FF0000"/>
          <w:lang w:val="en-US" w:eastAsia="zh-CN"/>
        </w:rPr>
        <w:t>根据《污染源源强核算技术指南 锅炉》（HJ991-2018）链条式炉排热水锅炉10-20，</w:t>
      </w:r>
      <w:r>
        <w:rPr>
          <w:rFonts w:hint="eastAsia" w:ascii="Times New Roman" w:hAnsi="Times New Roman" w:eastAsia="宋体" w:cs="Times New Roman"/>
          <w:color w:val="FF0000"/>
          <w:lang w:val="en-US" w:eastAsia="zh-CN"/>
        </w:rPr>
        <w:t>其中一般取值排序为煤矸石＜无烟煤、贫煤、烟煤＜褐煤，本项目选用烟煤，因此，本次综合考虑</w:t>
      </w:r>
      <w:r>
        <w:rPr>
          <w:rFonts w:hint="default" w:ascii="Times New Roman" w:hAnsi="Times New Roman" w:eastAsia="宋体" w:cs="Times New Roman"/>
          <w:color w:val="FF0000"/>
          <w:lang w:val="en-US" w:eastAsia="zh-CN"/>
        </w:rPr>
        <w:t>取15。</w:t>
      </w:r>
    </w:p>
    <w:p w14:paraId="696DD6A4">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ηc——除尘效率，%；取99.</w:t>
      </w:r>
      <w:r>
        <w:rPr>
          <w:rFonts w:hint="eastAsia" w:ascii="Times New Roman" w:hAnsi="Times New Roman" w:eastAsia="宋体" w:cs="Times New Roman"/>
          <w:color w:val="auto"/>
          <w:lang w:val="en-US" w:eastAsia="zh-CN"/>
        </w:rPr>
        <w:t>8</w:t>
      </w:r>
      <w:r>
        <w:rPr>
          <w:rFonts w:hint="default" w:ascii="Times New Roman" w:hAnsi="Times New Roman" w:eastAsia="宋体" w:cs="Times New Roman"/>
          <w:color w:val="auto"/>
          <w:lang w:val="en-US" w:eastAsia="zh-CN"/>
        </w:rPr>
        <w:t xml:space="preserve">%。 </w:t>
      </w:r>
    </w:p>
    <w:p w14:paraId="72E16718">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Cfh——飞灰中的可燃物含量，%。取</w:t>
      </w:r>
      <w:r>
        <w:rPr>
          <w:rFonts w:hint="eastAsia" w:ascii="Times New Roman" w:hAnsi="Times New Roman" w:eastAsia="宋体" w:cs="Times New Roman"/>
          <w:color w:val="auto"/>
          <w:lang w:val="en-US" w:eastAsia="zh-CN"/>
        </w:rPr>
        <w:t>16</w:t>
      </w:r>
      <w:r>
        <w:rPr>
          <w:rFonts w:hint="default" w:ascii="Times New Roman" w:hAnsi="Times New Roman" w:eastAsia="宋体" w:cs="Times New Roman"/>
          <w:color w:val="auto"/>
          <w:lang w:val="en-US" w:eastAsia="zh-CN"/>
        </w:rPr>
        <w:t>。</w:t>
      </w:r>
    </w:p>
    <w:p w14:paraId="1FE99F32">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经计算，本项目颗粒物排放量为</w:t>
      </w:r>
      <w:r>
        <w:rPr>
          <w:rFonts w:hint="eastAsia" w:ascii="Times New Roman" w:hAnsi="Times New Roman" w:eastAsia="宋体" w:cs="Times New Roman"/>
          <w:color w:val="auto"/>
          <w:lang w:val="en-US" w:eastAsia="zh-CN"/>
        </w:rPr>
        <w:t>2.427</w:t>
      </w:r>
      <w:r>
        <w:rPr>
          <w:rFonts w:hint="default" w:ascii="Times New Roman" w:hAnsi="Times New Roman" w:eastAsia="宋体" w:cs="Times New Roman"/>
          <w:color w:val="auto"/>
          <w:lang w:val="en-US" w:eastAsia="zh-CN"/>
        </w:rPr>
        <w:t>kg/h，</w:t>
      </w:r>
      <w:r>
        <w:rPr>
          <w:rFonts w:hint="eastAsia" w:ascii="Times New Roman" w:hAnsi="Times New Roman" w:eastAsia="宋体" w:cs="Times New Roman"/>
          <w:color w:val="auto"/>
          <w:lang w:val="en-US" w:eastAsia="zh-CN"/>
        </w:rPr>
        <w:t>6.990</w:t>
      </w:r>
      <w:r>
        <w:rPr>
          <w:rFonts w:hint="default" w:ascii="Times New Roman" w:hAnsi="Times New Roman" w:eastAsia="宋体" w:cs="Times New Roman"/>
          <w:color w:val="auto"/>
          <w:lang w:val="en-US" w:eastAsia="zh-CN"/>
        </w:rPr>
        <w:t>t/a。</w:t>
      </w:r>
    </w:p>
    <w:p w14:paraId="2BBA601F">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③二氧化硫排放量</w:t>
      </w:r>
    </w:p>
    <w:p w14:paraId="2534EF47">
      <w:pPr>
        <w:pStyle w:val="28"/>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drawing>
          <wp:inline distT="0" distB="0" distL="114300" distR="114300">
            <wp:extent cx="2690495" cy="448310"/>
            <wp:effectExtent l="0" t="0" r="1905" b="8890"/>
            <wp:docPr id="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7"/>
                    <pic:cNvPicPr>
                      <a:picLocks noChangeAspect="1"/>
                    </pic:cNvPicPr>
                  </pic:nvPicPr>
                  <pic:blipFill>
                    <a:blip r:embed="rId63"/>
                    <a:stretch>
                      <a:fillRect/>
                    </a:stretch>
                  </pic:blipFill>
                  <pic:spPr>
                    <a:xfrm>
                      <a:off x="0" y="0"/>
                      <a:ext cx="2690495" cy="448310"/>
                    </a:xfrm>
                    <a:prstGeom prst="rect">
                      <a:avLst/>
                    </a:prstGeom>
                    <a:noFill/>
                    <a:ln>
                      <a:noFill/>
                    </a:ln>
                  </pic:spPr>
                </pic:pic>
              </a:graphicData>
            </a:graphic>
          </wp:inline>
        </w:drawing>
      </w:r>
    </w:p>
    <w:p w14:paraId="4A610613">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式中：E</w:t>
      </w:r>
      <w:r>
        <w:rPr>
          <w:rFonts w:hint="default" w:ascii="Times New Roman" w:hAnsi="Times New Roman" w:eastAsia="宋体" w:cs="Times New Roman"/>
          <w:color w:val="auto"/>
          <w:vertAlign w:val="subscript"/>
          <w:lang w:val="en-US" w:eastAsia="zh-CN"/>
        </w:rPr>
        <w:t>SO2</w:t>
      </w:r>
      <w:r>
        <w:rPr>
          <w:rFonts w:hint="default" w:ascii="Times New Roman" w:hAnsi="Times New Roman" w:eastAsia="宋体" w:cs="Times New Roman"/>
          <w:color w:val="auto"/>
          <w:lang w:val="en-US" w:eastAsia="zh-CN"/>
        </w:rPr>
        <w:t xml:space="preserve">——核算时段内二氧化硫排放量，t/h； </w:t>
      </w:r>
    </w:p>
    <w:p w14:paraId="45ED028E">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R——核算时段内锅炉燃料耗量，t/h；取最大值</w:t>
      </w:r>
      <w:r>
        <w:rPr>
          <w:rFonts w:hint="eastAsia" w:ascii="Times New Roman" w:hAnsi="Times New Roman" w:eastAsia="宋体" w:cs="Times New Roman"/>
          <w:color w:val="auto"/>
          <w:lang w:val="en-US" w:eastAsia="zh-CN"/>
        </w:rPr>
        <w:t>17.23</w:t>
      </w:r>
      <w:r>
        <w:rPr>
          <w:rFonts w:hint="default" w:ascii="Times New Roman" w:hAnsi="Times New Roman" w:eastAsia="宋体" w:cs="Times New Roman"/>
          <w:color w:val="auto"/>
          <w:lang w:val="en-US" w:eastAsia="zh-CN"/>
        </w:rPr>
        <w:t xml:space="preserve">。 </w:t>
      </w:r>
    </w:p>
    <w:p w14:paraId="3B7564BD">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Sar——收到基硫的质量分数，%；取</w:t>
      </w:r>
      <w:r>
        <w:rPr>
          <w:rFonts w:hint="eastAsia" w:ascii="Times New Roman" w:hAnsi="Times New Roman" w:eastAsia="宋体" w:cs="Times New Roman"/>
          <w:color w:val="auto"/>
          <w:lang w:val="en-US" w:eastAsia="zh-CN"/>
        </w:rPr>
        <w:t>0.15</w:t>
      </w:r>
      <w:r>
        <w:rPr>
          <w:rFonts w:hint="default" w:ascii="Times New Roman" w:hAnsi="Times New Roman" w:eastAsia="宋体" w:cs="Times New Roman"/>
          <w:color w:val="auto"/>
          <w:lang w:val="en-US" w:eastAsia="zh-CN"/>
        </w:rPr>
        <w:t xml:space="preserve">。 </w:t>
      </w:r>
    </w:p>
    <w:p w14:paraId="11D873BC">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q</w:t>
      </w:r>
      <w:r>
        <w:rPr>
          <w:rFonts w:hint="default" w:ascii="Times New Roman" w:hAnsi="Times New Roman" w:eastAsia="宋体" w:cs="Times New Roman"/>
          <w:color w:val="auto"/>
          <w:vertAlign w:val="subscript"/>
          <w:lang w:val="en-US" w:eastAsia="zh-CN"/>
        </w:rPr>
        <w:t>4</w:t>
      </w:r>
      <w:r>
        <w:rPr>
          <w:rFonts w:hint="default" w:ascii="Times New Roman" w:hAnsi="Times New Roman" w:eastAsia="宋体" w:cs="Times New Roman"/>
          <w:color w:val="auto"/>
          <w:lang w:val="en-US" w:eastAsia="zh-CN"/>
        </w:rPr>
        <w:t xml:space="preserve">——锅炉机械不完全燃烧热损失，%；根据《污染源源强核算技术指南锅炉》（HJ991-2018）链条炉排炉取值为5-15，取10。 </w:t>
      </w:r>
    </w:p>
    <w:p w14:paraId="2C741FD6">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 xml:space="preserve">ηs——脱硫效率，%；根据《污染源源强核算技术指南 锅炉》（HJ991-2018）氧化镁法脱硫效率为90-99，取90。 </w:t>
      </w:r>
    </w:p>
    <w:p w14:paraId="285F13F3">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 xml:space="preserve">K——燃料中的硫燃烧后氧化成二氧化硫的份额，量纲一的量；根据《污染源源强核算技术指南 锅炉》（HJ991-2018）层燃炉为0.80-0.85，取0.85。 </w:t>
      </w:r>
    </w:p>
    <w:p w14:paraId="1608A933">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经计算，本项目二氧化硫排放量为</w:t>
      </w:r>
      <w:r>
        <w:rPr>
          <w:rFonts w:hint="eastAsia" w:ascii="Times New Roman" w:hAnsi="Times New Roman" w:eastAsia="宋体" w:cs="Times New Roman"/>
          <w:color w:val="auto"/>
          <w:lang w:val="en-US" w:eastAsia="zh-CN"/>
        </w:rPr>
        <w:t>3.954</w:t>
      </w:r>
      <w:r>
        <w:rPr>
          <w:rFonts w:hint="default" w:ascii="Times New Roman" w:hAnsi="Times New Roman" w:eastAsia="宋体" w:cs="Times New Roman"/>
          <w:color w:val="auto"/>
          <w:lang w:val="en-US" w:eastAsia="zh-CN"/>
        </w:rPr>
        <w:t>kg/h，</w:t>
      </w:r>
      <w:r>
        <w:rPr>
          <w:rFonts w:hint="eastAsia" w:ascii="Times New Roman" w:hAnsi="Times New Roman" w:eastAsia="宋体" w:cs="Times New Roman"/>
          <w:color w:val="auto"/>
          <w:lang w:val="en-US" w:eastAsia="zh-CN"/>
        </w:rPr>
        <w:t>11.388</w:t>
      </w:r>
      <w:r>
        <w:rPr>
          <w:rFonts w:hint="default" w:ascii="Times New Roman" w:hAnsi="Times New Roman" w:eastAsia="宋体" w:cs="Times New Roman"/>
          <w:color w:val="auto"/>
          <w:lang w:val="en-US" w:eastAsia="zh-CN"/>
        </w:rPr>
        <w:t>t/a。</w:t>
      </w:r>
    </w:p>
    <w:p w14:paraId="171DA101">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④氮氧化物排放量</w:t>
      </w:r>
    </w:p>
    <w:p w14:paraId="1D622D6F">
      <w:pPr>
        <w:pStyle w:val="28"/>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drawing>
          <wp:inline distT="0" distB="0" distL="114300" distR="114300">
            <wp:extent cx="2159635" cy="545465"/>
            <wp:effectExtent l="0" t="0" r="12065" b="635"/>
            <wp:docPr id="5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8"/>
                    <pic:cNvPicPr>
                      <a:picLocks noChangeAspect="1"/>
                    </pic:cNvPicPr>
                  </pic:nvPicPr>
                  <pic:blipFill>
                    <a:blip r:embed="rId64"/>
                    <a:stretch>
                      <a:fillRect/>
                    </a:stretch>
                  </pic:blipFill>
                  <pic:spPr>
                    <a:xfrm>
                      <a:off x="0" y="0"/>
                      <a:ext cx="2159635" cy="545465"/>
                    </a:xfrm>
                    <a:prstGeom prst="rect">
                      <a:avLst/>
                    </a:prstGeom>
                    <a:noFill/>
                    <a:ln>
                      <a:noFill/>
                    </a:ln>
                  </pic:spPr>
                </pic:pic>
              </a:graphicData>
            </a:graphic>
          </wp:inline>
        </w:drawing>
      </w:r>
    </w:p>
    <w:p w14:paraId="64C00921">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式中：E</w:t>
      </w:r>
      <w:r>
        <w:rPr>
          <w:rFonts w:hint="default" w:ascii="Times New Roman" w:hAnsi="Times New Roman" w:eastAsia="宋体" w:cs="Times New Roman"/>
          <w:color w:val="auto"/>
          <w:vertAlign w:val="subscript"/>
          <w:lang w:val="en-US" w:eastAsia="zh-CN"/>
        </w:rPr>
        <w:t>NOx</w:t>
      </w:r>
      <w:r>
        <w:rPr>
          <w:rFonts w:hint="default" w:ascii="Times New Roman" w:hAnsi="Times New Roman" w:eastAsia="宋体" w:cs="Times New Roman"/>
          <w:color w:val="auto"/>
          <w:lang w:val="en-US" w:eastAsia="zh-CN"/>
        </w:rPr>
        <w:t xml:space="preserve">——氮氧化物排放量，t/h； </w:t>
      </w:r>
    </w:p>
    <w:p w14:paraId="71910C52">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ρ</w:t>
      </w:r>
      <w:r>
        <w:rPr>
          <w:rFonts w:hint="default" w:ascii="Times New Roman" w:hAnsi="Times New Roman" w:eastAsia="宋体" w:cs="Times New Roman"/>
          <w:color w:val="auto"/>
          <w:vertAlign w:val="subscript"/>
          <w:lang w:val="en-US" w:eastAsia="zh-CN"/>
        </w:rPr>
        <w:t>NOx</w:t>
      </w:r>
      <w:r>
        <w:rPr>
          <w:rFonts w:hint="default" w:ascii="Times New Roman" w:hAnsi="Times New Roman" w:eastAsia="宋体" w:cs="Times New Roman"/>
          <w:color w:val="auto"/>
          <w:lang w:val="en-US" w:eastAsia="zh-CN"/>
        </w:rPr>
        <w:t>——锅炉炉膛出口氮氧化物质量浓度，mg/m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；根据《污染源源强核算技术指南 锅炉》（HJ991-2018）层燃炉为100-600，</w:t>
      </w:r>
      <w:r>
        <w:rPr>
          <w:rFonts w:hint="default" w:ascii="Times New Roman" w:hAnsi="Times New Roman" w:eastAsia="宋体" w:cs="Times New Roman"/>
          <w:color w:val="FF0000"/>
          <w:lang w:val="en-US" w:eastAsia="zh-CN"/>
        </w:rPr>
        <w:t>本项目</w:t>
      </w:r>
      <w:r>
        <w:rPr>
          <w:rFonts w:hint="eastAsia" w:ascii="Times New Roman" w:hAnsi="Times New Roman" w:eastAsia="宋体" w:cs="Times New Roman"/>
          <w:color w:val="FF0000"/>
          <w:lang w:val="en-US" w:eastAsia="zh-CN"/>
        </w:rPr>
        <w:t>锅炉无低氮燃烧装置，以较不利情况考虑，</w:t>
      </w:r>
      <w:r>
        <w:rPr>
          <w:rFonts w:hint="default" w:ascii="Times New Roman" w:hAnsi="Times New Roman" w:eastAsia="宋体" w:cs="Times New Roman"/>
          <w:color w:val="FF0000"/>
          <w:lang w:val="en-US" w:eastAsia="zh-CN"/>
        </w:rPr>
        <w:t>取500。</w:t>
      </w:r>
    </w:p>
    <w:p w14:paraId="34F49124">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Q——标态干烟气排放量，m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 xml:space="preserve">/h； </w:t>
      </w:r>
    </w:p>
    <w:p w14:paraId="1B4DAAE7">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η</w:t>
      </w:r>
      <w:r>
        <w:rPr>
          <w:rFonts w:hint="default" w:ascii="Times New Roman" w:hAnsi="Times New Roman" w:eastAsia="宋体" w:cs="Times New Roman"/>
          <w:color w:val="auto"/>
          <w:vertAlign w:val="subscript"/>
          <w:lang w:val="en-US" w:eastAsia="zh-CN"/>
        </w:rPr>
        <w:t>NOx</w:t>
      </w:r>
      <w:r>
        <w:rPr>
          <w:rFonts w:hint="default" w:ascii="Times New Roman" w:hAnsi="Times New Roman" w:eastAsia="宋体" w:cs="Times New Roman"/>
          <w:color w:val="auto"/>
          <w:lang w:val="en-US" w:eastAsia="zh-CN"/>
        </w:rPr>
        <w:t>——脱硝效率，%。根据《污染源源强核算技术指南锅炉》（HJ991-2018）</w:t>
      </w:r>
      <w:r>
        <w:rPr>
          <w:rFonts w:hint="default" w:ascii="Times New Roman" w:hAnsi="Times New Roman" w:eastAsia="宋体" w:cs="Times New Roman"/>
          <w:color w:val="auto"/>
          <w:kern w:val="2"/>
          <w:sz w:val="24"/>
          <w:szCs w:val="24"/>
          <w:highlight w:val="none"/>
          <w:lang w:val="en-US" w:eastAsia="zh-CN" w:bidi="ar-SA"/>
        </w:rPr>
        <w:t>SNCR-SCR联合脱硝</w:t>
      </w:r>
      <w:r>
        <w:rPr>
          <w:rFonts w:hint="default" w:ascii="Times New Roman" w:hAnsi="Times New Roman" w:eastAsia="宋体" w:cs="Times New Roman"/>
          <w:color w:val="auto"/>
          <w:lang w:val="en-US" w:eastAsia="zh-CN"/>
        </w:rPr>
        <w:t>效率为</w:t>
      </w:r>
      <w:r>
        <w:rPr>
          <w:rFonts w:hint="eastAsia" w:ascii="Times New Roman" w:hAnsi="Times New Roman" w:eastAsia="宋体" w:cs="Times New Roman"/>
          <w:color w:val="auto"/>
          <w:lang w:val="en-US" w:eastAsia="zh-CN"/>
        </w:rPr>
        <w:t>55</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85</w:t>
      </w:r>
      <w:r>
        <w:rPr>
          <w:rFonts w:hint="default" w:ascii="Times New Roman" w:hAnsi="Times New Roman" w:eastAsia="宋体" w:cs="Times New Roman"/>
          <w:color w:val="auto"/>
          <w:lang w:val="en-US" w:eastAsia="zh-CN"/>
        </w:rPr>
        <w:t>，取</w:t>
      </w:r>
      <w:r>
        <w:rPr>
          <w:rFonts w:hint="eastAsia" w:ascii="Times New Roman" w:hAnsi="Times New Roman" w:eastAsia="宋体" w:cs="Times New Roman"/>
          <w:color w:val="auto"/>
          <w:lang w:val="en-US" w:eastAsia="zh-CN"/>
        </w:rPr>
        <w:t>65</w:t>
      </w:r>
      <w:r>
        <w:rPr>
          <w:rFonts w:hint="default" w:ascii="Times New Roman" w:hAnsi="Times New Roman" w:eastAsia="宋体" w:cs="Times New Roman"/>
          <w:color w:val="auto"/>
          <w:lang w:val="en-US" w:eastAsia="zh-CN"/>
        </w:rPr>
        <w:t>。经计算，本项目氮氧化物排放量为</w:t>
      </w:r>
      <w:r>
        <w:rPr>
          <w:rFonts w:hint="eastAsia" w:ascii="Times New Roman" w:hAnsi="Times New Roman" w:eastAsia="宋体" w:cs="Times New Roman"/>
          <w:color w:val="auto"/>
          <w:lang w:val="en-US" w:eastAsia="zh-CN"/>
        </w:rPr>
        <w:t>18.897</w:t>
      </w:r>
      <w:r>
        <w:rPr>
          <w:rFonts w:hint="default" w:ascii="Times New Roman" w:hAnsi="Times New Roman" w:eastAsia="宋体" w:cs="Times New Roman"/>
          <w:color w:val="auto"/>
          <w:lang w:val="en-US" w:eastAsia="zh-CN"/>
        </w:rPr>
        <w:t>kg/h</w:t>
      </w:r>
      <w:r>
        <w:rPr>
          <w:rFonts w:hint="eastAsia" w:ascii="Times New Roman" w:hAnsi="Times New Roman" w:eastAsia="宋体" w:cs="Times New Roman"/>
          <w:color w:val="auto"/>
          <w:lang w:val="en-US" w:eastAsia="zh-CN"/>
        </w:rPr>
        <w:t>，54.422</w:t>
      </w:r>
      <w:r>
        <w:rPr>
          <w:rFonts w:hint="default" w:ascii="Times New Roman" w:hAnsi="Times New Roman" w:eastAsia="宋体" w:cs="Times New Roman"/>
          <w:color w:val="auto"/>
          <w:lang w:val="en-US" w:eastAsia="zh-CN"/>
        </w:rPr>
        <w:t>t/a</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FF0000"/>
          <w:lang w:val="en-US" w:eastAsia="zh-CN"/>
        </w:rPr>
        <w:t>排放浓度为175mg/m</w:t>
      </w:r>
      <w:r>
        <w:rPr>
          <w:rFonts w:hint="eastAsia" w:ascii="Times New Roman" w:hAnsi="Times New Roman" w:eastAsia="宋体" w:cs="Times New Roman"/>
          <w:color w:val="FF0000"/>
          <w:vertAlign w:val="superscript"/>
          <w:lang w:val="en-US" w:eastAsia="zh-CN"/>
        </w:rPr>
        <w:t>3</w:t>
      </w:r>
      <w:r>
        <w:rPr>
          <w:rFonts w:hint="default" w:ascii="Times New Roman" w:hAnsi="Times New Roman" w:eastAsia="宋体" w:cs="Times New Roman"/>
          <w:color w:val="FF0000"/>
          <w:lang w:val="en-US" w:eastAsia="zh-CN"/>
        </w:rPr>
        <w:t>。</w:t>
      </w:r>
    </w:p>
    <w:p w14:paraId="129DBF30">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⑤汞及其化合物排放量</w:t>
      </w:r>
    </w:p>
    <w:p w14:paraId="7FAD4656">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drawing>
          <wp:inline distT="0" distB="0" distL="114300" distR="114300">
            <wp:extent cx="2628900" cy="561975"/>
            <wp:effectExtent l="0" t="0" r="0" b="9525"/>
            <wp:docPr id="3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9"/>
                    <pic:cNvPicPr>
                      <a:picLocks noChangeAspect="1"/>
                    </pic:cNvPicPr>
                  </pic:nvPicPr>
                  <pic:blipFill>
                    <a:blip r:embed="rId65"/>
                    <a:stretch>
                      <a:fillRect/>
                    </a:stretch>
                  </pic:blipFill>
                  <pic:spPr>
                    <a:xfrm>
                      <a:off x="0" y="0"/>
                      <a:ext cx="2628900" cy="561975"/>
                    </a:xfrm>
                    <a:prstGeom prst="rect">
                      <a:avLst/>
                    </a:prstGeom>
                    <a:noFill/>
                    <a:ln>
                      <a:noFill/>
                    </a:ln>
                  </pic:spPr>
                </pic:pic>
              </a:graphicData>
            </a:graphic>
          </wp:inline>
        </w:drawing>
      </w:r>
    </w:p>
    <w:p w14:paraId="29954F63">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式中：E</w:t>
      </w:r>
      <w:r>
        <w:rPr>
          <w:rFonts w:hint="default" w:ascii="Times New Roman" w:hAnsi="Times New Roman" w:eastAsia="宋体" w:cs="Times New Roman"/>
          <w:color w:val="auto"/>
          <w:vertAlign w:val="subscript"/>
          <w:lang w:val="en-US" w:eastAsia="zh-CN"/>
        </w:rPr>
        <w:t>Hg</w:t>
      </w:r>
      <w:r>
        <w:rPr>
          <w:rFonts w:hint="default" w:ascii="Times New Roman" w:hAnsi="Times New Roman" w:eastAsia="宋体" w:cs="Times New Roman"/>
          <w:color w:val="auto"/>
          <w:lang w:val="en-US" w:eastAsia="zh-CN"/>
        </w:rPr>
        <w:t xml:space="preserve">——核算时段内汞及其化合物排放量（以汞计），t/h； </w:t>
      </w:r>
    </w:p>
    <w:p w14:paraId="549BCBFD">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R——核算时段内锅炉燃料耗量，t/h；取最大值</w:t>
      </w:r>
      <w:r>
        <w:rPr>
          <w:rFonts w:hint="eastAsia" w:ascii="Times New Roman" w:hAnsi="Times New Roman" w:eastAsia="宋体" w:cs="Times New Roman"/>
          <w:color w:val="auto"/>
          <w:lang w:val="en-US" w:eastAsia="zh-CN"/>
        </w:rPr>
        <w:t>17.23</w:t>
      </w:r>
      <w:r>
        <w:rPr>
          <w:rFonts w:hint="default" w:ascii="Times New Roman" w:hAnsi="Times New Roman" w:eastAsia="宋体" w:cs="Times New Roman"/>
          <w:color w:val="auto"/>
          <w:lang w:val="en-US" w:eastAsia="zh-CN"/>
        </w:rPr>
        <w:t xml:space="preserve">。 </w:t>
      </w:r>
    </w:p>
    <w:p w14:paraId="41D5FA53">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m</w:t>
      </w:r>
      <w:r>
        <w:rPr>
          <w:rFonts w:hint="default" w:ascii="Times New Roman" w:hAnsi="Times New Roman" w:eastAsia="宋体" w:cs="Times New Roman"/>
          <w:color w:val="auto"/>
          <w:vertAlign w:val="subscript"/>
          <w:lang w:val="en-US" w:eastAsia="zh-CN"/>
        </w:rPr>
        <w:t>Hgar</w:t>
      </w:r>
      <w:r>
        <w:rPr>
          <w:rFonts w:hint="default" w:ascii="Times New Roman" w:hAnsi="Times New Roman" w:eastAsia="宋体" w:cs="Times New Roman"/>
          <w:color w:val="auto"/>
          <w:lang w:val="en-US" w:eastAsia="zh-CN"/>
        </w:rPr>
        <w:t>——收到基汞的含量，µg/g。本项目收到基汞的含量0.0</w:t>
      </w:r>
      <w:r>
        <w:rPr>
          <w:rFonts w:hint="eastAsia" w:ascii="Times New Roman" w:hAnsi="Times New Roman" w:eastAsia="宋体" w:cs="Times New Roman"/>
          <w:color w:val="auto"/>
          <w:lang w:val="en-US" w:eastAsia="zh-CN"/>
        </w:rPr>
        <w:t>93</w:t>
      </w:r>
      <w:r>
        <w:rPr>
          <w:rFonts w:hint="default" w:ascii="Times New Roman" w:hAnsi="Times New Roman" w:eastAsia="宋体" w:cs="Times New Roman"/>
          <w:color w:val="auto"/>
          <w:lang w:val="en-US" w:eastAsia="zh-CN"/>
        </w:rPr>
        <w:t xml:space="preserve">μg/g计。 </w:t>
      </w:r>
    </w:p>
    <w:p w14:paraId="1CEFE4F8">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η</w:t>
      </w:r>
      <w:r>
        <w:rPr>
          <w:rFonts w:hint="default" w:ascii="Times New Roman" w:hAnsi="Times New Roman" w:eastAsia="宋体" w:cs="Times New Roman"/>
          <w:color w:val="auto"/>
          <w:vertAlign w:val="subscript"/>
          <w:lang w:val="en-US" w:eastAsia="zh-CN"/>
        </w:rPr>
        <w:t>Hg</w:t>
      </w:r>
      <w:r>
        <w:rPr>
          <w:rFonts w:hint="default" w:ascii="Times New Roman" w:hAnsi="Times New Roman" w:eastAsia="宋体" w:cs="Times New Roman"/>
          <w:color w:val="auto"/>
          <w:lang w:val="en-US" w:eastAsia="zh-CN"/>
        </w:rPr>
        <w:t xml:space="preserve">——汞的协同脱除效率，%。取70%。 </w:t>
      </w:r>
    </w:p>
    <w:p w14:paraId="03EFCB1B">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经计算，本项目汞及其化合物排放量为0.000</w:t>
      </w:r>
      <w:r>
        <w:rPr>
          <w:rFonts w:hint="eastAsia" w:ascii="Times New Roman" w:hAnsi="Times New Roman" w:eastAsia="宋体" w:cs="Times New Roman"/>
          <w:color w:val="auto"/>
          <w:lang w:val="en-US" w:eastAsia="zh-CN"/>
        </w:rPr>
        <w:t>48</w:t>
      </w:r>
      <w:r>
        <w:rPr>
          <w:rFonts w:hint="default" w:ascii="Times New Roman" w:hAnsi="Times New Roman" w:eastAsia="宋体" w:cs="Times New Roman"/>
          <w:color w:val="auto"/>
          <w:lang w:val="en-US" w:eastAsia="zh-CN"/>
        </w:rPr>
        <w:t>kg/h，0.001</w:t>
      </w:r>
      <w:r>
        <w:rPr>
          <w:rFonts w:hint="eastAsia" w:ascii="Times New Roman" w:hAnsi="Times New Roman" w:eastAsia="宋体" w:cs="Times New Roman"/>
          <w:color w:val="auto"/>
          <w:lang w:val="en-US" w:eastAsia="zh-CN"/>
        </w:rPr>
        <w:t>4</w:t>
      </w:r>
      <w:r>
        <w:rPr>
          <w:rFonts w:hint="default" w:ascii="Times New Roman" w:hAnsi="Times New Roman" w:eastAsia="宋体" w:cs="Times New Roman"/>
          <w:color w:val="auto"/>
          <w:lang w:val="en-US" w:eastAsia="zh-CN"/>
        </w:rPr>
        <w:t>t/a。</w:t>
      </w:r>
    </w:p>
    <w:p w14:paraId="05521087">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⑥</w:t>
      </w:r>
      <w:r>
        <w:rPr>
          <w:rFonts w:hint="default" w:ascii="Times New Roman" w:hAnsi="Times New Roman" w:eastAsia="宋体" w:cs="Times New Roman"/>
          <w:color w:val="auto"/>
          <w:lang w:val="en-US" w:eastAsia="zh-CN"/>
        </w:rPr>
        <w:t>细颗粒物PM</w:t>
      </w:r>
      <w:r>
        <w:rPr>
          <w:rFonts w:hint="default" w:ascii="Times New Roman" w:hAnsi="Times New Roman" w:eastAsia="宋体" w:cs="Times New Roman"/>
          <w:color w:val="auto"/>
          <w:vertAlign w:val="subscript"/>
          <w:lang w:val="en-US" w:eastAsia="zh-CN"/>
        </w:rPr>
        <w:t>2.5</w:t>
      </w:r>
      <w:r>
        <w:rPr>
          <w:rFonts w:hint="default" w:ascii="Times New Roman" w:hAnsi="Times New Roman" w:eastAsia="宋体" w:cs="Times New Roman"/>
          <w:color w:val="auto"/>
          <w:lang w:val="en-US" w:eastAsia="zh-CN"/>
        </w:rPr>
        <w:t>源强核算</w:t>
      </w:r>
    </w:p>
    <w:p w14:paraId="05497B8C">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根据《燃煤锅炉烟气中细颗粒物的排放特征和控制现状》（环境工程技术学报2017.05），PM</w:t>
      </w:r>
      <w:r>
        <w:rPr>
          <w:rFonts w:hint="default" w:ascii="Times New Roman" w:hAnsi="Times New Roman" w:eastAsia="宋体" w:cs="Times New Roman"/>
          <w:color w:val="auto"/>
          <w:vertAlign w:val="subscript"/>
          <w:lang w:val="en-US" w:eastAsia="zh-CN"/>
        </w:rPr>
        <w:t>2.5</w:t>
      </w:r>
      <w:r>
        <w:rPr>
          <w:rFonts w:hint="default" w:ascii="Times New Roman" w:hAnsi="Times New Roman" w:eastAsia="宋体" w:cs="Times New Roman"/>
          <w:color w:val="auto"/>
          <w:lang w:val="en-US" w:eastAsia="zh-CN"/>
        </w:rPr>
        <w:t>占颗粒物排放量的64.1%。本次评价PM</w:t>
      </w:r>
      <w:r>
        <w:rPr>
          <w:rFonts w:hint="default" w:ascii="Times New Roman" w:hAnsi="Times New Roman" w:eastAsia="宋体" w:cs="Times New Roman"/>
          <w:color w:val="auto"/>
          <w:vertAlign w:val="subscript"/>
          <w:lang w:val="en-US" w:eastAsia="zh-CN"/>
        </w:rPr>
        <w:t>2.5</w:t>
      </w:r>
      <w:r>
        <w:rPr>
          <w:rFonts w:hint="default" w:ascii="Times New Roman" w:hAnsi="Times New Roman" w:eastAsia="宋体" w:cs="Times New Roman"/>
          <w:color w:val="auto"/>
          <w:lang w:val="en-US" w:eastAsia="zh-CN"/>
        </w:rPr>
        <w:t>的排放量参照按PM</w:t>
      </w:r>
      <w:r>
        <w:rPr>
          <w:rFonts w:hint="default" w:ascii="Times New Roman" w:hAnsi="Times New Roman" w:eastAsia="宋体" w:cs="Times New Roman"/>
          <w:color w:val="auto"/>
          <w:vertAlign w:val="subscript"/>
          <w:lang w:val="en-US" w:eastAsia="zh-CN"/>
        </w:rPr>
        <w:t>10</w:t>
      </w:r>
      <w:r>
        <w:rPr>
          <w:rFonts w:hint="default" w:ascii="Times New Roman" w:hAnsi="Times New Roman" w:eastAsia="宋体" w:cs="Times New Roman"/>
          <w:color w:val="auto"/>
          <w:lang w:val="en-US" w:eastAsia="zh-CN"/>
        </w:rPr>
        <w:t>排放量的65%计算。</w:t>
      </w:r>
    </w:p>
    <w:p w14:paraId="2774E9A4">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计算过程：PM</w:t>
      </w:r>
      <w:r>
        <w:rPr>
          <w:rFonts w:hint="default" w:ascii="Times New Roman" w:hAnsi="Times New Roman" w:eastAsia="宋体" w:cs="Times New Roman"/>
          <w:color w:val="auto"/>
          <w:vertAlign w:val="subscript"/>
          <w:lang w:val="en-US" w:eastAsia="zh-CN"/>
        </w:rPr>
        <w:t>10</w:t>
      </w:r>
      <w:r>
        <w:rPr>
          <w:rFonts w:hint="default" w:ascii="Times New Roman" w:hAnsi="Times New Roman" w:eastAsia="宋体" w:cs="Times New Roman"/>
          <w:color w:val="auto"/>
          <w:lang w:val="en-US" w:eastAsia="zh-CN"/>
        </w:rPr>
        <w:t>排放量为</w:t>
      </w:r>
      <w:r>
        <w:rPr>
          <w:rFonts w:hint="eastAsia" w:ascii="Times New Roman" w:hAnsi="Times New Roman" w:eastAsia="宋体" w:cs="Times New Roman"/>
          <w:color w:val="auto"/>
          <w:lang w:val="en-US" w:eastAsia="zh-CN"/>
        </w:rPr>
        <w:t>2.427</w:t>
      </w:r>
      <w:r>
        <w:rPr>
          <w:rFonts w:hint="default" w:ascii="Times New Roman" w:hAnsi="Times New Roman" w:eastAsia="宋体" w:cs="Times New Roman"/>
          <w:color w:val="auto"/>
          <w:lang w:val="en-US" w:eastAsia="zh-CN"/>
        </w:rPr>
        <w:t>kg/h，</w:t>
      </w:r>
      <w:r>
        <w:rPr>
          <w:rFonts w:hint="eastAsia" w:ascii="Times New Roman" w:hAnsi="Times New Roman" w:eastAsia="宋体" w:cs="Times New Roman"/>
          <w:color w:val="auto"/>
          <w:lang w:val="en-US" w:eastAsia="zh-CN"/>
        </w:rPr>
        <w:t>6.990</w:t>
      </w:r>
      <w:r>
        <w:rPr>
          <w:rFonts w:hint="default" w:ascii="Times New Roman" w:hAnsi="Times New Roman" w:eastAsia="宋体" w:cs="Times New Roman"/>
          <w:color w:val="auto"/>
          <w:lang w:val="en-US" w:eastAsia="zh-CN"/>
        </w:rPr>
        <w:t>t/a。经计算PM</w:t>
      </w:r>
      <w:r>
        <w:rPr>
          <w:rFonts w:hint="default" w:ascii="Times New Roman" w:hAnsi="Times New Roman" w:eastAsia="宋体" w:cs="Times New Roman"/>
          <w:color w:val="auto"/>
          <w:vertAlign w:val="subscript"/>
          <w:lang w:val="en-US" w:eastAsia="zh-CN"/>
        </w:rPr>
        <w:t>2.5</w:t>
      </w:r>
      <w:r>
        <w:rPr>
          <w:rFonts w:hint="default" w:ascii="Times New Roman" w:hAnsi="Times New Roman" w:eastAsia="宋体" w:cs="Times New Roman"/>
          <w:color w:val="auto"/>
          <w:lang w:val="en-US" w:eastAsia="zh-CN"/>
        </w:rPr>
        <w:t>排放量为</w:t>
      </w:r>
      <w:r>
        <w:rPr>
          <w:rFonts w:hint="eastAsia" w:ascii="Times New Roman" w:hAnsi="Times New Roman" w:eastAsia="宋体" w:cs="Times New Roman"/>
          <w:color w:val="auto"/>
          <w:lang w:val="en-US" w:eastAsia="zh-CN"/>
        </w:rPr>
        <w:t>1.578</w:t>
      </w:r>
      <w:r>
        <w:rPr>
          <w:rFonts w:hint="default" w:ascii="Times New Roman" w:hAnsi="Times New Roman" w:eastAsia="宋体" w:cs="Times New Roman"/>
          <w:color w:val="auto"/>
          <w:lang w:val="en-US" w:eastAsia="zh-CN"/>
        </w:rPr>
        <w:t>kg/h</w:t>
      </w:r>
      <w:r>
        <w:rPr>
          <w:rFonts w:hint="eastAsia" w:ascii="Times New Roman" w:hAnsi="Times New Roman" w:eastAsia="宋体" w:cs="Times New Roman"/>
          <w:color w:val="auto"/>
          <w:lang w:val="en-US" w:eastAsia="zh-CN"/>
        </w:rPr>
        <w:t>，4.544t/a，</w:t>
      </w:r>
      <w:r>
        <w:rPr>
          <w:rFonts w:hint="default" w:ascii="Times New Roman" w:hAnsi="Times New Roman" w:eastAsia="宋体" w:cs="Times New Roman"/>
          <w:color w:val="auto"/>
          <w:lang w:val="en-US" w:eastAsia="zh-CN"/>
        </w:rPr>
        <w:t>排放浓度为</w:t>
      </w:r>
      <w:r>
        <w:rPr>
          <w:rFonts w:hint="eastAsia" w:ascii="Times New Roman" w:hAnsi="Times New Roman" w:eastAsia="宋体" w:cs="Times New Roman"/>
          <w:color w:val="auto"/>
          <w:lang w:val="en-US" w:eastAsia="zh-CN"/>
        </w:rPr>
        <w:t>14.614</w:t>
      </w:r>
      <w:r>
        <w:rPr>
          <w:rFonts w:hint="default" w:ascii="Times New Roman" w:hAnsi="Times New Roman" w:eastAsia="宋体" w:cs="Times New Roman"/>
          <w:color w:val="auto"/>
          <w:lang w:val="en-US" w:eastAsia="zh-CN"/>
        </w:rPr>
        <w:t>mg/m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产生量为788.765kg/h，2271.643t/a，产生浓度7304.705</w:t>
      </w:r>
      <w:r>
        <w:rPr>
          <w:rFonts w:hint="default" w:ascii="Times New Roman" w:hAnsi="Times New Roman" w:eastAsia="宋体" w:cs="Times New Roman"/>
          <w:color w:val="auto"/>
          <w:lang w:val="en-US" w:eastAsia="zh-CN"/>
        </w:rPr>
        <w:t>mg/m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w:t>
      </w:r>
    </w:p>
    <w:p w14:paraId="0D9CFF73">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⑥</w:t>
      </w:r>
      <w:r>
        <w:rPr>
          <w:rFonts w:hint="default" w:ascii="Times New Roman" w:hAnsi="Times New Roman" w:eastAsia="宋体" w:cs="Times New Roman"/>
          <w:color w:val="FF0000"/>
          <w:lang w:val="en-US" w:eastAsia="zh-CN"/>
        </w:rPr>
        <w:t xml:space="preserve">逃逸氨 </w:t>
      </w:r>
    </w:p>
    <w:p w14:paraId="6ECCBD94">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FF0000"/>
          <w:lang w:val="en-US" w:eastAsia="zh-CN"/>
        </w:rPr>
      </w:pPr>
      <w:r>
        <w:rPr>
          <w:rFonts w:hint="default" w:ascii="Times New Roman" w:hAnsi="Times New Roman" w:eastAsia="宋体" w:cs="Times New Roman"/>
          <w:color w:val="FF0000"/>
          <w:lang w:val="en-US" w:eastAsia="zh-CN"/>
        </w:rPr>
        <w:t>项目使用尿素，因此无氨储罐的氨气无组织排放。本项目脱硝过程中生成的气体会有氨逃逸，</w:t>
      </w:r>
      <w:r>
        <w:rPr>
          <w:rFonts w:hint="eastAsia" w:ascii="Times New Roman" w:hAnsi="Times New Roman" w:eastAsia="宋体" w:cs="Times New Roman"/>
          <w:color w:val="FF0000"/>
          <w:lang w:val="en-US" w:eastAsia="zh-CN"/>
        </w:rPr>
        <w:t>参考《火电厂氮氧化物防治技术政策》（环发[2010]10号）</w:t>
      </w:r>
      <w:r>
        <w:rPr>
          <w:rFonts w:hint="default" w:ascii="Times New Roman" w:hAnsi="Times New Roman" w:eastAsia="宋体" w:cs="Times New Roman"/>
          <w:color w:val="FF0000"/>
          <w:lang w:val="en-US" w:eastAsia="zh-CN"/>
        </w:rPr>
        <w:t>的规定，SNCR－SCR氨逃逸控制在2.5mg/m</w:t>
      </w:r>
      <w:r>
        <w:rPr>
          <w:rFonts w:hint="default" w:ascii="Times New Roman" w:hAnsi="Times New Roman" w:eastAsia="宋体" w:cs="Times New Roman"/>
          <w:color w:val="FF0000"/>
          <w:vertAlign w:val="superscript"/>
          <w:lang w:val="en-US" w:eastAsia="zh-CN"/>
        </w:rPr>
        <w:t>3</w:t>
      </w:r>
      <w:r>
        <w:rPr>
          <w:rFonts w:hint="default" w:ascii="Times New Roman" w:hAnsi="Times New Roman" w:eastAsia="宋体" w:cs="Times New Roman"/>
          <w:color w:val="FF0000"/>
          <w:lang w:val="en-US" w:eastAsia="zh-CN"/>
        </w:rPr>
        <w:t>（干基，标准状态）以下。</w:t>
      </w:r>
      <w:r>
        <w:rPr>
          <w:rFonts w:hint="eastAsia" w:ascii="Times New Roman" w:hAnsi="Times New Roman" w:eastAsia="宋体" w:cs="Times New Roman"/>
          <w:color w:val="FF0000"/>
          <w:lang w:val="en-US" w:eastAsia="zh-CN"/>
        </w:rPr>
        <w:t>本项目取最大值2.5mg/m</w:t>
      </w:r>
      <w:r>
        <w:rPr>
          <w:rFonts w:hint="eastAsia" w:ascii="Times New Roman" w:hAnsi="Times New Roman" w:eastAsia="宋体" w:cs="Times New Roman"/>
          <w:color w:val="FF0000"/>
          <w:vertAlign w:val="superscript"/>
          <w:lang w:val="en-US" w:eastAsia="zh-CN"/>
        </w:rPr>
        <w:t>3</w:t>
      </w:r>
      <w:r>
        <w:rPr>
          <w:rFonts w:hint="eastAsia" w:ascii="Times New Roman" w:hAnsi="Times New Roman" w:eastAsia="宋体" w:cs="Times New Roman"/>
          <w:color w:val="FF0000"/>
          <w:lang w:val="en-US" w:eastAsia="zh-CN"/>
        </w:rPr>
        <w:t>，则排放速率为0.27kg/h</w:t>
      </w:r>
      <w:r>
        <w:rPr>
          <w:rFonts w:hint="default" w:ascii="Times New Roman" w:hAnsi="Times New Roman" w:eastAsia="宋体" w:cs="Times New Roman"/>
          <w:color w:val="FF0000"/>
          <w:lang w:val="en-US" w:eastAsia="zh-CN"/>
        </w:rPr>
        <w:t xml:space="preserve">。 </w:t>
      </w:r>
    </w:p>
    <w:p w14:paraId="0459D4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val="en-US" w:eastAsia="zh-CN"/>
        </w:rPr>
        <w:t>-1  本项目大气污染物排放状况一览表</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2"/>
        <w:gridCol w:w="1704"/>
        <w:gridCol w:w="1707"/>
        <w:gridCol w:w="1707"/>
      </w:tblGrid>
      <w:tr w14:paraId="1F482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noWrap w:val="0"/>
            <w:vAlign w:val="center"/>
          </w:tcPr>
          <w:p w14:paraId="55EE3D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序号</w:t>
            </w:r>
          </w:p>
        </w:tc>
        <w:tc>
          <w:tcPr>
            <w:tcW w:w="1999" w:type="pct"/>
            <w:gridSpan w:val="3"/>
            <w:tcBorders>
              <w:tl2br w:val="nil"/>
              <w:tr2bl w:val="nil"/>
            </w:tcBorders>
            <w:noWrap w:val="0"/>
            <w:vAlign w:val="center"/>
          </w:tcPr>
          <w:p w14:paraId="02179F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项目</w:t>
            </w:r>
          </w:p>
        </w:tc>
        <w:tc>
          <w:tcPr>
            <w:tcW w:w="1000" w:type="pct"/>
            <w:tcBorders>
              <w:tl2br w:val="nil"/>
              <w:tr2bl w:val="nil"/>
            </w:tcBorders>
            <w:noWrap w:val="0"/>
            <w:vAlign w:val="center"/>
          </w:tcPr>
          <w:p w14:paraId="413196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单位</w:t>
            </w:r>
          </w:p>
        </w:tc>
        <w:tc>
          <w:tcPr>
            <w:tcW w:w="1000" w:type="pct"/>
            <w:tcBorders>
              <w:tl2br w:val="nil"/>
              <w:tr2bl w:val="nil"/>
            </w:tcBorders>
            <w:noWrap w:val="0"/>
            <w:vAlign w:val="center"/>
          </w:tcPr>
          <w:p w14:paraId="7DEB35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数值</w:t>
            </w:r>
          </w:p>
        </w:tc>
      </w:tr>
      <w:tr w14:paraId="57658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noWrap w:val="0"/>
            <w:vAlign w:val="center"/>
          </w:tcPr>
          <w:p w14:paraId="030BCC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p>
        </w:tc>
        <w:tc>
          <w:tcPr>
            <w:tcW w:w="1999" w:type="pct"/>
            <w:gridSpan w:val="3"/>
            <w:tcBorders>
              <w:tl2br w:val="nil"/>
              <w:tr2bl w:val="nil"/>
            </w:tcBorders>
            <w:noWrap w:val="0"/>
            <w:vAlign w:val="center"/>
          </w:tcPr>
          <w:p w14:paraId="7AA4BE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锅炉容量</w:t>
            </w:r>
          </w:p>
        </w:tc>
        <w:tc>
          <w:tcPr>
            <w:tcW w:w="1000" w:type="pct"/>
            <w:tcBorders>
              <w:tl2br w:val="nil"/>
              <w:tr2bl w:val="nil"/>
            </w:tcBorders>
            <w:noWrap w:val="0"/>
            <w:vAlign w:val="center"/>
          </w:tcPr>
          <w:p w14:paraId="46B6F6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MW</w:t>
            </w:r>
          </w:p>
        </w:tc>
        <w:tc>
          <w:tcPr>
            <w:tcW w:w="1000" w:type="pct"/>
            <w:tcBorders>
              <w:tl2br w:val="nil"/>
              <w:tr2bl w:val="nil"/>
            </w:tcBorders>
            <w:noWrap w:val="0"/>
            <w:vAlign w:val="center"/>
          </w:tcPr>
          <w:p w14:paraId="353ECA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42</w:t>
            </w:r>
            <w:r>
              <w:rPr>
                <w:rFonts w:hint="default" w:ascii="Times New Roman" w:hAnsi="Times New Roman" w:cs="Times New Roman"/>
                <w:color w:val="auto"/>
                <w:sz w:val="21"/>
                <w:szCs w:val="21"/>
                <w:highlight w:val="none"/>
                <w:lang w:val="en-US" w:eastAsia="zh-CN"/>
              </w:rPr>
              <w:t>MW</w:t>
            </w:r>
          </w:p>
        </w:tc>
      </w:tr>
      <w:tr w14:paraId="17EF2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56553F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w:t>
            </w:r>
          </w:p>
        </w:tc>
        <w:tc>
          <w:tcPr>
            <w:tcW w:w="999" w:type="pct"/>
            <w:vMerge w:val="restart"/>
            <w:tcBorders>
              <w:tl2br w:val="nil"/>
              <w:tr2bl w:val="nil"/>
            </w:tcBorders>
            <w:noWrap w:val="0"/>
            <w:vAlign w:val="center"/>
          </w:tcPr>
          <w:p w14:paraId="7705F6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燃料量</w:t>
            </w:r>
          </w:p>
        </w:tc>
        <w:tc>
          <w:tcPr>
            <w:tcW w:w="1000" w:type="pct"/>
            <w:gridSpan w:val="2"/>
            <w:tcBorders>
              <w:tl2br w:val="nil"/>
              <w:tr2bl w:val="nil"/>
            </w:tcBorders>
            <w:noWrap w:val="0"/>
            <w:vAlign w:val="center"/>
          </w:tcPr>
          <w:p w14:paraId="486459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小时最大消耗</w:t>
            </w:r>
          </w:p>
        </w:tc>
        <w:tc>
          <w:tcPr>
            <w:tcW w:w="1000" w:type="pct"/>
            <w:tcBorders>
              <w:tl2br w:val="nil"/>
              <w:tr2bl w:val="nil"/>
            </w:tcBorders>
            <w:noWrap w:val="0"/>
            <w:vAlign w:val="center"/>
          </w:tcPr>
          <w:p w14:paraId="56D788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7A0C4C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1723</w:t>
            </w:r>
            <w:r>
              <w:rPr>
                <w:rFonts w:hint="default" w:ascii="Times New Roman" w:hAnsi="Times New Roman" w:cs="Times New Roman"/>
                <w:color w:val="auto"/>
                <w:sz w:val="21"/>
                <w:szCs w:val="21"/>
                <w:highlight w:val="none"/>
                <w:lang w:val="en-US" w:eastAsia="zh-CN"/>
              </w:rPr>
              <w:t>0</w:t>
            </w:r>
          </w:p>
        </w:tc>
      </w:tr>
      <w:tr w14:paraId="10344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180F88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vMerge w:val="continue"/>
            <w:tcBorders>
              <w:tl2br w:val="nil"/>
              <w:tr2bl w:val="nil"/>
            </w:tcBorders>
            <w:noWrap w:val="0"/>
            <w:vAlign w:val="center"/>
          </w:tcPr>
          <w:p w14:paraId="7DF126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tcBorders>
              <w:tl2br w:val="nil"/>
              <w:tr2bl w:val="nil"/>
            </w:tcBorders>
            <w:noWrap w:val="0"/>
            <w:vAlign w:val="center"/>
          </w:tcPr>
          <w:p w14:paraId="7966E9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年消耗</w:t>
            </w:r>
          </w:p>
        </w:tc>
        <w:tc>
          <w:tcPr>
            <w:tcW w:w="1000" w:type="pct"/>
            <w:tcBorders>
              <w:tl2br w:val="nil"/>
              <w:tr2bl w:val="nil"/>
            </w:tcBorders>
            <w:noWrap w:val="0"/>
            <w:vAlign w:val="center"/>
          </w:tcPr>
          <w:p w14:paraId="342C25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2C1C90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49622.4</w:t>
            </w:r>
          </w:p>
        </w:tc>
      </w:tr>
      <w:tr w14:paraId="21F30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noWrap w:val="0"/>
            <w:vAlign w:val="center"/>
          </w:tcPr>
          <w:p w14:paraId="4B05EA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w:t>
            </w:r>
          </w:p>
        </w:tc>
        <w:tc>
          <w:tcPr>
            <w:tcW w:w="1999" w:type="pct"/>
            <w:gridSpan w:val="3"/>
            <w:tcBorders>
              <w:tl2br w:val="nil"/>
              <w:tr2bl w:val="nil"/>
            </w:tcBorders>
            <w:noWrap w:val="0"/>
            <w:vAlign w:val="center"/>
          </w:tcPr>
          <w:p w14:paraId="1EA6FF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年运行时间</w:t>
            </w:r>
          </w:p>
        </w:tc>
        <w:tc>
          <w:tcPr>
            <w:tcW w:w="1000" w:type="pct"/>
            <w:tcBorders>
              <w:tl2br w:val="nil"/>
              <w:tr2bl w:val="nil"/>
            </w:tcBorders>
            <w:noWrap w:val="0"/>
            <w:vAlign w:val="center"/>
          </w:tcPr>
          <w:p w14:paraId="71BB27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w:t>
            </w:r>
          </w:p>
        </w:tc>
        <w:tc>
          <w:tcPr>
            <w:tcW w:w="1000" w:type="pct"/>
            <w:tcBorders>
              <w:tl2br w:val="nil"/>
              <w:tr2bl w:val="nil"/>
            </w:tcBorders>
            <w:noWrap w:val="0"/>
            <w:vAlign w:val="center"/>
          </w:tcPr>
          <w:p w14:paraId="4D30A8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4320</w:t>
            </w:r>
          </w:p>
        </w:tc>
      </w:tr>
      <w:tr w14:paraId="261DD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noWrap w:val="0"/>
            <w:vAlign w:val="center"/>
          </w:tcPr>
          <w:p w14:paraId="6C9719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c>
          <w:tcPr>
            <w:tcW w:w="1999" w:type="pct"/>
            <w:gridSpan w:val="3"/>
            <w:tcBorders>
              <w:tl2br w:val="nil"/>
              <w:tr2bl w:val="nil"/>
            </w:tcBorders>
            <w:noWrap w:val="0"/>
            <w:vAlign w:val="center"/>
          </w:tcPr>
          <w:p w14:paraId="485A25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年利用小时数</w:t>
            </w:r>
          </w:p>
        </w:tc>
        <w:tc>
          <w:tcPr>
            <w:tcW w:w="1000" w:type="pct"/>
            <w:tcBorders>
              <w:tl2br w:val="nil"/>
              <w:tr2bl w:val="nil"/>
            </w:tcBorders>
            <w:noWrap w:val="0"/>
            <w:vAlign w:val="center"/>
          </w:tcPr>
          <w:p w14:paraId="396594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h</w:t>
            </w:r>
          </w:p>
        </w:tc>
        <w:tc>
          <w:tcPr>
            <w:tcW w:w="1000" w:type="pct"/>
            <w:tcBorders>
              <w:tl2br w:val="nil"/>
              <w:tr2bl w:val="nil"/>
            </w:tcBorders>
            <w:noWrap w:val="0"/>
            <w:vAlign w:val="center"/>
          </w:tcPr>
          <w:p w14:paraId="73973C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2880</w:t>
            </w:r>
          </w:p>
        </w:tc>
      </w:tr>
      <w:tr w14:paraId="61A76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shd w:val="clear" w:color="auto" w:fill="auto"/>
            <w:noWrap w:val="0"/>
            <w:vAlign w:val="center"/>
          </w:tcPr>
          <w:p w14:paraId="2AE7DA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w:t>
            </w:r>
          </w:p>
        </w:tc>
        <w:tc>
          <w:tcPr>
            <w:tcW w:w="1999" w:type="pct"/>
            <w:gridSpan w:val="3"/>
            <w:tcBorders>
              <w:tl2br w:val="nil"/>
              <w:tr2bl w:val="nil"/>
            </w:tcBorders>
            <w:noWrap w:val="0"/>
            <w:vAlign w:val="center"/>
          </w:tcPr>
          <w:p w14:paraId="441508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除尘效率（布袋除尘器）</w:t>
            </w:r>
          </w:p>
        </w:tc>
        <w:tc>
          <w:tcPr>
            <w:tcW w:w="1000" w:type="pct"/>
            <w:tcBorders>
              <w:tl2br w:val="nil"/>
              <w:tr2bl w:val="nil"/>
            </w:tcBorders>
            <w:noWrap w:val="0"/>
            <w:vAlign w:val="center"/>
          </w:tcPr>
          <w:p w14:paraId="60FCEA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1000" w:type="pct"/>
            <w:tcBorders>
              <w:tl2br w:val="nil"/>
              <w:tr2bl w:val="nil"/>
            </w:tcBorders>
            <w:noWrap w:val="0"/>
            <w:vAlign w:val="center"/>
          </w:tcPr>
          <w:p w14:paraId="47B53D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99</w:t>
            </w:r>
            <w:r>
              <w:rPr>
                <w:rFonts w:hint="eastAsia" w:cs="Times New Roman"/>
                <w:color w:val="auto"/>
                <w:sz w:val="21"/>
                <w:szCs w:val="21"/>
                <w:highlight w:val="none"/>
                <w:lang w:val="en-US" w:eastAsia="zh-CN"/>
              </w:rPr>
              <w:t>.8</w:t>
            </w:r>
          </w:p>
        </w:tc>
      </w:tr>
      <w:tr w14:paraId="37DBC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shd w:val="clear" w:color="auto" w:fill="auto"/>
            <w:noWrap w:val="0"/>
            <w:vAlign w:val="center"/>
          </w:tcPr>
          <w:p w14:paraId="258FCC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w:t>
            </w:r>
          </w:p>
        </w:tc>
        <w:tc>
          <w:tcPr>
            <w:tcW w:w="1999" w:type="pct"/>
            <w:gridSpan w:val="3"/>
            <w:tcBorders>
              <w:tl2br w:val="nil"/>
              <w:tr2bl w:val="nil"/>
            </w:tcBorders>
            <w:noWrap w:val="0"/>
            <w:vAlign w:val="center"/>
          </w:tcPr>
          <w:p w14:paraId="523B76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脱硫效率（氧化镁法）</w:t>
            </w:r>
          </w:p>
        </w:tc>
        <w:tc>
          <w:tcPr>
            <w:tcW w:w="1000" w:type="pct"/>
            <w:tcBorders>
              <w:tl2br w:val="nil"/>
              <w:tr2bl w:val="nil"/>
            </w:tcBorders>
            <w:noWrap w:val="0"/>
            <w:vAlign w:val="center"/>
          </w:tcPr>
          <w:p w14:paraId="0546D8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1000" w:type="pct"/>
            <w:tcBorders>
              <w:tl2br w:val="nil"/>
              <w:tr2bl w:val="nil"/>
            </w:tcBorders>
            <w:noWrap w:val="0"/>
            <w:vAlign w:val="center"/>
          </w:tcPr>
          <w:p w14:paraId="64EBDA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r>
      <w:tr w14:paraId="352BB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shd w:val="clear" w:color="auto" w:fill="auto"/>
            <w:noWrap w:val="0"/>
            <w:vAlign w:val="center"/>
          </w:tcPr>
          <w:p w14:paraId="6D688F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w:t>
            </w:r>
          </w:p>
        </w:tc>
        <w:tc>
          <w:tcPr>
            <w:tcW w:w="1999" w:type="pct"/>
            <w:gridSpan w:val="3"/>
            <w:tcBorders>
              <w:tl2br w:val="nil"/>
              <w:tr2bl w:val="nil"/>
            </w:tcBorders>
            <w:noWrap w:val="0"/>
            <w:vAlign w:val="center"/>
          </w:tcPr>
          <w:p w14:paraId="736409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脱硝效率（SNCR）</w:t>
            </w:r>
          </w:p>
        </w:tc>
        <w:tc>
          <w:tcPr>
            <w:tcW w:w="1000" w:type="pct"/>
            <w:tcBorders>
              <w:tl2br w:val="nil"/>
              <w:tr2bl w:val="nil"/>
            </w:tcBorders>
            <w:noWrap w:val="0"/>
            <w:vAlign w:val="center"/>
          </w:tcPr>
          <w:p w14:paraId="3B8E70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1000" w:type="pct"/>
            <w:tcBorders>
              <w:tl2br w:val="nil"/>
              <w:tr2bl w:val="nil"/>
            </w:tcBorders>
            <w:noWrap w:val="0"/>
            <w:vAlign w:val="center"/>
          </w:tcPr>
          <w:p w14:paraId="361ABC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65</w:t>
            </w:r>
          </w:p>
        </w:tc>
      </w:tr>
      <w:tr w14:paraId="3F777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tcBorders>
              <w:tl2br w:val="nil"/>
              <w:tr2bl w:val="nil"/>
            </w:tcBorders>
            <w:shd w:val="clear" w:color="auto" w:fill="auto"/>
            <w:noWrap w:val="0"/>
            <w:vAlign w:val="center"/>
          </w:tcPr>
          <w:p w14:paraId="3033F6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w:t>
            </w:r>
          </w:p>
        </w:tc>
        <w:tc>
          <w:tcPr>
            <w:tcW w:w="1999" w:type="pct"/>
            <w:gridSpan w:val="3"/>
            <w:tcBorders>
              <w:tl2br w:val="nil"/>
              <w:tr2bl w:val="nil"/>
            </w:tcBorders>
            <w:noWrap w:val="0"/>
            <w:vAlign w:val="center"/>
          </w:tcPr>
          <w:p w14:paraId="2CA61A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烟囱高度/出口直径</w:t>
            </w:r>
          </w:p>
        </w:tc>
        <w:tc>
          <w:tcPr>
            <w:tcW w:w="1000" w:type="pct"/>
            <w:tcBorders>
              <w:tl2br w:val="nil"/>
              <w:tr2bl w:val="nil"/>
            </w:tcBorders>
            <w:noWrap w:val="0"/>
            <w:vAlign w:val="center"/>
          </w:tcPr>
          <w:p w14:paraId="62072E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w:t>
            </w:r>
          </w:p>
        </w:tc>
        <w:tc>
          <w:tcPr>
            <w:tcW w:w="1000" w:type="pct"/>
            <w:tcBorders>
              <w:tl2br w:val="nil"/>
              <w:tr2bl w:val="nil"/>
            </w:tcBorders>
            <w:noWrap w:val="0"/>
            <w:vAlign w:val="center"/>
          </w:tcPr>
          <w:p w14:paraId="6EBC5E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100/</w:t>
            </w:r>
            <w:r>
              <w:rPr>
                <w:rFonts w:hint="eastAsia" w:ascii="Times New Roman" w:hAnsi="Times New Roman" w:cs="Times New Roman"/>
                <w:color w:val="auto"/>
                <w:sz w:val="21"/>
                <w:szCs w:val="21"/>
                <w:highlight w:val="none"/>
                <w:lang w:val="en-US" w:eastAsia="zh-CN"/>
              </w:rPr>
              <w:t>3.2</w:t>
            </w:r>
          </w:p>
        </w:tc>
      </w:tr>
      <w:tr w14:paraId="70818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6C925E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w:t>
            </w:r>
          </w:p>
        </w:tc>
        <w:tc>
          <w:tcPr>
            <w:tcW w:w="1000" w:type="pct"/>
            <w:gridSpan w:val="2"/>
            <w:vMerge w:val="restart"/>
            <w:tcBorders>
              <w:tl2br w:val="nil"/>
              <w:tr2bl w:val="nil"/>
            </w:tcBorders>
            <w:noWrap w:val="0"/>
            <w:vAlign w:val="center"/>
          </w:tcPr>
          <w:p w14:paraId="12675F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烟囱出口参数</w:t>
            </w:r>
          </w:p>
        </w:tc>
        <w:tc>
          <w:tcPr>
            <w:tcW w:w="999" w:type="pct"/>
            <w:tcBorders>
              <w:tl2br w:val="nil"/>
              <w:tr2bl w:val="nil"/>
            </w:tcBorders>
            <w:noWrap w:val="0"/>
            <w:vAlign w:val="center"/>
          </w:tcPr>
          <w:p w14:paraId="4AF1FF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烟气量</w:t>
            </w:r>
          </w:p>
        </w:tc>
        <w:tc>
          <w:tcPr>
            <w:tcW w:w="1000" w:type="pct"/>
            <w:tcBorders>
              <w:tl2br w:val="nil"/>
              <w:tr2bl w:val="nil"/>
            </w:tcBorders>
            <w:noWrap w:val="0"/>
            <w:vAlign w:val="center"/>
          </w:tcPr>
          <w:p w14:paraId="41F59B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/h</w:t>
            </w:r>
          </w:p>
        </w:tc>
        <w:tc>
          <w:tcPr>
            <w:tcW w:w="1000" w:type="pct"/>
            <w:tcBorders>
              <w:tl2br w:val="nil"/>
              <w:tr2bl w:val="nil"/>
            </w:tcBorders>
            <w:noWrap w:val="0"/>
            <w:vAlign w:val="center"/>
          </w:tcPr>
          <w:p w14:paraId="4AC985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107980.41</w:t>
            </w:r>
          </w:p>
        </w:tc>
      </w:tr>
      <w:tr w14:paraId="1C1FC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shd w:val="clear" w:color="auto" w:fill="auto"/>
            <w:noWrap w:val="0"/>
            <w:vAlign w:val="center"/>
          </w:tcPr>
          <w:p w14:paraId="3DB93A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310527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617ACD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排烟温度</w:t>
            </w:r>
          </w:p>
        </w:tc>
        <w:tc>
          <w:tcPr>
            <w:tcW w:w="1000" w:type="pct"/>
            <w:tcBorders>
              <w:tl2br w:val="nil"/>
              <w:tr2bl w:val="nil"/>
            </w:tcBorders>
            <w:noWrap w:val="0"/>
            <w:vAlign w:val="center"/>
          </w:tcPr>
          <w:p w14:paraId="2B3279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1000" w:type="pct"/>
            <w:tcBorders>
              <w:tl2br w:val="nil"/>
              <w:tr2bl w:val="nil"/>
            </w:tcBorders>
            <w:noWrap w:val="0"/>
            <w:vAlign w:val="center"/>
          </w:tcPr>
          <w:p w14:paraId="15CCE1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50</w:t>
            </w:r>
          </w:p>
        </w:tc>
      </w:tr>
      <w:tr w14:paraId="411AB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32217C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c>
          <w:tcPr>
            <w:tcW w:w="1000" w:type="pct"/>
            <w:gridSpan w:val="2"/>
            <w:vMerge w:val="restart"/>
            <w:tcBorders>
              <w:tl2br w:val="nil"/>
              <w:tr2bl w:val="nil"/>
            </w:tcBorders>
            <w:noWrap w:val="0"/>
            <w:vAlign w:val="center"/>
          </w:tcPr>
          <w:p w14:paraId="33AF44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颗粒物（PM</w:t>
            </w:r>
            <w:r>
              <w:rPr>
                <w:rFonts w:hint="default" w:ascii="Times New Roman" w:hAnsi="Times New Roman" w:cs="Times New Roman"/>
                <w:color w:val="auto"/>
                <w:sz w:val="21"/>
                <w:szCs w:val="21"/>
                <w:highlight w:val="none"/>
                <w:vertAlign w:val="subscript"/>
                <w:lang w:val="en-US" w:eastAsia="zh-CN"/>
              </w:rPr>
              <w:t>10</w:t>
            </w:r>
            <w:r>
              <w:rPr>
                <w:rFonts w:hint="default" w:ascii="Times New Roman" w:hAnsi="Times New Roman" w:cs="Times New Roman"/>
                <w:color w:val="auto"/>
                <w:sz w:val="21"/>
                <w:szCs w:val="21"/>
                <w:highlight w:val="none"/>
                <w:lang w:val="en-US" w:eastAsia="zh-CN"/>
              </w:rPr>
              <w:t>）</w:t>
            </w:r>
          </w:p>
        </w:tc>
        <w:tc>
          <w:tcPr>
            <w:tcW w:w="999" w:type="pct"/>
            <w:tcBorders>
              <w:tl2br w:val="nil"/>
              <w:tr2bl w:val="nil"/>
            </w:tcBorders>
            <w:noWrap w:val="0"/>
            <w:vAlign w:val="center"/>
          </w:tcPr>
          <w:p w14:paraId="6E794E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产生浓度</w:t>
            </w:r>
          </w:p>
        </w:tc>
        <w:tc>
          <w:tcPr>
            <w:tcW w:w="1000" w:type="pct"/>
            <w:tcBorders>
              <w:tl2br w:val="nil"/>
              <w:tr2bl w:val="nil"/>
            </w:tcBorders>
            <w:noWrap w:val="0"/>
            <w:vAlign w:val="center"/>
          </w:tcPr>
          <w:p w14:paraId="6EDDB2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76D2DC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11238.001</w:t>
            </w:r>
          </w:p>
        </w:tc>
      </w:tr>
      <w:tr w14:paraId="08730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59AA04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50970B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52D88E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小时产生量</w:t>
            </w:r>
          </w:p>
        </w:tc>
        <w:tc>
          <w:tcPr>
            <w:tcW w:w="1000" w:type="pct"/>
            <w:tcBorders>
              <w:tl2br w:val="nil"/>
              <w:tr2bl w:val="nil"/>
            </w:tcBorders>
            <w:noWrap w:val="0"/>
            <w:vAlign w:val="center"/>
          </w:tcPr>
          <w:p w14:paraId="5853D9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2C2A75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1213.484</w:t>
            </w:r>
          </w:p>
        </w:tc>
      </w:tr>
      <w:tr w14:paraId="26B28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6A85C1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1833B0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01F055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产生量</w:t>
            </w:r>
          </w:p>
        </w:tc>
        <w:tc>
          <w:tcPr>
            <w:tcW w:w="1000" w:type="pct"/>
            <w:tcBorders>
              <w:tl2br w:val="nil"/>
              <w:tr2bl w:val="nil"/>
            </w:tcBorders>
            <w:noWrap w:val="0"/>
            <w:vAlign w:val="center"/>
          </w:tcPr>
          <w:p w14:paraId="00147E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6D2CEA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3494.835</w:t>
            </w:r>
          </w:p>
        </w:tc>
      </w:tr>
      <w:tr w14:paraId="09B6C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63229C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508A22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7F0BA5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排放浓度</w:t>
            </w:r>
          </w:p>
        </w:tc>
        <w:tc>
          <w:tcPr>
            <w:tcW w:w="1000" w:type="pct"/>
            <w:tcBorders>
              <w:tl2br w:val="nil"/>
              <w:tr2bl w:val="nil"/>
            </w:tcBorders>
            <w:noWrap w:val="0"/>
            <w:vAlign w:val="center"/>
          </w:tcPr>
          <w:p w14:paraId="082A56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093EF0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22.476</w:t>
            </w:r>
          </w:p>
        </w:tc>
      </w:tr>
      <w:tr w14:paraId="18EA8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4F4DB6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330BE6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0DC168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小时排放量</w:t>
            </w:r>
          </w:p>
        </w:tc>
        <w:tc>
          <w:tcPr>
            <w:tcW w:w="1000" w:type="pct"/>
            <w:tcBorders>
              <w:tl2br w:val="nil"/>
              <w:tr2bl w:val="nil"/>
            </w:tcBorders>
            <w:noWrap w:val="0"/>
            <w:vAlign w:val="center"/>
          </w:tcPr>
          <w:p w14:paraId="6C2348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336974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2.427</w:t>
            </w:r>
          </w:p>
        </w:tc>
      </w:tr>
      <w:tr w14:paraId="24BAC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2D8573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2A2CBD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2BB9C9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排放量</w:t>
            </w:r>
          </w:p>
        </w:tc>
        <w:tc>
          <w:tcPr>
            <w:tcW w:w="1000" w:type="pct"/>
            <w:tcBorders>
              <w:tl2br w:val="nil"/>
              <w:tr2bl w:val="nil"/>
            </w:tcBorders>
            <w:noWrap w:val="0"/>
            <w:vAlign w:val="center"/>
          </w:tcPr>
          <w:p w14:paraId="7A34D4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531D08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6.990</w:t>
            </w:r>
          </w:p>
        </w:tc>
      </w:tr>
      <w:tr w14:paraId="127A5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16EDA7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11</w:t>
            </w:r>
          </w:p>
        </w:tc>
        <w:tc>
          <w:tcPr>
            <w:tcW w:w="1000" w:type="pct"/>
            <w:gridSpan w:val="2"/>
            <w:vMerge w:val="restart"/>
            <w:tcBorders>
              <w:tl2br w:val="nil"/>
              <w:tr2bl w:val="nil"/>
            </w:tcBorders>
            <w:noWrap w:val="0"/>
            <w:vAlign w:val="center"/>
          </w:tcPr>
          <w:p w14:paraId="08DC26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细颗粒物</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PM</w:t>
            </w:r>
            <w:r>
              <w:rPr>
                <w:rFonts w:hint="default" w:ascii="Times New Roman" w:hAnsi="Times New Roman" w:cs="Times New Roman"/>
                <w:color w:val="auto"/>
                <w:sz w:val="21"/>
                <w:szCs w:val="21"/>
                <w:highlight w:val="none"/>
                <w:vertAlign w:val="subscript"/>
                <w:lang w:val="en-US" w:eastAsia="zh-CN"/>
              </w:rPr>
              <w:t>2.5</w:t>
            </w:r>
            <w:r>
              <w:rPr>
                <w:rFonts w:hint="eastAsia" w:ascii="Times New Roman" w:hAnsi="Times New Roman" w:cs="Times New Roman"/>
                <w:color w:val="auto"/>
                <w:sz w:val="21"/>
                <w:szCs w:val="21"/>
                <w:highlight w:val="none"/>
                <w:lang w:val="en-US" w:eastAsia="zh-CN"/>
              </w:rPr>
              <w:t>）</w:t>
            </w:r>
          </w:p>
        </w:tc>
        <w:tc>
          <w:tcPr>
            <w:tcW w:w="999" w:type="pct"/>
            <w:tcBorders>
              <w:tl2br w:val="nil"/>
              <w:tr2bl w:val="nil"/>
            </w:tcBorders>
            <w:shd w:val="clear" w:color="auto" w:fill="auto"/>
            <w:noWrap w:val="0"/>
            <w:vAlign w:val="center"/>
          </w:tcPr>
          <w:p w14:paraId="3D91A09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产生浓度</w:t>
            </w:r>
          </w:p>
        </w:tc>
        <w:tc>
          <w:tcPr>
            <w:tcW w:w="1000" w:type="pct"/>
            <w:tcBorders>
              <w:tl2br w:val="nil"/>
              <w:tr2bl w:val="nil"/>
            </w:tcBorders>
            <w:shd w:val="clear" w:color="auto" w:fill="auto"/>
            <w:noWrap w:val="0"/>
            <w:vAlign w:val="center"/>
          </w:tcPr>
          <w:p w14:paraId="30D28B0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532BFE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7304.705</w:t>
            </w:r>
          </w:p>
        </w:tc>
      </w:tr>
      <w:tr w14:paraId="76D53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57AD9A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5DC341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shd w:val="clear" w:color="auto" w:fill="auto"/>
            <w:noWrap w:val="0"/>
            <w:vAlign w:val="center"/>
          </w:tcPr>
          <w:p w14:paraId="47BA7C0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小时产生量</w:t>
            </w:r>
          </w:p>
        </w:tc>
        <w:tc>
          <w:tcPr>
            <w:tcW w:w="1000" w:type="pct"/>
            <w:tcBorders>
              <w:tl2br w:val="nil"/>
              <w:tr2bl w:val="nil"/>
            </w:tcBorders>
            <w:shd w:val="clear" w:color="auto" w:fill="auto"/>
            <w:noWrap w:val="0"/>
            <w:vAlign w:val="center"/>
          </w:tcPr>
          <w:p w14:paraId="1D54A80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43D633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788.765</w:t>
            </w:r>
          </w:p>
        </w:tc>
      </w:tr>
      <w:tr w14:paraId="3EDE1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69DD49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0A5A1D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shd w:val="clear" w:color="auto" w:fill="auto"/>
            <w:noWrap w:val="0"/>
            <w:vAlign w:val="center"/>
          </w:tcPr>
          <w:p w14:paraId="1D2A590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产生量</w:t>
            </w:r>
          </w:p>
        </w:tc>
        <w:tc>
          <w:tcPr>
            <w:tcW w:w="1000" w:type="pct"/>
            <w:tcBorders>
              <w:tl2br w:val="nil"/>
              <w:tr2bl w:val="nil"/>
            </w:tcBorders>
            <w:shd w:val="clear" w:color="auto" w:fill="auto"/>
            <w:noWrap w:val="0"/>
            <w:vAlign w:val="center"/>
          </w:tcPr>
          <w:p w14:paraId="5139008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78059A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2271.643</w:t>
            </w:r>
          </w:p>
        </w:tc>
      </w:tr>
      <w:tr w14:paraId="70F6A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6C3BEC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667400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shd w:val="clear" w:color="auto" w:fill="auto"/>
            <w:noWrap w:val="0"/>
            <w:vAlign w:val="center"/>
          </w:tcPr>
          <w:p w14:paraId="190E42E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排放浓度</w:t>
            </w:r>
          </w:p>
        </w:tc>
        <w:tc>
          <w:tcPr>
            <w:tcW w:w="1000" w:type="pct"/>
            <w:tcBorders>
              <w:tl2br w:val="nil"/>
              <w:tr2bl w:val="nil"/>
            </w:tcBorders>
            <w:shd w:val="clear" w:color="auto" w:fill="auto"/>
            <w:noWrap w:val="0"/>
            <w:vAlign w:val="center"/>
          </w:tcPr>
          <w:p w14:paraId="381DC05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4CE61E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14.614</w:t>
            </w:r>
          </w:p>
        </w:tc>
      </w:tr>
      <w:tr w14:paraId="3B962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490BE2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595CA6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shd w:val="clear" w:color="auto" w:fill="auto"/>
            <w:noWrap w:val="0"/>
            <w:vAlign w:val="center"/>
          </w:tcPr>
          <w:p w14:paraId="247EFDF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小时排放量</w:t>
            </w:r>
          </w:p>
        </w:tc>
        <w:tc>
          <w:tcPr>
            <w:tcW w:w="1000" w:type="pct"/>
            <w:tcBorders>
              <w:tl2br w:val="nil"/>
              <w:tr2bl w:val="nil"/>
            </w:tcBorders>
            <w:shd w:val="clear" w:color="auto" w:fill="auto"/>
            <w:noWrap w:val="0"/>
            <w:vAlign w:val="center"/>
          </w:tcPr>
          <w:p w14:paraId="27BC2B1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22B2B8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1.578</w:t>
            </w:r>
          </w:p>
        </w:tc>
      </w:tr>
      <w:tr w14:paraId="7E95A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073B9B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14D191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shd w:val="clear" w:color="auto" w:fill="auto"/>
            <w:noWrap w:val="0"/>
            <w:vAlign w:val="center"/>
          </w:tcPr>
          <w:p w14:paraId="36F697A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排放量</w:t>
            </w:r>
          </w:p>
        </w:tc>
        <w:tc>
          <w:tcPr>
            <w:tcW w:w="1000" w:type="pct"/>
            <w:tcBorders>
              <w:tl2br w:val="nil"/>
              <w:tr2bl w:val="nil"/>
            </w:tcBorders>
            <w:shd w:val="clear" w:color="auto" w:fill="auto"/>
            <w:noWrap w:val="0"/>
            <w:vAlign w:val="center"/>
          </w:tcPr>
          <w:p w14:paraId="1AE6FAB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673074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4.544</w:t>
            </w:r>
          </w:p>
        </w:tc>
      </w:tr>
      <w:tr w14:paraId="4F986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60FD9C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cs="Times New Roman"/>
                <w:color w:val="auto"/>
                <w:sz w:val="21"/>
                <w:szCs w:val="21"/>
                <w:highlight w:val="none"/>
                <w:lang w:val="en-US" w:eastAsia="zh-CN"/>
              </w:rPr>
              <w:t>2</w:t>
            </w:r>
          </w:p>
        </w:tc>
        <w:tc>
          <w:tcPr>
            <w:tcW w:w="1000" w:type="pct"/>
            <w:gridSpan w:val="2"/>
            <w:vMerge w:val="restart"/>
            <w:tcBorders>
              <w:tl2br w:val="nil"/>
              <w:tr2bl w:val="nil"/>
            </w:tcBorders>
            <w:noWrap w:val="0"/>
            <w:vAlign w:val="center"/>
          </w:tcPr>
          <w:p w14:paraId="7C8B93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SO</w:t>
            </w:r>
            <w:r>
              <w:rPr>
                <w:rFonts w:hint="default" w:ascii="Times New Roman" w:hAnsi="Times New Roman" w:cs="Times New Roman"/>
                <w:color w:val="auto"/>
                <w:sz w:val="21"/>
                <w:szCs w:val="21"/>
                <w:highlight w:val="none"/>
                <w:vertAlign w:val="subscript"/>
                <w:lang w:val="en-US" w:eastAsia="zh-CN"/>
              </w:rPr>
              <w:t>2</w:t>
            </w:r>
          </w:p>
        </w:tc>
        <w:tc>
          <w:tcPr>
            <w:tcW w:w="999" w:type="pct"/>
            <w:tcBorders>
              <w:tl2br w:val="nil"/>
              <w:tr2bl w:val="nil"/>
            </w:tcBorders>
            <w:noWrap w:val="0"/>
            <w:vAlign w:val="center"/>
          </w:tcPr>
          <w:p w14:paraId="48DDF7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产生浓度</w:t>
            </w:r>
          </w:p>
        </w:tc>
        <w:tc>
          <w:tcPr>
            <w:tcW w:w="1000" w:type="pct"/>
            <w:tcBorders>
              <w:tl2br w:val="nil"/>
              <w:tr2bl w:val="nil"/>
            </w:tcBorders>
            <w:noWrap w:val="0"/>
            <w:vAlign w:val="center"/>
          </w:tcPr>
          <w:p w14:paraId="2AEF3D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16797C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366.205</w:t>
            </w:r>
          </w:p>
        </w:tc>
      </w:tr>
      <w:tr w14:paraId="53865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5FF225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3A5E59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6BD52F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小时产生量</w:t>
            </w:r>
          </w:p>
        </w:tc>
        <w:tc>
          <w:tcPr>
            <w:tcW w:w="1000" w:type="pct"/>
            <w:tcBorders>
              <w:tl2br w:val="nil"/>
              <w:tr2bl w:val="nil"/>
            </w:tcBorders>
            <w:noWrap w:val="0"/>
            <w:vAlign w:val="center"/>
          </w:tcPr>
          <w:p w14:paraId="0A449F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33A193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39.543</w:t>
            </w:r>
          </w:p>
        </w:tc>
      </w:tr>
      <w:tr w14:paraId="0E394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2906B3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6A0C6C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36E3B2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产生量</w:t>
            </w:r>
          </w:p>
        </w:tc>
        <w:tc>
          <w:tcPr>
            <w:tcW w:w="1000" w:type="pct"/>
            <w:tcBorders>
              <w:tl2br w:val="nil"/>
              <w:tr2bl w:val="nil"/>
            </w:tcBorders>
            <w:noWrap w:val="0"/>
            <w:vAlign w:val="center"/>
          </w:tcPr>
          <w:p w14:paraId="0BD5ED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7301C9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113.883</w:t>
            </w:r>
          </w:p>
        </w:tc>
      </w:tr>
      <w:tr w14:paraId="29391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5B915F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242545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5C5332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排放浓度</w:t>
            </w:r>
          </w:p>
        </w:tc>
        <w:tc>
          <w:tcPr>
            <w:tcW w:w="1000" w:type="pct"/>
            <w:tcBorders>
              <w:tl2br w:val="nil"/>
              <w:tr2bl w:val="nil"/>
            </w:tcBorders>
            <w:noWrap w:val="0"/>
            <w:vAlign w:val="center"/>
          </w:tcPr>
          <w:p w14:paraId="055BC5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4C8A00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36.618</w:t>
            </w:r>
          </w:p>
        </w:tc>
      </w:tr>
      <w:tr w14:paraId="1A079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04EA22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100761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42C413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小时排放量</w:t>
            </w:r>
          </w:p>
        </w:tc>
        <w:tc>
          <w:tcPr>
            <w:tcW w:w="1000" w:type="pct"/>
            <w:tcBorders>
              <w:tl2br w:val="nil"/>
              <w:tr2bl w:val="nil"/>
            </w:tcBorders>
            <w:noWrap w:val="0"/>
            <w:vAlign w:val="center"/>
          </w:tcPr>
          <w:p w14:paraId="2C1DC6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726557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3.954</w:t>
            </w:r>
          </w:p>
        </w:tc>
      </w:tr>
      <w:tr w14:paraId="21339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50FA5D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720E13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394449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排放量</w:t>
            </w:r>
          </w:p>
        </w:tc>
        <w:tc>
          <w:tcPr>
            <w:tcW w:w="1000" w:type="pct"/>
            <w:tcBorders>
              <w:tl2br w:val="nil"/>
              <w:tr2bl w:val="nil"/>
            </w:tcBorders>
            <w:noWrap w:val="0"/>
            <w:vAlign w:val="center"/>
          </w:tcPr>
          <w:p w14:paraId="68CD41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3EE5E9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11.388</w:t>
            </w:r>
          </w:p>
        </w:tc>
      </w:tr>
      <w:tr w14:paraId="56F1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0FF6BD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cs="Times New Roman"/>
                <w:color w:val="auto"/>
                <w:sz w:val="21"/>
                <w:szCs w:val="21"/>
                <w:highlight w:val="none"/>
                <w:lang w:val="en-US" w:eastAsia="zh-CN"/>
              </w:rPr>
              <w:t>3</w:t>
            </w:r>
          </w:p>
        </w:tc>
        <w:tc>
          <w:tcPr>
            <w:tcW w:w="1000" w:type="pct"/>
            <w:gridSpan w:val="2"/>
            <w:vMerge w:val="restart"/>
            <w:tcBorders>
              <w:tl2br w:val="nil"/>
              <w:tr2bl w:val="nil"/>
            </w:tcBorders>
            <w:noWrap w:val="0"/>
            <w:vAlign w:val="center"/>
          </w:tcPr>
          <w:p w14:paraId="6C33F0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NO</w:t>
            </w:r>
            <w:r>
              <w:rPr>
                <w:rFonts w:hint="default" w:ascii="Times New Roman" w:hAnsi="Times New Roman" w:cs="Times New Roman"/>
                <w:color w:val="auto"/>
                <w:sz w:val="21"/>
                <w:szCs w:val="21"/>
                <w:highlight w:val="none"/>
                <w:vertAlign w:val="subscript"/>
                <w:lang w:val="en-US" w:eastAsia="zh-CN"/>
              </w:rPr>
              <w:t>x</w:t>
            </w:r>
          </w:p>
        </w:tc>
        <w:tc>
          <w:tcPr>
            <w:tcW w:w="999" w:type="pct"/>
            <w:tcBorders>
              <w:tl2br w:val="nil"/>
              <w:tr2bl w:val="nil"/>
            </w:tcBorders>
            <w:noWrap w:val="0"/>
            <w:vAlign w:val="center"/>
          </w:tcPr>
          <w:p w14:paraId="0D59FA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产生浓度</w:t>
            </w:r>
          </w:p>
        </w:tc>
        <w:tc>
          <w:tcPr>
            <w:tcW w:w="1000" w:type="pct"/>
            <w:tcBorders>
              <w:tl2br w:val="nil"/>
              <w:tr2bl w:val="nil"/>
            </w:tcBorders>
            <w:noWrap w:val="0"/>
            <w:vAlign w:val="center"/>
          </w:tcPr>
          <w:p w14:paraId="69EDEE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6C0A1E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500</w:t>
            </w:r>
          </w:p>
        </w:tc>
      </w:tr>
      <w:tr w14:paraId="3BAD3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1743A3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74AD9A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535B5F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小时产生量</w:t>
            </w:r>
          </w:p>
        </w:tc>
        <w:tc>
          <w:tcPr>
            <w:tcW w:w="1000" w:type="pct"/>
            <w:tcBorders>
              <w:tl2br w:val="nil"/>
              <w:tr2bl w:val="nil"/>
            </w:tcBorders>
            <w:noWrap w:val="0"/>
            <w:vAlign w:val="center"/>
          </w:tcPr>
          <w:p w14:paraId="0AD904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6C37C4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53.990</w:t>
            </w:r>
          </w:p>
        </w:tc>
      </w:tr>
      <w:tr w14:paraId="5BD91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0B2012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188D43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700969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产生量</w:t>
            </w:r>
          </w:p>
        </w:tc>
        <w:tc>
          <w:tcPr>
            <w:tcW w:w="1000" w:type="pct"/>
            <w:tcBorders>
              <w:tl2br w:val="nil"/>
              <w:tr2bl w:val="nil"/>
            </w:tcBorders>
            <w:noWrap w:val="0"/>
            <w:vAlign w:val="center"/>
          </w:tcPr>
          <w:p w14:paraId="720BD3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39C8D0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155.492</w:t>
            </w:r>
          </w:p>
        </w:tc>
      </w:tr>
      <w:tr w14:paraId="1B002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1A0EA8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6EDC4D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10AFAC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排放浓度</w:t>
            </w:r>
          </w:p>
        </w:tc>
        <w:tc>
          <w:tcPr>
            <w:tcW w:w="1000" w:type="pct"/>
            <w:tcBorders>
              <w:tl2br w:val="nil"/>
              <w:tr2bl w:val="nil"/>
            </w:tcBorders>
            <w:noWrap w:val="0"/>
            <w:vAlign w:val="center"/>
          </w:tcPr>
          <w:p w14:paraId="4A1319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2F9107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175</w:t>
            </w:r>
          </w:p>
        </w:tc>
      </w:tr>
      <w:tr w14:paraId="36EF7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4FB8B6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683C66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2ED030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小时排放量</w:t>
            </w:r>
          </w:p>
        </w:tc>
        <w:tc>
          <w:tcPr>
            <w:tcW w:w="1000" w:type="pct"/>
            <w:tcBorders>
              <w:tl2br w:val="nil"/>
              <w:tr2bl w:val="nil"/>
            </w:tcBorders>
            <w:noWrap w:val="0"/>
            <w:vAlign w:val="center"/>
          </w:tcPr>
          <w:p w14:paraId="776041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5741C6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18.897</w:t>
            </w:r>
          </w:p>
        </w:tc>
      </w:tr>
      <w:tr w14:paraId="248D1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2743C5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6CD859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317036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排放量</w:t>
            </w:r>
          </w:p>
        </w:tc>
        <w:tc>
          <w:tcPr>
            <w:tcW w:w="1000" w:type="pct"/>
            <w:tcBorders>
              <w:tl2br w:val="nil"/>
              <w:tr2bl w:val="nil"/>
            </w:tcBorders>
            <w:noWrap w:val="0"/>
            <w:vAlign w:val="center"/>
          </w:tcPr>
          <w:p w14:paraId="6234E9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00CA77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54.422</w:t>
            </w:r>
          </w:p>
        </w:tc>
      </w:tr>
      <w:tr w14:paraId="085E6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446594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cs="Times New Roman"/>
                <w:color w:val="auto"/>
                <w:sz w:val="21"/>
                <w:szCs w:val="21"/>
                <w:highlight w:val="none"/>
                <w:lang w:val="en-US" w:eastAsia="zh-CN"/>
              </w:rPr>
              <w:t>4</w:t>
            </w:r>
          </w:p>
        </w:tc>
        <w:tc>
          <w:tcPr>
            <w:tcW w:w="1000" w:type="pct"/>
            <w:gridSpan w:val="2"/>
            <w:vMerge w:val="restart"/>
            <w:tcBorders>
              <w:tl2br w:val="nil"/>
              <w:tr2bl w:val="nil"/>
            </w:tcBorders>
            <w:noWrap w:val="0"/>
            <w:vAlign w:val="center"/>
          </w:tcPr>
          <w:p w14:paraId="5DD63A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汞及其化合物</w:t>
            </w:r>
          </w:p>
        </w:tc>
        <w:tc>
          <w:tcPr>
            <w:tcW w:w="999" w:type="pct"/>
            <w:tcBorders>
              <w:tl2br w:val="nil"/>
              <w:tr2bl w:val="nil"/>
            </w:tcBorders>
            <w:noWrap w:val="0"/>
            <w:vAlign w:val="center"/>
          </w:tcPr>
          <w:p w14:paraId="2F0199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产生浓度</w:t>
            </w:r>
          </w:p>
        </w:tc>
        <w:tc>
          <w:tcPr>
            <w:tcW w:w="1000" w:type="pct"/>
            <w:tcBorders>
              <w:tl2br w:val="nil"/>
              <w:tr2bl w:val="nil"/>
            </w:tcBorders>
            <w:noWrap w:val="0"/>
            <w:vAlign w:val="center"/>
          </w:tcPr>
          <w:p w14:paraId="27B50E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37F623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0.01</w:t>
            </w:r>
            <w:r>
              <w:rPr>
                <w:rFonts w:hint="eastAsia" w:cs="Times New Roman"/>
                <w:color w:val="auto"/>
                <w:sz w:val="21"/>
                <w:szCs w:val="21"/>
                <w:highlight w:val="none"/>
                <w:lang w:val="en-US" w:eastAsia="zh-CN"/>
              </w:rPr>
              <w:t>48</w:t>
            </w:r>
          </w:p>
        </w:tc>
      </w:tr>
      <w:tr w14:paraId="7BD0C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0289A9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3CD72A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2E8E59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小时产生量</w:t>
            </w:r>
          </w:p>
        </w:tc>
        <w:tc>
          <w:tcPr>
            <w:tcW w:w="1000" w:type="pct"/>
            <w:tcBorders>
              <w:tl2br w:val="nil"/>
              <w:tr2bl w:val="nil"/>
            </w:tcBorders>
            <w:noWrap w:val="0"/>
            <w:vAlign w:val="center"/>
          </w:tcPr>
          <w:p w14:paraId="7454F2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7B31F0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0.0016</w:t>
            </w:r>
          </w:p>
        </w:tc>
      </w:tr>
      <w:tr w14:paraId="2E660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4CF059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070929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43A100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产生量</w:t>
            </w:r>
          </w:p>
        </w:tc>
        <w:tc>
          <w:tcPr>
            <w:tcW w:w="1000" w:type="pct"/>
            <w:tcBorders>
              <w:tl2br w:val="nil"/>
              <w:tr2bl w:val="nil"/>
            </w:tcBorders>
            <w:noWrap w:val="0"/>
            <w:vAlign w:val="center"/>
          </w:tcPr>
          <w:p w14:paraId="033676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67CF4C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w:t>
            </w:r>
            <w:r>
              <w:rPr>
                <w:rFonts w:hint="eastAsia" w:cs="Times New Roman"/>
                <w:color w:val="auto"/>
                <w:sz w:val="21"/>
                <w:szCs w:val="21"/>
                <w:highlight w:val="none"/>
                <w:lang w:val="en-US" w:eastAsia="zh-CN"/>
              </w:rPr>
              <w:t>46</w:t>
            </w:r>
          </w:p>
        </w:tc>
      </w:tr>
      <w:tr w14:paraId="615C0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52E09F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65ED43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637672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排放浓度</w:t>
            </w:r>
          </w:p>
        </w:tc>
        <w:tc>
          <w:tcPr>
            <w:tcW w:w="1000" w:type="pct"/>
            <w:tcBorders>
              <w:tl2br w:val="nil"/>
              <w:tr2bl w:val="nil"/>
            </w:tcBorders>
            <w:noWrap w:val="0"/>
            <w:vAlign w:val="center"/>
          </w:tcPr>
          <w:p w14:paraId="662D7E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p>
        </w:tc>
        <w:tc>
          <w:tcPr>
            <w:tcW w:w="1000" w:type="pct"/>
            <w:tcBorders>
              <w:tl2br w:val="nil"/>
              <w:tr2bl w:val="nil"/>
            </w:tcBorders>
            <w:noWrap w:val="0"/>
            <w:vAlign w:val="center"/>
          </w:tcPr>
          <w:p w14:paraId="0F22AF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w:t>
            </w:r>
            <w:r>
              <w:rPr>
                <w:rFonts w:hint="eastAsia" w:cs="Times New Roman"/>
                <w:color w:val="auto"/>
                <w:sz w:val="21"/>
                <w:szCs w:val="21"/>
                <w:highlight w:val="none"/>
                <w:lang w:val="en-US" w:eastAsia="zh-CN"/>
              </w:rPr>
              <w:t>44</w:t>
            </w:r>
          </w:p>
        </w:tc>
      </w:tr>
      <w:tr w14:paraId="1A905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243A0B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3999BB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3CEC0B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小时排放量</w:t>
            </w:r>
          </w:p>
        </w:tc>
        <w:tc>
          <w:tcPr>
            <w:tcW w:w="1000" w:type="pct"/>
            <w:tcBorders>
              <w:tl2br w:val="nil"/>
              <w:tr2bl w:val="nil"/>
            </w:tcBorders>
            <w:noWrap w:val="0"/>
            <w:vAlign w:val="center"/>
          </w:tcPr>
          <w:p w14:paraId="20CC7F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kg/h</w:t>
            </w:r>
          </w:p>
        </w:tc>
        <w:tc>
          <w:tcPr>
            <w:tcW w:w="1000" w:type="pct"/>
            <w:tcBorders>
              <w:tl2br w:val="nil"/>
              <w:tr2bl w:val="nil"/>
            </w:tcBorders>
            <w:noWrap w:val="0"/>
            <w:vAlign w:val="center"/>
          </w:tcPr>
          <w:p w14:paraId="37011E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0.00048</w:t>
            </w:r>
          </w:p>
        </w:tc>
      </w:tr>
      <w:tr w14:paraId="7453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2B86A4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00" w:type="pct"/>
            <w:gridSpan w:val="2"/>
            <w:vMerge w:val="continue"/>
            <w:tcBorders>
              <w:tl2br w:val="nil"/>
              <w:tr2bl w:val="nil"/>
            </w:tcBorders>
            <w:noWrap w:val="0"/>
            <w:vAlign w:val="center"/>
          </w:tcPr>
          <w:p w14:paraId="54D432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99" w:type="pct"/>
            <w:tcBorders>
              <w:tl2br w:val="nil"/>
              <w:tr2bl w:val="nil"/>
            </w:tcBorders>
            <w:noWrap w:val="0"/>
            <w:vAlign w:val="center"/>
          </w:tcPr>
          <w:p w14:paraId="3110C3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排放量</w:t>
            </w:r>
          </w:p>
        </w:tc>
        <w:tc>
          <w:tcPr>
            <w:tcW w:w="1000" w:type="pct"/>
            <w:tcBorders>
              <w:tl2br w:val="nil"/>
              <w:tr2bl w:val="nil"/>
            </w:tcBorders>
            <w:noWrap w:val="0"/>
            <w:vAlign w:val="center"/>
          </w:tcPr>
          <w:p w14:paraId="6EFC68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t/a</w:t>
            </w:r>
          </w:p>
        </w:tc>
        <w:tc>
          <w:tcPr>
            <w:tcW w:w="1000" w:type="pct"/>
            <w:tcBorders>
              <w:tl2br w:val="nil"/>
              <w:tr2bl w:val="nil"/>
            </w:tcBorders>
            <w:noWrap w:val="0"/>
            <w:vAlign w:val="center"/>
          </w:tcPr>
          <w:p w14:paraId="73546D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0.001</w:t>
            </w:r>
            <w:r>
              <w:rPr>
                <w:rFonts w:hint="eastAsia" w:cs="Times New Roman"/>
                <w:color w:val="auto"/>
                <w:sz w:val="21"/>
                <w:szCs w:val="21"/>
                <w:highlight w:val="none"/>
                <w:lang w:val="en-US" w:eastAsia="zh-CN"/>
              </w:rPr>
              <w:t>4</w:t>
            </w:r>
          </w:p>
        </w:tc>
      </w:tr>
      <w:tr w14:paraId="73C78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restart"/>
            <w:tcBorders>
              <w:tl2br w:val="nil"/>
              <w:tr2bl w:val="nil"/>
            </w:tcBorders>
            <w:noWrap w:val="0"/>
            <w:vAlign w:val="center"/>
          </w:tcPr>
          <w:p w14:paraId="7B1049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15</w:t>
            </w:r>
          </w:p>
        </w:tc>
        <w:tc>
          <w:tcPr>
            <w:tcW w:w="1000" w:type="pct"/>
            <w:gridSpan w:val="2"/>
            <w:vMerge w:val="restart"/>
            <w:tcBorders>
              <w:tl2br w:val="nil"/>
              <w:tr2bl w:val="nil"/>
            </w:tcBorders>
            <w:noWrap w:val="0"/>
            <w:vAlign w:val="center"/>
          </w:tcPr>
          <w:p w14:paraId="1E616E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氨</w:t>
            </w:r>
          </w:p>
        </w:tc>
        <w:tc>
          <w:tcPr>
            <w:tcW w:w="1704" w:type="dxa"/>
            <w:tcBorders>
              <w:tl2br w:val="nil"/>
              <w:tr2bl w:val="nil"/>
            </w:tcBorders>
            <w:noWrap w:val="0"/>
            <w:vAlign w:val="center"/>
          </w:tcPr>
          <w:p w14:paraId="71F5FB57">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eastAsia"/>
                <w:color w:val="FF0000"/>
                <w:sz w:val="21"/>
                <w:szCs w:val="21"/>
              </w:rPr>
              <w:t>产生浓度</w:t>
            </w:r>
          </w:p>
        </w:tc>
        <w:tc>
          <w:tcPr>
            <w:tcW w:w="1707" w:type="dxa"/>
            <w:tcBorders>
              <w:tl2br w:val="nil"/>
              <w:tr2bl w:val="nil"/>
            </w:tcBorders>
            <w:noWrap w:val="0"/>
            <w:vAlign w:val="center"/>
          </w:tcPr>
          <w:p w14:paraId="0F636D78">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default"/>
                <w:color w:val="FF0000"/>
                <w:sz w:val="21"/>
                <w:szCs w:val="21"/>
              </w:rPr>
              <w:t>mg/m</w:t>
            </w:r>
            <w:r>
              <w:rPr>
                <w:rFonts w:hint="default"/>
                <w:color w:val="FF0000"/>
                <w:sz w:val="21"/>
                <w:szCs w:val="21"/>
                <w:vertAlign w:val="superscript"/>
              </w:rPr>
              <w:t>3</w:t>
            </w:r>
          </w:p>
        </w:tc>
        <w:tc>
          <w:tcPr>
            <w:tcW w:w="1000" w:type="pct"/>
            <w:tcBorders>
              <w:tl2br w:val="nil"/>
              <w:tr2bl w:val="nil"/>
            </w:tcBorders>
            <w:noWrap w:val="0"/>
            <w:vAlign w:val="center"/>
          </w:tcPr>
          <w:p w14:paraId="6A570E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2.5</w:t>
            </w:r>
          </w:p>
        </w:tc>
      </w:tr>
      <w:tr w14:paraId="7354A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02B7C8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000" w:type="pct"/>
            <w:gridSpan w:val="2"/>
            <w:vMerge w:val="continue"/>
            <w:tcBorders>
              <w:tl2br w:val="nil"/>
              <w:tr2bl w:val="nil"/>
            </w:tcBorders>
            <w:noWrap w:val="0"/>
            <w:vAlign w:val="center"/>
          </w:tcPr>
          <w:p w14:paraId="436EFD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704" w:type="dxa"/>
            <w:tcBorders>
              <w:tl2br w:val="nil"/>
              <w:tr2bl w:val="nil"/>
            </w:tcBorders>
            <w:noWrap w:val="0"/>
            <w:vAlign w:val="center"/>
          </w:tcPr>
          <w:p w14:paraId="65422906">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eastAsia"/>
                <w:color w:val="FF0000"/>
                <w:sz w:val="21"/>
                <w:szCs w:val="21"/>
              </w:rPr>
              <w:t>小时产生量</w:t>
            </w:r>
          </w:p>
        </w:tc>
        <w:tc>
          <w:tcPr>
            <w:tcW w:w="1707" w:type="dxa"/>
            <w:tcBorders>
              <w:tl2br w:val="nil"/>
              <w:tr2bl w:val="nil"/>
            </w:tcBorders>
            <w:noWrap w:val="0"/>
            <w:vAlign w:val="center"/>
          </w:tcPr>
          <w:p w14:paraId="5B820EEE">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default"/>
                <w:color w:val="FF0000"/>
                <w:sz w:val="21"/>
                <w:szCs w:val="21"/>
              </w:rPr>
              <w:t>kg/h</w:t>
            </w:r>
          </w:p>
        </w:tc>
        <w:tc>
          <w:tcPr>
            <w:tcW w:w="1000" w:type="pct"/>
            <w:tcBorders>
              <w:tl2br w:val="nil"/>
              <w:tr2bl w:val="nil"/>
            </w:tcBorders>
            <w:noWrap w:val="0"/>
            <w:vAlign w:val="center"/>
          </w:tcPr>
          <w:p w14:paraId="13371D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0.27</w:t>
            </w:r>
          </w:p>
        </w:tc>
      </w:tr>
      <w:tr w14:paraId="72301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5A805F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000" w:type="pct"/>
            <w:gridSpan w:val="2"/>
            <w:vMerge w:val="continue"/>
            <w:tcBorders>
              <w:tl2br w:val="nil"/>
              <w:tr2bl w:val="nil"/>
            </w:tcBorders>
            <w:noWrap w:val="0"/>
            <w:vAlign w:val="center"/>
          </w:tcPr>
          <w:p w14:paraId="74E858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704" w:type="dxa"/>
            <w:tcBorders>
              <w:tl2br w:val="nil"/>
              <w:tr2bl w:val="nil"/>
            </w:tcBorders>
            <w:noWrap w:val="0"/>
            <w:vAlign w:val="center"/>
          </w:tcPr>
          <w:p w14:paraId="17F4DEF7">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eastAsia"/>
                <w:color w:val="FF0000"/>
                <w:sz w:val="21"/>
                <w:szCs w:val="21"/>
              </w:rPr>
              <w:t>产生量</w:t>
            </w:r>
          </w:p>
        </w:tc>
        <w:tc>
          <w:tcPr>
            <w:tcW w:w="1707" w:type="dxa"/>
            <w:tcBorders>
              <w:tl2br w:val="nil"/>
              <w:tr2bl w:val="nil"/>
            </w:tcBorders>
            <w:noWrap w:val="0"/>
            <w:vAlign w:val="center"/>
          </w:tcPr>
          <w:p w14:paraId="00C28E85">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default"/>
                <w:color w:val="FF0000"/>
                <w:sz w:val="21"/>
                <w:szCs w:val="21"/>
              </w:rPr>
              <w:t>t/a</w:t>
            </w:r>
          </w:p>
        </w:tc>
        <w:tc>
          <w:tcPr>
            <w:tcW w:w="1000" w:type="pct"/>
            <w:tcBorders>
              <w:tl2br w:val="nil"/>
              <w:tr2bl w:val="nil"/>
            </w:tcBorders>
            <w:noWrap w:val="0"/>
            <w:vAlign w:val="center"/>
          </w:tcPr>
          <w:p w14:paraId="07D6E9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0.78</w:t>
            </w:r>
          </w:p>
        </w:tc>
      </w:tr>
      <w:tr w14:paraId="3A9A4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109A35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000" w:type="pct"/>
            <w:gridSpan w:val="2"/>
            <w:vMerge w:val="continue"/>
            <w:tcBorders>
              <w:tl2br w:val="nil"/>
              <w:tr2bl w:val="nil"/>
            </w:tcBorders>
            <w:noWrap w:val="0"/>
            <w:vAlign w:val="center"/>
          </w:tcPr>
          <w:p w14:paraId="5F391F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704" w:type="dxa"/>
            <w:tcBorders>
              <w:tl2br w:val="nil"/>
              <w:tr2bl w:val="nil"/>
            </w:tcBorders>
            <w:noWrap w:val="0"/>
            <w:vAlign w:val="center"/>
          </w:tcPr>
          <w:p w14:paraId="512008EB">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eastAsia"/>
                <w:color w:val="FF0000"/>
                <w:sz w:val="21"/>
                <w:szCs w:val="21"/>
              </w:rPr>
              <w:t>排放浓度</w:t>
            </w:r>
          </w:p>
        </w:tc>
        <w:tc>
          <w:tcPr>
            <w:tcW w:w="1707" w:type="dxa"/>
            <w:tcBorders>
              <w:tl2br w:val="nil"/>
              <w:tr2bl w:val="nil"/>
            </w:tcBorders>
            <w:noWrap w:val="0"/>
            <w:vAlign w:val="center"/>
          </w:tcPr>
          <w:p w14:paraId="5B969A6B">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default"/>
                <w:color w:val="FF0000"/>
                <w:sz w:val="21"/>
                <w:szCs w:val="21"/>
              </w:rPr>
              <w:t>mg/m</w:t>
            </w:r>
            <w:r>
              <w:rPr>
                <w:rFonts w:hint="default"/>
                <w:color w:val="FF0000"/>
                <w:sz w:val="21"/>
                <w:szCs w:val="21"/>
                <w:vertAlign w:val="superscript"/>
              </w:rPr>
              <w:t>3</w:t>
            </w:r>
          </w:p>
        </w:tc>
        <w:tc>
          <w:tcPr>
            <w:tcW w:w="1707" w:type="dxa"/>
            <w:tcBorders>
              <w:tl2br w:val="nil"/>
              <w:tr2bl w:val="nil"/>
            </w:tcBorders>
            <w:noWrap w:val="0"/>
            <w:vAlign w:val="center"/>
          </w:tcPr>
          <w:p w14:paraId="03CA503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2.5</w:t>
            </w:r>
          </w:p>
        </w:tc>
      </w:tr>
      <w:tr w14:paraId="184B5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05DBAB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000" w:type="pct"/>
            <w:gridSpan w:val="2"/>
            <w:vMerge w:val="continue"/>
            <w:tcBorders>
              <w:tl2br w:val="nil"/>
              <w:tr2bl w:val="nil"/>
            </w:tcBorders>
            <w:noWrap w:val="0"/>
            <w:vAlign w:val="center"/>
          </w:tcPr>
          <w:p w14:paraId="46BEAE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704" w:type="dxa"/>
            <w:tcBorders>
              <w:tl2br w:val="nil"/>
              <w:tr2bl w:val="nil"/>
            </w:tcBorders>
            <w:noWrap w:val="0"/>
            <w:vAlign w:val="center"/>
          </w:tcPr>
          <w:p w14:paraId="1F3D3416">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eastAsia"/>
                <w:color w:val="FF0000"/>
                <w:sz w:val="21"/>
                <w:szCs w:val="21"/>
              </w:rPr>
              <w:t>小时排放量</w:t>
            </w:r>
          </w:p>
        </w:tc>
        <w:tc>
          <w:tcPr>
            <w:tcW w:w="1707" w:type="dxa"/>
            <w:tcBorders>
              <w:tl2br w:val="nil"/>
              <w:tr2bl w:val="nil"/>
            </w:tcBorders>
            <w:noWrap w:val="0"/>
            <w:vAlign w:val="center"/>
          </w:tcPr>
          <w:p w14:paraId="62DB197D">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default"/>
                <w:color w:val="FF0000"/>
                <w:sz w:val="21"/>
                <w:szCs w:val="21"/>
              </w:rPr>
              <w:t>kg/h</w:t>
            </w:r>
          </w:p>
        </w:tc>
        <w:tc>
          <w:tcPr>
            <w:tcW w:w="1707" w:type="dxa"/>
            <w:tcBorders>
              <w:tl2br w:val="nil"/>
              <w:tr2bl w:val="nil"/>
            </w:tcBorders>
            <w:noWrap w:val="0"/>
            <w:vAlign w:val="center"/>
          </w:tcPr>
          <w:p w14:paraId="2A2B96D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0.27</w:t>
            </w:r>
          </w:p>
        </w:tc>
      </w:tr>
      <w:tr w14:paraId="7630A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9" w:type="pct"/>
            <w:vMerge w:val="continue"/>
            <w:tcBorders>
              <w:tl2br w:val="nil"/>
              <w:tr2bl w:val="nil"/>
            </w:tcBorders>
            <w:noWrap w:val="0"/>
            <w:vAlign w:val="center"/>
          </w:tcPr>
          <w:p w14:paraId="678EB9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000" w:type="pct"/>
            <w:gridSpan w:val="2"/>
            <w:vMerge w:val="continue"/>
            <w:tcBorders>
              <w:tl2br w:val="nil"/>
              <w:tr2bl w:val="nil"/>
            </w:tcBorders>
            <w:noWrap w:val="0"/>
            <w:vAlign w:val="center"/>
          </w:tcPr>
          <w:p w14:paraId="796545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cs="Times New Roman"/>
                <w:color w:val="FF0000"/>
                <w:sz w:val="21"/>
                <w:szCs w:val="21"/>
                <w:highlight w:val="none"/>
                <w:lang w:val="en-US" w:eastAsia="zh-CN"/>
              </w:rPr>
            </w:pPr>
          </w:p>
        </w:tc>
        <w:tc>
          <w:tcPr>
            <w:tcW w:w="1704" w:type="dxa"/>
            <w:tcBorders>
              <w:tl2br w:val="nil"/>
              <w:tr2bl w:val="nil"/>
            </w:tcBorders>
            <w:noWrap w:val="0"/>
            <w:vAlign w:val="center"/>
          </w:tcPr>
          <w:p w14:paraId="3B321381">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eastAsia"/>
                <w:color w:val="FF0000"/>
                <w:sz w:val="21"/>
                <w:szCs w:val="21"/>
              </w:rPr>
              <w:t>排放量</w:t>
            </w:r>
          </w:p>
        </w:tc>
        <w:tc>
          <w:tcPr>
            <w:tcW w:w="1707" w:type="dxa"/>
            <w:tcBorders>
              <w:tl2br w:val="nil"/>
              <w:tr2bl w:val="nil"/>
            </w:tcBorders>
            <w:noWrap w:val="0"/>
            <w:vAlign w:val="center"/>
          </w:tcPr>
          <w:p w14:paraId="281FE5BC">
            <w:pPr>
              <w:pStyle w:val="3"/>
              <w:spacing w:beforeLines="0" w:after="0" w:afterLines="0" w:line="320" w:lineRule="exact"/>
              <w:ind w:left="0" w:leftChars="0" w:firstLine="0" w:firstLineChars="0"/>
              <w:jc w:val="center"/>
              <w:rPr>
                <w:rFonts w:hint="default" w:ascii="Times New Roman" w:hAnsi="Times New Roman" w:cs="Times New Roman"/>
                <w:color w:val="FF0000"/>
                <w:sz w:val="21"/>
                <w:szCs w:val="21"/>
                <w:highlight w:val="none"/>
                <w:lang w:val="en-US" w:eastAsia="zh-CN"/>
              </w:rPr>
            </w:pPr>
            <w:r>
              <w:rPr>
                <w:rFonts w:hint="default"/>
                <w:color w:val="FF0000"/>
                <w:sz w:val="21"/>
                <w:szCs w:val="21"/>
              </w:rPr>
              <w:t>t/a</w:t>
            </w:r>
          </w:p>
        </w:tc>
        <w:tc>
          <w:tcPr>
            <w:tcW w:w="1707" w:type="dxa"/>
            <w:tcBorders>
              <w:tl2br w:val="nil"/>
              <w:tr2bl w:val="nil"/>
            </w:tcBorders>
            <w:noWrap w:val="0"/>
            <w:vAlign w:val="center"/>
          </w:tcPr>
          <w:p w14:paraId="35797B2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0.78</w:t>
            </w:r>
          </w:p>
        </w:tc>
      </w:tr>
    </w:tbl>
    <w:p w14:paraId="67E55308">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（2）无组织废气</w:t>
      </w:r>
    </w:p>
    <w:p w14:paraId="1A9EC699">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 xml:space="preserve">工业粉尘 </w:t>
      </w:r>
    </w:p>
    <w:p w14:paraId="32219410">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本项目厂区内输煤系统的破碎、输送环节均已采用封闭措施，完全封闭于室内，产生的煤尘不外泄；项目灰渣采用湿式除渣，每天清运；项目煤库全部封闭，并设喷淋装置定期对煤场进行喷淋抑尘，粉尘排放量较小。</w:t>
      </w:r>
    </w:p>
    <w:p w14:paraId="0BE238EB">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本项目无组织扩散产生的煤尘主要来自于原煤装卸产生扬尘，根据建设单位提供资料显示，煤库面积为</w:t>
      </w:r>
      <w:r>
        <w:rPr>
          <w:rFonts w:hint="eastAsia" w:ascii="Times New Roman" w:hAnsi="Times New Roman" w:eastAsia="宋体" w:cs="Times New Roman"/>
          <w:color w:val="auto"/>
          <w:lang w:val="en-US" w:eastAsia="zh-CN"/>
        </w:rPr>
        <w:t>23</w:t>
      </w:r>
      <w:r>
        <w:rPr>
          <w:rFonts w:hint="default" w:ascii="Times New Roman" w:hAnsi="Times New Roman" w:eastAsia="宋体" w:cs="Times New Roman"/>
          <w:color w:val="auto"/>
          <w:lang w:val="en-US" w:eastAsia="zh-CN"/>
        </w:rPr>
        <w:t>00m</w:t>
      </w:r>
      <w:r>
        <w:rPr>
          <w:rFonts w:hint="default"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val="en-US" w:eastAsia="zh-CN"/>
        </w:rPr>
        <w:t>，最大贮煤约</w:t>
      </w:r>
      <w:r>
        <w:rPr>
          <w:rFonts w:hint="eastAsia" w:ascii="Times New Roman" w:hAnsi="Times New Roman" w:eastAsia="宋体" w:cs="Times New Roman"/>
          <w:color w:val="auto"/>
          <w:lang w:val="en-US" w:eastAsia="zh-CN"/>
        </w:rPr>
        <w:t>10</w:t>
      </w:r>
      <w:r>
        <w:rPr>
          <w:rFonts w:hint="default" w:ascii="Times New Roman" w:hAnsi="Times New Roman" w:eastAsia="宋体" w:cs="Times New Roman"/>
          <w:color w:val="auto"/>
          <w:lang w:val="en-US" w:eastAsia="zh-CN"/>
        </w:rPr>
        <w:t>000t。根据《扬尘源颗粒物排放清单编制技术指南》，堆场扬尘源的排放量是装卸、运输引起的扬尘，计算公式如下：</w:t>
      </w:r>
    </w:p>
    <w:p w14:paraId="5F2E07F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drawing>
          <wp:inline distT="0" distB="0" distL="114300" distR="114300">
            <wp:extent cx="2273300" cy="635000"/>
            <wp:effectExtent l="0" t="0" r="0" b="0"/>
            <wp:docPr id="2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1"/>
                    <pic:cNvPicPr>
                      <a:picLocks noChangeAspect="1"/>
                    </pic:cNvPicPr>
                  </pic:nvPicPr>
                  <pic:blipFill>
                    <a:blip r:embed="rId66"/>
                    <a:stretch>
                      <a:fillRect/>
                    </a:stretch>
                  </pic:blipFill>
                  <pic:spPr>
                    <a:xfrm>
                      <a:off x="0" y="0"/>
                      <a:ext cx="2273300" cy="635000"/>
                    </a:xfrm>
                    <a:prstGeom prst="rect">
                      <a:avLst/>
                    </a:prstGeom>
                    <a:noFill/>
                    <a:ln>
                      <a:noFill/>
                    </a:ln>
                  </pic:spPr>
                </pic:pic>
              </a:graphicData>
            </a:graphic>
          </wp:inline>
        </w:drawing>
      </w:r>
    </w:p>
    <w:p w14:paraId="224B585B">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式中：</w:t>
      </w:r>
      <w:r>
        <w:rPr>
          <w:rFonts w:hint="default" w:ascii="Times New Roman" w:hAnsi="Times New Roman" w:eastAsia="宋体" w:cs="Times New Roman"/>
          <w:color w:val="auto"/>
          <w:lang w:val="en-US" w:eastAsia="zh-CN"/>
        </w:rPr>
        <w:t>E</w:t>
      </w:r>
      <w:r>
        <w:rPr>
          <w:rFonts w:hint="default" w:ascii="Times New Roman" w:hAnsi="Times New Roman" w:eastAsia="宋体" w:cs="Times New Roman"/>
          <w:color w:val="auto"/>
          <w:vertAlign w:val="subscript"/>
          <w:lang w:val="en-US" w:eastAsia="zh-CN"/>
        </w:rPr>
        <w:t>h</w:t>
      </w:r>
      <w:r>
        <w:rPr>
          <w:rFonts w:hint="default" w:ascii="Times New Roman" w:hAnsi="Times New Roman" w:eastAsia="宋体" w:cs="Times New Roman"/>
          <w:color w:val="auto"/>
          <w:lang w:val="en-US" w:eastAsia="zh-CN"/>
        </w:rPr>
        <w:t>为堆场装卸扬尘的排放系数，kg/t。</w:t>
      </w:r>
    </w:p>
    <w:p w14:paraId="47E03953">
      <w:pPr>
        <w:keepNext w:val="0"/>
        <w:keepLines w:val="0"/>
        <w:pageBreakBefore w:val="0"/>
        <w:widowControl w:val="0"/>
        <w:kinsoku/>
        <w:wordWrap/>
        <w:overflowPunct/>
        <w:topLinePunct w:val="0"/>
        <w:autoSpaceDE/>
        <w:autoSpaceDN/>
        <w:bidi w:val="0"/>
        <w:adjustRightInd/>
        <w:snapToGrid w:val="0"/>
        <w:spacing w:line="48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k</w:t>
      </w:r>
      <w:r>
        <w:rPr>
          <w:rFonts w:hint="default" w:ascii="Times New Roman" w:hAnsi="Times New Roman" w:eastAsia="宋体" w:cs="Times New Roman"/>
          <w:color w:val="auto"/>
          <w:vertAlign w:val="subscript"/>
          <w:lang w:val="en-US" w:eastAsia="zh-CN"/>
        </w:rPr>
        <w:t>i</w:t>
      </w:r>
      <w:r>
        <w:rPr>
          <w:rFonts w:hint="default" w:ascii="Times New Roman" w:hAnsi="Times New Roman" w:eastAsia="宋体" w:cs="Times New Roman"/>
          <w:color w:val="auto"/>
          <w:lang w:val="en-US" w:eastAsia="zh-CN"/>
        </w:rPr>
        <w:t>为物料的粒度乘数，取0.74。</w:t>
      </w:r>
    </w:p>
    <w:p w14:paraId="233FDFAD">
      <w:pPr>
        <w:keepNext w:val="0"/>
        <w:keepLines w:val="0"/>
        <w:pageBreakBefore w:val="0"/>
        <w:widowControl w:val="0"/>
        <w:kinsoku/>
        <w:wordWrap/>
        <w:overflowPunct/>
        <w:topLinePunct w:val="0"/>
        <w:autoSpaceDE/>
        <w:autoSpaceDN/>
        <w:bidi w:val="0"/>
        <w:adjustRightInd/>
        <w:snapToGrid w:val="0"/>
        <w:spacing w:line="48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u为地面平均风速，m/s，平均风速取2.</w:t>
      </w:r>
      <w:r>
        <w:rPr>
          <w:rFonts w:hint="eastAsia" w:ascii="Times New Roman" w:hAnsi="Times New Roman" w:eastAsia="宋体" w:cs="Times New Roman"/>
          <w:color w:val="auto"/>
          <w:lang w:val="en-US" w:eastAsia="zh-CN"/>
        </w:rPr>
        <w:t>9</w:t>
      </w:r>
      <w:r>
        <w:rPr>
          <w:rFonts w:hint="default" w:ascii="Times New Roman" w:hAnsi="Times New Roman" w:eastAsia="宋体" w:cs="Times New Roman"/>
          <w:color w:val="auto"/>
          <w:lang w:val="en-US" w:eastAsia="zh-CN"/>
        </w:rPr>
        <w:t>。</w:t>
      </w:r>
    </w:p>
    <w:p w14:paraId="43028B68">
      <w:pPr>
        <w:keepNext w:val="0"/>
        <w:keepLines w:val="0"/>
        <w:pageBreakBefore w:val="0"/>
        <w:widowControl w:val="0"/>
        <w:kinsoku/>
        <w:wordWrap/>
        <w:overflowPunct/>
        <w:topLinePunct w:val="0"/>
        <w:autoSpaceDE/>
        <w:autoSpaceDN/>
        <w:bidi w:val="0"/>
        <w:adjustRightInd/>
        <w:snapToGrid w:val="0"/>
        <w:spacing w:line="48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M为物料含水率，%，根据煤质报告取</w:t>
      </w:r>
      <w:r>
        <w:rPr>
          <w:rFonts w:hint="eastAsia" w:ascii="Times New Roman" w:hAnsi="Times New Roman" w:eastAsia="宋体" w:cs="Times New Roman"/>
          <w:color w:val="auto"/>
          <w:lang w:val="en-US" w:eastAsia="zh-CN"/>
        </w:rPr>
        <w:t>12</w:t>
      </w:r>
      <w:r>
        <w:rPr>
          <w:rFonts w:hint="default" w:ascii="Times New Roman" w:hAnsi="Times New Roman" w:eastAsia="宋体" w:cs="Times New Roman"/>
          <w:color w:val="auto"/>
          <w:lang w:val="en-US" w:eastAsia="zh-CN"/>
        </w:rPr>
        <w:t>。</w:t>
      </w:r>
    </w:p>
    <w:p w14:paraId="6694E02D">
      <w:pPr>
        <w:keepNext w:val="0"/>
        <w:keepLines w:val="0"/>
        <w:pageBreakBefore w:val="0"/>
        <w:widowControl w:val="0"/>
        <w:kinsoku/>
        <w:wordWrap/>
        <w:overflowPunct/>
        <w:topLinePunct w:val="0"/>
        <w:autoSpaceDE/>
        <w:autoSpaceDN/>
        <w:bidi w:val="0"/>
        <w:adjustRightInd/>
        <w:snapToGrid w:val="0"/>
        <w:spacing w:line="48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η为污染控制技术对扬尘的去除效率，%，取</w:t>
      </w:r>
      <w:r>
        <w:rPr>
          <w:rFonts w:hint="eastAsia" w:ascii="Times New Roman" w:hAnsi="Times New Roman" w:eastAsia="宋体" w:cs="Times New Roman"/>
          <w:color w:val="auto"/>
          <w:lang w:val="en-US" w:eastAsia="zh-CN"/>
        </w:rPr>
        <w:t>95%</w:t>
      </w:r>
      <w:r>
        <w:rPr>
          <w:rFonts w:hint="default" w:ascii="Times New Roman" w:hAnsi="Times New Roman" w:eastAsia="宋体" w:cs="Times New Roman"/>
          <w:color w:val="auto"/>
          <w:lang w:val="en-US" w:eastAsia="zh-CN"/>
        </w:rPr>
        <w:t>（封闭储煤库，煤库洒水降尘）。</w:t>
      </w:r>
    </w:p>
    <w:p w14:paraId="4B3B999E">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经计算，本项目堆场装卸扬尘的排放系数</w:t>
      </w:r>
      <w:r>
        <w:rPr>
          <w:rFonts w:hint="eastAsia" w:ascii="Times New Roman" w:hAnsi="Times New Roman" w:eastAsia="宋体" w:cs="Times New Roman"/>
          <w:color w:val="auto"/>
          <w:lang w:val="en-US" w:eastAsia="zh-CN"/>
        </w:rPr>
        <w:t>0.00001kg/t，燃煤装卸量为</w:t>
      </w:r>
      <w:r>
        <w:rPr>
          <w:rFonts w:hint="eastAsia" w:ascii="Times New Roman" w:hAnsi="Times New Roman" w:eastAsia="宋体" w:cs="Times New Roman"/>
          <w:color w:val="auto"/>
          <w:sz w:val="24"/>
          <w:szCs w:val="24"/>
          <w:highlight w:val="none"/>
          <w:lang w:val="en-US" w:eastAsia="zh-CN"/>
        </w:rPr>
        <w:t>49622.4t/a，则装卸粉尘</w:t>
      </w:r>
      <w:r>
        <w:rPr>
          <w:rFonts w:hint="default" w:ascii="Times New Roman" w:hAnsi="Times New Roman" w:eastAsia="宋体" w:cs="Times New Roman"/>
          <w:color w:val="auto"/>
          <w:lang w:val="en-US" w:eastAsia="zh-CN"/>
        </w:rPr>
        <w:t>排放量为0.00</w:t>
      </w:r>
      <w:r>
        <w:rPr>
          <w:rFonts w:hint="eastAsia" w:ascii="Times New Roman" w:hAnsi="Times New Roman" w:eastAsia="宋体" w:cs="Times New Roman"/>
          <w:color w:val="auto"/>
          <w:lang w:val="en-US" w:eastAsia="zh-CN"/>
        </w:rPr>
        <w:t>05</w:t>
      </w:r>
      <w:r>
        <w:rPr>
          <w:rFonts w:hint="default" w:ascii="Times New Roman" w:hAnsi="Times New Roman" w:eastAsia="宋体" w:cs="Times New Roman"/>
          <w:color w:val="auto"/>
          <w:lang w:val="en-US" w:eastAsia="zh-CN"/>
        </w:rPr>
        <w:t>t/a，按每天装卸作业1h计算，年作业18</w:t>
      </w:r>
      <w:r>
        <w:rPr>
          <w:rFonts w:hint="eastAsia" w:ascii="Times New Roman" w:hAnsi="Times New Roman" w:eastAsia="宋体" w:cs="Times New Roman"/>
          <w:color w:val="auto"/>
          <w:lang w:val="en-US" w:eastAsia="zh-CN"/>
        </w:rPr>
        <w:t>0</w:t>
      </w:r>
      <w:r>
        <w:rPr>
          <w:rFonts w:hint="default" w:ascii="Times New Roman" w:hAnsi="Times New Roman" w:eastAsia="宋体" w:cs="Times New Roman"/>
          <w:color w:val="auto"/>
          <w:lang w:val="en-US" w:eastAsia="zh-CN"/>
        </w:rPr>
        <w:t>h，则排放速率为</w:t>
      </w:r>
      <w:r>
        <w:rPr>
          <w:rFonts w:hint="eastAsia" w:ascii="Times New Roman" w:hAnsi="Times New Roman" w:eastAsia="宋体" w:cs="Times New Roman"/>
          <w:color w:val="auto"/>
          <w:lang w:val="en-US" w:eastAsia="zh-CN"/>
        </w:rPr>
        <w:t>0.003</w:t>
      </w:r>
      <w:r>
        <w:rPr>
          <w:rFonts w:hint="default" w:ascii="Times New Roman" w:hAnsi="Times New Roman" w:eastAsia="宋体" w:cs="Times New Roman"/>
          <w:color w:val="auto"/>
          <w:lang w:val="en-US" w:eastAsia="zh-CN"/>
        </w:rPr>
        <w:t>kg/h。</w:t>
      </w:r>
    </w:p>
    <w:p w14:paraId="13011AE5">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（3）非正常工况</w:t>
      </w:r>
    </w:p>
    <w:p w14:paraId="14FF4DCC">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本项目非正常排放工况从三个方面分析：</w:t>
      </w:r>
    </w:p>
    <w:p w14:paraId="5695FC58">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 xml:space="preserve">①除尘器发生破袋故障，除尘效率降低至80%时的烟气排放情况； </w:t>
      </w:r>
    </w:p>
    <w:p w14:paraId="7E8C81F8">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②脱硫剂供应不足或脱硫塔故障，致使脱硫效率降低至50%时的烟气排放情况；</w:t>
      </w:r>
    </w:p>
    <w:p w14:paraId="7BD8A0F3">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③SNCR-SCR联合脱硝系统故障，脱硝效率降低至</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val="en-US" w:eastAsia="zh-CN"/>
        </w:rPr>
        <w:t>0%时的烟气排放情况。</w:t>
      </w:r>
    </w:p>
    <w:p w14:paraId="47B1CD9F">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eastAsia"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（4）交通运输移动源废气</w:t>
      </w:r>
    </w:p>
    <w:p w14:paraId="00C66A9F">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根据《环境影响评价技术导则  大气环境》（HJ2.2-2018）：“对于编制报告书的工业项目，分析调查受本项目物料及产品运输影响新增的交通运输移动源，包括运输方式、新增交通流量、排放污染物及排放量。”本项目的建设，不新增燃煤量，不新增灰渣等排放，因此，不会导致新增交通流量等情况。本次评价仅对交通影响进行简要分析。</w:t>
      </w:r>
    </w:p>
    <w:p w14:paraId="49E2A287">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p>
    <w:p w14:paraId="6B41A470">
      <w:pPr>
        <w:keepNext w:val="0"/>
        <w:keepLines w:val="0"/>
        <w:pageBreakBefore w:val="0"/>
        <w:widowControl w:val="0"/>
        <w:kinsoku/>
        <w:wordWrap/>
        <w:overflowPunct/>
        <w:topLinePunct w:val="0"/>
        <w:autoSpaceDE/>
        <w:autoSpaceDN/>
        <w:bidi w:val="0"/>
        <w:adjustRightInd/>
        <w:snapToGrid w:val="0"/>
        <w:spacing w:line="480" w:lineRule="exact"/>
        <w:ind w:firstLine="480" w:firstLineChars="200"/>
        <w:textAlignment w:val="auto"/>
        <w:rPr>
          <w:rFonts w:hint="default" w:ascii="Times New Roman" w:hAnsi="Times New Roman" w:eastAsia="宋体" w:cs="Times New Roman"/>
          <w:color w:val="auto"/>
          <w:sz w:val="24"/>
          <w:szCs w:val="24"/>
          <w:highlight w:val="none"/>
          <w:lang w:val="en-US" w:eastAsia="zh-CN"/>
        </w:rPr>
        <w:sectPr>
          <w:pgSz w:w="11906" w:h="16838"/>
          <w:pgMar w:top="1440" w:right="1797" w:bottom="1440" w:left="1797" w:header="1021" w:footer="1021" w:gutter="0"/>
          <w:pgBorders>
            <w:top w:val="none" w:sz="0" w:space="0"/>
            <w:left w:val="none" w:sz="0" w:space="0"/>
            <w:bottom w:val="none" w:sz="0" w:space="0"/>
            <w:right w:val="none" w:sz="0" w:space="0"/>
          </w:pgBorders>
          <w:pgNumType w:fmt="decimal"/>
          <w:cols w:space="720" w:num="1"/>
          <w:docGrid w:type="lines" w:linePitch="312" w:charSpace="0"/>
        </w:sectPr>
      </w:pPr>
    </w:p>
    <w:p w14:paraId="1374ED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表3.3-3  废气污染源源强核算结果及相关参数一览表</w:t>
      </w:r>
    </w:p>
    <w:tbl>
      <w:tblPr>
        <w:tblStyle w:val="40"/>
        <w:tblW w:w="1383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986"/>
        <w:gridCol w:w="1077"/>
        <w:gridCol w:w="822"/>
        <w:gridCol w:w="787"/>
        <w:gridCol w:w="1221"/>
        <w:gridCol w:w="846"/>
        <w:gridCol w:w="1469"/>
        <w:gridCol w:w="706"/>
        <w:gridCol w:w="941"/>
        <w:gridCol w:w="837"/>
        <w:gridCol w:w="906"/>
        <w:gridCol w:w="1000"/>
        <w:gridCol w:w="846"/>
        <w:gridCol w:w="581"/>
      </w:tblGrid>
      <w:tr w14:paraId="11470C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813" w:type="dxa"/>
            <w:vMerge w:val="restart"/>
            <w:noWrap w:val="0"/>
            <w:vAlign w:val="center"/>
          </w:tcPr>
          <w:p w14:paraId="6900E6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工序</w:t>
            </w:r>
          </w:p>
        </w:tc>
        <w:tc>
          <w:tcPr>
            <w:tcW w:w="986" w:type="dxa"/>
            <w:vMerge w:val="restart"/>
            <w:noWrap w:val="0"/>
            <w:vAlign w:val="center"/>
          </w:tcPr>
          <w:p w14:paraId="5EE573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污染源</w:t>
            </w:r>
          </w:p>
        </w:tc>
        <w:tc>
          <w:tcPr>
            <w:tcW w:w="1077" w:type="dxa"/>
            <w:vMerge w:val="restart"/>
            <w:noWrap w:val="0"/>
            <w:vAlign w:val="center"/>
          </w:tcPr>
          <w:p w14:paraId="0829D3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污染物</w:t>
            </w:r>
          </w:p>
        </w:tc>
        <w:tc>
          <w:tcPr>
            <w:tcW w:w="3676" w:type="dxa"/>
            <w:gridSpan w:val="4"/>
            <w:noWrap w:val="0"/>
            <w:vAlign w:val="center"/>
          </w:tcPr>
          <w:p w14:paraId="5B2CBB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污染物产生</w:t>
            </w:r>
          </w:p>
        </w:tc>
        <w:tc>
          <w:tcPr>
            <w:tcW w:w="5859" w:type="dxa"/>
            <w:gridSpan w:val="6"/>
            <w:noWrap w:val="0"/>
            <w:vAlign w:val="center"/>
          </w:tcPr>
          <w:p w14:paraId="2095E2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治理措施</w:t>
            </w:r>
          </w:p>
        </w:tc>
        <w:tc>
          <w:tcPr>
            <w:tcW w:w="846" w:type="dxa"/>
            <w:vMerge w:val="restart"/>
            <w:noWrap w:val="0"/>
            <w:vAlign w:val="center"/>
          </w:tcPr>
          <w:p w14:paraId="2754D3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排放标准(mg/m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c>
          <w:tcPr>
            <w:tcW w:w="581" w:type="dxa"/>
            <w:vMerge w:val="restart"/>
            <w:noWrap w:val="0"/>
            <w:vAlign w:val="center"/>
          </w:tcPr>
          <w:p w14:paraId="4994C6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排放时间（h）</w:t>
            </w:r>
          </w:p>
        </w:tc>
      </w:tr>
      <w:tr w14:paraId="78CBFC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74" w:hRule="atLeast"/>
          <w:jc w:val="center"/>
        </w:trPr>
        <w:tc>
          <w:tcPr>
            <w:tcW w:w="813" w:type="dxa"/>
            <w:vMerge w:val="continue"/>
            <w:noWrap w:val="0"/>
            <w:vAlign w:val="center"/>
          </w:tcPr>
          <w:p w14:paraId="630B82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29A6CF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vMerge w:val="continue"/>
            <w:noWrap w:val="0"/>
            <w:vAlign w:val="center"/>
          </w:tcPr>
          <w:p w14:paraId="025219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22" w:type="dxa"/>
            <w:noWrap w:val="0"/>
            <w:vAlign w:val="center"/>
          </w:tcPr>
          <w:p w14:paraId="6E3CFA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核算</w:t>
            </w:r>
          </w:p>
          <w:p w14:paraId="237FD2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方法</w:t>
            </w:r>
          </w:p>
        </w:tc>
        <w:tc>
          <w:tcPr>
            <w:tcW w:w="787" w:type="dxa"/>
            <w:noWrap w:val="0"/>
            <w:vAlign w:val="center"/>
          </w:tcPr>
          <w:p w14:paraId="5039A5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废气量</w:t>
            </w:r>
          </w:p>
          <w:p w14:paraId="72E4C0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/h)</w:t>
            </w:r>
          </w:p>
        </w:tc>
        <w:tc>
          <w:tcPr>
            <w:tcW w:w="1221" w:type="dxa"/>
            <w:noWrap w:val="0"/>
            <w:vAlign w:val="center"/>
          </w:tcPr>
          <w:p w14:paraId="08A143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产生浓度</w:t>
            </w:r>
          </w:p>
          <w:p w14:paraId="2C8744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c>
          <w:tcPr>
            <w:tcW w:w="846" w:type="dxa"/>
            <w:noWrap w:val="0"/>
            <w:vAlign w:val="center"/>
          </w:tcPr>
          <w:p w14:paraId="4B8246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产生量(kg/h)</w:t>
            </w:r>
          </w:p>
        </w:tc>
        <w:tc>
          <w:tcPr>
            <w:tcW w:w="1469" w:type="dxa"/>
            <w:noWrap w:val="0"/>
            <w:vAlign w:val="center"/>
          </w:tcPr>
          <w:p w14:paraId="5A7A0D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工艺</w:t>
            </w:r>
          </w:p>
        </w:tc>
        <w:tc>
          <w:tcPr>
            <w:tcW w:w="706" w:type="dxa"/>
            <w:noWrap w:val="0"/>
            <w:vAlign w:val="center"/>
          </w:tcPr>
          <w:p w14:paraId="5234C0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效率(%)</w:t>
            </w:r>
          </w:p>
        </w:tc>
        <w:tc>
          <w:tcPr>
            <w:tcW w:w="941" w:type="dxa"/>
            <w:noWrap w:val="0"/>
            <w:vAlign w:val="center"/>
          </w:tcPr>
          <w:p w14:paraId="4F8B7A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排气筒参数(m)</w:t>
            </w:r>
          </w:p>
        </w:tc>
        <w:tc>
          <w:tcPr>
            <w:tcW w:w="837" w:type="dxa"/>
            <w:noWrap w:val="0"/>
            <w:vAlign w:val="center"/>
          </w:tcPr>
          <w:p w14:paraId="62FC7C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废气量</w:t>
            </w:r>
          </w:p>
          <w:p w14:paraId="41F526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/h)</w:t>
            </w:r>
          </w:p>
        </w:tc>
        <w:tc>
          <w:tcPr>
            <w:tcW w:w="906" w:type="dxa"/>
            <w:noWrap w:val="0"/>
            <w:vAlign w:val="center"/>
          </w:tcPr>
          <w:p w14:paraId="15076F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排放浓度(mg/m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c>
          <w:tcPr>
            <w:tcW w:w="1000" w:type="dxa"/>
            <w:noWrap w:val="0"/>
            <w:vAlign w:val="center"/>
          </w:tcPr>
          <w:p w14:paraId="0BCB75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排放量(kg/h)</w:t>
            </w:r>
          </w:p>
        </w:tc>
        <w:tc>
          <w:tcPr>
            <w:tcW w:w="846" w:type="dxa"/>
            <w:vMerge w:val="continue"/>
            <w:noWrap w:val="0"/>
            <w:vAlign w:val="center"/>
          </w:tcPr>
          <w:p w14:paraId="16A850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81" w:type="dxa"/>
            <w:vMerge w:val="continue"/>
            <w:noWrap w:val="0"/>
            <w:vAlign w:val="center"/>
          </w:tcPr>
          <w:p w14:paraId="4D429D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59F3EC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813" w:type="dxa"/>
            <w:vMerge w:val="restart"/>
            <w:noWrap w:val="0"/>
            <w:vAlign w:val="center"/>
          </w:tcPr>
          <w:p w14:paraId="0D6C5A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锅炉</w:t>
            </w:r>
          </w:p>
        </w:tc>
        <w:tc>
          <w:tcPr>
            <w:tcW w:w="986" w:type="dxa"/>
            <w:vMerge w:val="restart"/>
            <w:noWrap w:val="0"/>
            <w:vAlign w:val="center"/>
          </w:tcPr>
          <w:p w14:paraId="772F56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烟囱</w:t>
            </w:r>
          </w:p>
          <w:p w14:paraId="5D0129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(正常排放)</w:t>
            </w:r>
          </w:p>
        </w:tc>
        <w:tc>
          <w:tcPr>
            <w:tcW w:w="1077" w:type="dxa"/>
            <w:noWrap w:val="0"/>
            <w:vAlign w:val="center"/>
          </w:tcPr>
          <w:p w14:paraId="243156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SO</w:t>
            </w:r>
            <w:r>
              <w:rPr>
                <w:rFonts w:hint="default" w:ascii="Times New Roman" w:hAnsi="Times New Roman" w:cs="Times New Roman"/>
                <w:color w:val="auto"/>
                <w:sz w:val="21"/>
                <w:szCs w:val="21"/>
                <w:highlight w:val="none"/>
                <w:vertAlign w:val="subscript"/>
                <w:lang w:val="en-US" w:eastAsia="zh-CN"/>
              </w:rPr>
              <w:t>2</w:t>
            </w:r>
          </w:p>
        </w:tc>
        <w:tc>
          <w:tcPr>
            <w:tcW w:w="822" w:type="dxa"/>
            <w:vMerge w:val="restart"/>
            <w:noWrap w:val="0"/>
            <w:vAlign w:val="center"/>
          </w:tcPr>
          <w:p w14:paraId="7F1F65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物料衡算法</w:t>
            </w:r>
          </w:p>
        </w:tc>
        <w:tc>
          <w:tcPr>
            <w:tcW w:w="787" w:type="dxa"/>
            <w:vMerge w:val="restart"/>
            <w:noWrap w:val="0"/>
            <w:vAlign w:val="center"/>
          </w:tcPr>
          <w:p w14:paraId="5680C8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107980.41</w:t>
            </w:r>
          </w:p>
        </w:tc>
        <w:tc>
          <w:tcPr>
            <w:tcW w:w="1221" w:type="dxa"/>
            <w:noWrap w:val="0"/>
            <w:vAlign w:val="center"/>
          </w:tcPr>
          <w:p w14:paraId="3DD393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366.205</w:t>
            </w:r>
          </w:p>
        </w:tc>
        <w:tc>
          <w:tcPr>
            <w:tcW w:w="846" w:type="dxa"/>
            <w:noWrap w:val="0"/>
            <w:vAlign w:val="center"/>
          </w:tcPr>
          <w:p w14:paraId="7A916D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39.543</w:t>
            </w:r>
          </w:p>
        </w:tc>
        <w:tc>
          <w:tcPr>
            <w:tcW w:w="1469" w:type="dxa"/>
            <w:noWrap w:val="0"/>
            <w:vAlign w:val="center"/>
          </w:tcPr>
          <w:p w14:paraId="1029ED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氧化镁法</w:t>
            </w:r>
          </w:p>
        </w:tc>
        <w:tc>
          <w:tcPr>
            <w:tcW w:w="706" w:type="dxa"/>
            <w:noWrap w:val="0"/>
            <w:vAlign w:val="center"/>
          </w:tcPr>
          <w:p w14:paraId="4079E7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c>
          <w:tcPr>
            <w:tcW w:w="941" w:type="dxa"/>
            <w:vMerge w:val="restart"/>
            <w:noWrap w:val="0"/>
            <w:vAlign w:val="center"/>
          </w:tcPr>
          <w:p w14:paraId="1DCADE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高度：100</w:t>
            </w:r>
          </w:p>
          <w:p w14:paraId="015F6C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内径：</w:t>
            </w:r>
            <w:r>
              <w:rPr>
                <w:rFonts w:hint="eastAsia" w:ascii="Times New Roman" w:hAnsi="Times New Roman" w:cs="Times New Roman"/>
                <w:color w:val="auto"/>
                <w:sz w:val="21"/>
                <w:szCs w:val="21"/>
                <w:highlight w:val="none"/>
                <w:lang w:val="en-US" w:eastAsia="zh-CN"/>
              </w:rPr>
              <w:t>3.2</w:t>
            </w:r>
          </w:p>
        </w:tc>
        <w:tc>
          <w:tcPr>
            <w:tcW w:w="837" w:type="dxa"/>
            <w:vMerge w:val="restart"/>
            <w:noWrap w:val="0"/>
            <w:vAlign w:val="center"/>
          </w:tcPr>
          <w:p w14:paraId="7D1213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107980.41</w:t>
            </w:r>
          </w:p>
        </w:tc>
        <w:tc>
          <w:tcPr>
            <w:tcW w:w="906" w:type="dxa"/>
            <w:noWrap w:val="0"/>
            <w:vAlign w:val="center"/>
          </w:tcPr>
          <w:p w14:paraId="248DAF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36.618</w:t>
            </w:r>
          </w:p>
        </w:tc>
        <w:tc>
          <w:tcPr>
            <w:tcW w:w="1000" w:type="dxa"/>
            <w:noWrap w:val="0"/>
            <w:vAlign w:val="center"/>
          </w:tcPr>
          <w:p w14:paraId="7662A0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3.954</w:t>
            </w:r>
          </w:p>
        </w:tc>
        <w:tc>
          <w:tcPr>
            <w:tcW w:w="846" w:type="dxa"/>
            <w:noWrap w:val="0"/>
            <w:vAlign w:val="center"/>
          </w:tcPr>
          <w:p w14:paraId="04A914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581" w:type="dxa"/>
            <w:vMerge w:val="restart"/>
            <w:noWrap w:val="0"/>
            <w:vAlign w:val="center"/>
          </w:tcPr>
          <w:p w14:paraId="690E71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2880</w:t>
            </w:r>
          </w:p>
        </w:tc>
      </w:tr>
      <w:tr w14:paraId="037E3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0" w:hRule="atLeast"/>
          <w:jc w:val="center"/>
        </w:trPr>
        <w:tc>
          <w:tcPr>
            <w:tcW w:w="813" w:type="dxa"/>
            <w:vMerge w:val="continue"/>
            <w:noWrap w:val="0"/>
            <w:vAlign w:val="center"/>
          </w:tcPr>
          <w:p w14:paraId="626151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4D5C07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noWrap w:val="0"/>
            <w:vAlign w:val="center"/>
          </w:tcPr>
          <w:p w14:paraId="12BD9E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NO</w:t>
            </w:r>
            <w:r>
              <w:rPr>
                <w:rFonts w:hint="default" w:ascii="Times New Roman" w:hAnsi="Times New Roman" w:cs="Times New Roman"/>
                <w:color w:val="auto"/>
                <w:sz w:val="21"/>
                <w:szCs w:val="21"/>
                <w:highlight w:val="none"/>
                <w:vertAlign w:val="subscript"/>
                <w:lang w:val="en-US" w:eastAsia="zh-CN"/>
              </w:rPr>
              <w:t>x</w:t>
            </w:r>
          </w:p>
        </w:tc>
        <w:tc>
          <w:tcPr>
            <w:tcW w:w="822" w:type="dxa"/>
            <w:vMerge w:val="continue"/>
            <w:noWrap w:val="0"/>
            <w:vAlign w:val="center"/>
          </w:tcPr>
          <w:p w14:paraId="4EA20C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7" w:type="dxa"/>
            <w:vMerge w:val="continue"/>
            <w:noWrap w:val="0"/>
            <w:vAlign w:val="center"/>
          </w:tcPr>
          <w:p w14:paraId="58D15B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1" w:type="dxa"/>
            <w:noWrap w:val="0"/>
            <w:vAlign w:val="center"/>
          </w:tcPr>
          <w:p w14:paraId="4DFFA6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500</w:t>
            </w:r>
          </w:p>
        </w:tc>
        <w:tc>
          <w:tcPr>
            <w:tcW w:w="846" w:type="dxa"/>
            <w:noWrap w:val="0"/>
            <w:vAlign w:val="center"/>
          </w:tcPr>
          <w:p w14:paraId="6816A5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53.990</w:t>
            </w:r>
          </w:p>
        </w:tc>
        <w:tc>
          <w:tcPr>
            <w:tcW w:w="1469" w:type="dxa"/>
            <w:noWrap w:val="0"/>
            <w:vAlign w:val="center"/>
          </w:tcPr>
          <w:p w14:paraId="351E69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SNCR-SCR联合脱硝</w:t>
            </w:r>
          </w:p>
        </w:tc>
        <w:tc>
          <w:tcPr>
            <w:tcW w:w="706" w:type="dxa"/>
            <w:noWrap w:val="0"/>
            <w:vAlign w:val="center"/>
          </w:tcPr>
          <w:p w14:paraId="27E4E1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65</w:t>
            </w:r>
          </w:p>
        </w:tc>
        <w:tc>
          <w:tcPr>
            <w:tcW w:w="941" w:type="dxa"/>
            <w:vMerge w:val="continue"/>
            <w:noWrap w:val="0"/>
            <w:vAlign w:val="center"/>
          </w:tcPr>
          <w:p w14:paraId="67D995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37" w:type="dxa"/>
            <w:vMerge w:val="continue"/>
            <w:noWrap w:val="0"/>
            <w:vAlign w:val="center"/>
          </w:tcPr>
          <w:p w14:paraId="436218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06" w:type="dxa"/>
            <w:noWrap w:val="0"/>
            <w:vAlign w:val="center"/>
          </w:tcPr>
          <w:p w14:paraId="70CF7A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175</w:t>
            </w:r>
          </w:p>
        </w:tc>
        <w:tc>
          <w:tcPr>
            <w:tcW w:w="1000" w:type="dxa"/>
            <w:noWrap w:val="0"/>
            <w:vAlign w:val="center"/>
          </w:tcPr>
          <w:p w14:paraId="250C4B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18.897</w:t>
            </w:r>
          </w:p>
        </w:tc>
        <w:tc>
          <w:tcPr>
            <w:tcW w:w="846" w:type="dxa"/>
            <w:noWrap w:val="0"/>
            <w:vAlign w:val="center"/>
          </w:tcPr>
          <w:p w14:paraId="15C926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581" w:type="dxa"/>
            <w:vMerge w:val="continue"/>
            <w:noWrap w:val="0"/>
            <w:vAlign w:val="center"/>
          </w:tcPr>
          <w:p w14:paraId="232469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3F67DA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813" w:type="dxa"/>
            <w:vMerge w:val="continue"/>
            <w:noWrap w:val="0"/>
            <w:vAlign w:val="center"/>
          </w:tcPr>
          <w:p w14:paraId="21DBFA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18572D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noWrap w:val="0"/>
            <w:vAlign w:val="center"/>
          </w:tcPr>
          <w:p w14:paraId="2B894E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822" w:type="dxa"/>
            <w:vMerge w:val="continue"/>
            <w:noWrap w:val="0"/>
            <w:vAlign w:val="center"/>
          </w:tcPr>
          <w:p w14:paraId="753E6C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7" w:type="dxa"/>
            <w:vMerge w:val="continue"/>
            <w:noWrap w:val="0"/>
            <w:vAlign w:val="center"/>
          </w:tcPr>
          <w:p w14:paraId="36E82D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1" w:type="dxa"/>
            <w:noWrap w:val="0"/>
            <w:vAlign w:val="center"/>
          </w:tcPr>
          <w:p w14:paraId="2FE2BA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11238.001</w:t>
            </w:r>
          </w:p>
        </w:tc>
        <w:tc>
          <w:tcPr>
            <w:tcW w:w="846" w:type="dxa"/>
            <w:noWrap w:val="0"/>
            <w:vAlign w:val="center"/>
          </w:tcPr>
          <w:p w14:paraId="7A0E95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1213.484</w:t>
            </w:r>
          </w:p>
        </w:tc>
        <w:tc>
          <w:tcPr>
            <w:tcW w:w="1469" w:type="dxa"/>
            <w:noWrap w:val="0"/>
            <w:vAlign w:val="center"/>
          </w:tcPr>
          <w:p w14:paraId="0486F8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布袋式除尘器</w:t>
            </w:r>
          </w:p>
        </w:tc>
        <w:tc>
          <w:tcPr>
            <w:tcW w:w="706" w:type="dxa"/>
            <w:noWrap w:val="0"/>
            <w:vAlign w:val="center"/>
          </w:tcPr>
          <w:p w14:paraId="55397F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99.</w:t>
            </w:r>
            <w:r>
              <w:rPr>
                <w:rFonts w:hint="eastAsia" w:ascii="Times New Roman" w:hAnsi="Times New Roman" w:cs="Times New Roman"/>
                <w:color w:val="auto"/>
                <w:sz w:val="21"/>
                <w:szCs w:val="21"/>
                <w:highlight w:val="none"/>
                <w:lang w:val="en-US" w:eastAsia="zh-CN"/>
              </w:rPr>
              <w:t>8</w:t>
            </w:r>
          </w:p>
        </w:tc>
        <w:tc>
          <w:tcPr>
            <w:tcW w:w="941" w:type="dxa"/>
            <w:vMerge w:val="continue"/>
            <w:noWrap w:val="0"/>
            <w:vAlign w:val="center"/>
          </w:tcPr>
          <w:p w14:paraId="083ADB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37" w:type="dxa"/>
            <w:vMerge w:val="continue"/>
            <w:noWrap w:val="0"/>
            <w:vAlign w:val="center"/>
          </w:tcPr>
          <w:p w14:paraId="0CD315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06" w:type="dxa"/>
            <w:noWrap w:val="0"/>
            <w:vAlign w:val="center"/>
          </w:tcPr>
          <w:p w14:paraId="6AC88A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22.476</w:t>
            </w:r>
          </w:p>
        </w:tc>
        <w:tc>
          <w:tcPr>
            <w:tcW w:w="1000" w:type="dxa"/>
            <w:noWrap w:val="0"/>
            <w:vAlign w:val="center"/>
          </w:tcPr>
          <w:p w14:paraId="48B149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2.427</w:t>
            </w:r>
          </w:p>
        </w:tc>
        <w:tc>
          <w:tcPr>
            <w:tcW w:w="846" w:type="dxa"/>
            <w:noWrap w:val="0"/>
            <w:vAlign w:val="center"/>
          </w:tcPr>
          <w:p w14:paraId="2C207C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581" w:type="dxa"/>
            <w:vMerge w:val="continue"/>
            <w:noWrap w:val="0"/>
            <w:vAlign w:val="center"/>
          </w:tcPr>
          <w:p w14:paraId="7DA008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28BC4B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62" w:hRule="atLeast"/>
          <w:jc w:val="center"/>
        </w:trPr>
        <w:tc>
          <w:tcPr>
            <w:tcW w:w="813" w:type="dxa"/>
            <w:vMerge w:val="continue"/>
            <w:noWrap w:val="0"/>
            <w:vAlign w:val="center"/>
          </w:tcPr>
          <w:p w14:paraId="47BAF9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7C36BC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noWrap w:val="0"/>
            <w:vAlign w:val="center"/>
          </w:tcPr>
          <w:p w14:paraId="4E85B0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Hg及其化合物</w:t>
            </w:r>
          </w:p>
        </w:tc>
        <w:tc>
          <w:tcPr>
            <w:tcW w:w="822" w:type="dxa"/>
            <w:vMerge w:val="continue"/>
            <w:noWrap w:val="0"/>
            <w:vAlign w:val="center"/>
          </w:tcPr>
          <w:p w14:paraId="7F807E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7" w:type="dxa"/>
            <w:vMerge w:val="continue"/>
            <w:noWrap w:val="0"/>
            <w:vAlign w:val="center"/>
          </w:tcPr>
          <w:p w14:paraId="377EAC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1" w:type="dxa"/>
            <w:noWrap w:val="0"/>
            <w:vAlign w:val="center"/>
          </w:tcPr>
          <w:p w14:paraId="3AE922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0.01</w:t>
            </w:r>
            <w:r>
              <w:rPr>
                <w:rFonts w:hint="eastAsia" w:cs="Times New Roman"/>
                <w:color w:val="auto"/>
                <w:sz w:val="21"/>
                <w:szCs w:val="21"/>
                <w:highlight w:val="none"/>
                <w:lang w:val="en-US" w:eastAsia="zh-CN"/>
              </w:rPr>
              <w:t>48</w:t>
            </w:r>
          </w:p>
        </w:tc>
        <w:tc>
          <w:tcPr>
            <w:tcW w:w="846" w:type="dxa"/>
            <w:noWrap w:val="0"/>
            <w:vAlign w:val="center"/>
          </w:tcPr>
          <w:p w14:paraId="1C014E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0.0016</w:t>
            </w:r>
          </w:p>
        </w:tc>
        <w:tc>
          <w:tcPr>
            <w:tcW w:w="1469" w:type="dxa"/>
            <w:noWrap w:val="0"/>
            <w:vAlign w:val="center"/>
          </w:tcPr>
          <w:p w14:paraId="2127A1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布袋除尘器+氧化镁法+SNCR-SCR联合脱硝</w:t>
            </w:r>
          </w:p>
        </w:tc>
        <w:tc>
          <w:tcPr>
            <w:tcW w:w="706" w:type="dxa"/>
            <w:noWrap w:val="0"/>
            <w:vAlign w:val="center"/>
          </w:tcPr>
          <w:p w14:paraId="08E392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70</w:t>
            </w:r>
          </w:p>
        </w:tc>
        <w:tc>
          <w:tcPr>
            <w:tcW w:w="941" w:type="dxa"/>
            <w:vMerge w:val="continue"/>
            <w:noWrap w:val="0"/>
            <w:vAlign w:val="center"/>
          </w:tcPr>
          <w:p w14:paraId="60CAC3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37" w:type="dxa"/>
            <w:vMerge w:val="continue"/>
            <w:noWrap w:val="0"/>
            <w:vAlign w:val="center"/>
          </w:tcPr>
          <w:p w14:paraId="2AE4CF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06" w:type="dxa"/>
            <w:noWrap w:val="0"/>
            <w:vAlign w:val="center"/>
          </w:tcPr>
          <w:p w14:paraId="6DF03C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w:t>
            </w:r>
            <w:r>
              <w:rPr>
                <w:rFonts w:hint="eastAsia" w:cs="Times New Roman"/>
                <w:color w:val="auto"/>
                <w:sz w:val="21"/>
                <w:szCs w:val="21"/>
                <w:highlight w:val="none"/>
                <w:lang w:val="en-US" w:eastAsia="zh-CN"/>
              </w:rPr>
              <w:t>44</w:t>
            </w:r>
          </w:p>
        </w:tc>
        <w:tc>
          <w:tcPr>
            <w:tcW w:w="1000" w:type="dxa"/>
            <w:noWrap w:val="0"/>
            <w:vAlign w:val="center"/>
          </w:tcPr>
          <w:p w14:paraId="1F1BCC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0.00048</w:t>
            </w:r>
          </w:p>
        </w:tc>
        <w:tc>
          <w:tcPr>
            <w:tcW w:w="846" w:type="dxa"/>
            <w:noWrap w:val="0"/>
            <w:vAlign w:val="center"/>
          </w:tcPr>
          <w:p w14:paraId="7E2487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0.05</w:t>
            </w:r>
          </w:p>
        </w:tc>
        <w:tc>
          <w:tcPr>
            <w:tcW w:w="581" w:type="dxa"/>
            <w:vMerge w:val="continue"/>
            <w:noWrap w:val="0"/>
            <w:vAlign w:val="center"/>
          </w:tcPr>
          <w:p w14:paraId="4967D4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41E69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62" w:hRule="atLeast"/>
          <w:jc w:val="center"/>
        </w:trPr>
        <w:tc>
          <w:tcPr>
            <w:tcW w:w="813" w:type="dxa"/>
            <w:vMerge w:val="continue"/>
            <w:noWrap w:val="0"/>
            <w:vAlign w:val="center"/>
          </w:tcPr>
          <w:p w14:paraId="6D3B33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6643DD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noWrap w:val="0"/>
            <w:vAlign w:val="center"/>
          </w:tcPr>
          <w:p w14:paraId="06D8A3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NH</w:t>
            </w:r>
            <w:r>
              <w:rPr>
                <w:rFonts w:hint="eastAsia" w:cs="Times New Roman"/>
                <w:color w:val="FF0000"/>
                <w:sz w:val="21"/>
                <w:szCs w:val="21"/>
                <w:highlight w:val="none"/>
                <w:vertAlign w:val="subscript"/>
                <w:lang w:val="en-US" w:eastAsia="zh-CN"/>
              </w:rPr>
              <w:t>3</w:t>
            </w:r>
          </w:p>
        </w:tc>
        <w:tc>
          <w:tcPr>
            <w:tcW w:w="822" w:type="dxa"/>
            <w:vMerge w:val="continue"/>
            <w:noWrap w:val="0"/>
            <w:vAlign w:val="center"/>
          </w:tcPr>
          <w:p w14:paraId="4F8835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787" w:type="dxa"/>
            <w:vMerge w:val="continue"/>
            <w:noWrap w:val="0"/>
            <w:vAlign w:val="center"/>
          </w:tcPr>
          <w:p w14:paraId="244200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1221" w:type="dxa"/>
            <w:noWrap w:val="0"/>
            <w:vAlign w:val="center"/>
          </w:tcPr>
          <w:p w14:paraId="74DA55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2.5</w:t>
            </w:r>
          </w:p>
        </w:tc>
        <w:tc>
          <w:tcPr>
            <w:tcW w:w="846" w:type="dxa"/>
            <w:noWrap w:val="0"/>
            <w:vAlign w:val="center"/>
          </w:tcPr>
          <w:p w14:paraId="112D7F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0.27</w:t>
            </w:r>
          </w:p>
        </w:tc>
        <w:tc>
          <w:tcPr>
            <w:tcW w:w="1469" w:type="dxa"/>
            <w:noWrap w:val="0"/>
            <w:vAlign w:val="center"/>
          </w:tcPr>
          <w:p w14:paraId="48C6EF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w:t>
            </w:r>
          </w:p>
        </w:tc>
        <w:tc>
          <w:tcPr>
            <w:tcW w:w="706" w:type="dxa"/>
            <w:noWrap w:val="0"/>
            <w:vAlign w:val="center"/>
          </w:tcPr>
          <w:p w14:paraId="758428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w:t>
            </w:r>
          </w:p>
        </w:tc>
        <w:tc>
          <w:tcPr>
            <w:tcW w:w="941" w:type="dxa"/>
            <w:vMerge w:val="continue"/>
            <w:noWrap w:val="0"/>
            <w:vAlign w:val="center"/>
          </w:tcPr>
          <w:p w14:paraId="263F11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837" w:type="dxa"/>
            <w:vMerge w:val="continue"/>
            <w:noWrap w:val="0"/>
            <w:vAlign w:val="center"/>
          </w:tcPr>
          <w:p w14:paraId="6EFAAD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p>
        </w:tc>
        <w:tc>
          <w:tcPr>
            <w:tcW w:w="906" w:type="dxa"/>
            <w:noWrap w:val="0"/>
            <w:vAlign w:val="center"/>
          </w:tcPr>
          <w:p w14:paraId="45E14C3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2.5</w:t>
            </w:r>
          </w:p>
        </w:tc>
        <w:tc>
          <w:tcPr>
            <w:tcW w:w="1000" w:type="dxa"/>
            <w:noWrap w:val="0"/>
            <w:vAlign w:val="center"/>
          </w:tcPr>
          <w:p w14:paraId="7D76A27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0.27</w:t>
            </w:r>
          </w:p>
        </w:tc>
        <w:tc>
          <w:tcPr>
            <w:tcW w:w="846" w:type="dxa"/>
            <w:noWrap w:val="0"/>
            <w:vAlign w:val="center"/>
          </w:tcPr>
          <w:p w14:paraId="326B2E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cs="Times New Roman"/>
                <w:color w:val="FF0000"/>
                <w:sz w:val="21"/>
                <w:szCs w:val="21"/>
                <w:highlight w:val="none"/>
                <w:lang w:val="en-US" w:eastAsia="zh-CN"/>
              </w:rPr>
              <w:t>2.5</w:t>
            </w:r>
          </w:p>
        </w:tc>
        <w:tc>
          <w:tcPr>
            <w:tcW w:w="581" w:type="dxa"/>
            <w:vMerge w:val="continue"/>
            <w:noWrap w:val="0"/>
            <w:vAlign w:val="center"/>
          </w:tcPr>
          <w:p w14:paraId="3D3700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49EBEA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813" w:type="dxa"/>
            <w:vMerge w:val="continue"/>
            <w:noWrap w:val="0"/>
            <w:vAlign w:val="center"/>
          </w:tcPr>
          <w:p w14:paraId="41603D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restart"/>
            <w:noWrap w:val="0"/>
            <w:vAlign w:val="center"/>
          </w:tcPr>
          <w:p w14:paraId="163C63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烟囱</w:t>
            </w:r>
          </w:p>
          <w:p w14:paraId="68A275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(非正常排放)</w:t>
            </w:r>
          </w:p>
        </w:tc>
        <w:tc>
          <w:tcPr>
            <w:tcW w:w="1077" w:type="dxa"/>
            <w:noWrap w:val="0"/>
            <w:vAlign w:val="center"/>
          </w:tcPr>
          <w:p w14:paraId="50502B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SO</w:t>
            </w:r>
            <w:r>
              <w:rPr>
                <w:rFonts w:hint="default" w:ascii="Times New Roman" w:hAnsi="Times New Roman" w:cs="Times New Roman"/>
                <w:color w:val="auto"/>
                <w:sz w:val="21"/>
                <w:szCs w:val="21"/>
                <w:highlight w:val="none"/>
                <w:vertAlign w:val="subscript"/>
                <w:lang w:val="en-US" w:eastAsia="zh-CN"/>
              </w:rPr>
              <w:t>2</w:t>
            </w:r>
          </w:p>
        </w:tc>
        <w:tc>
          <w:tcPr>
            <w:tcW w:w="822" w:type="dxa"/>
            <w:vMerge w:val="continue"/>
            <w:noWrap w:val="0"/>
            <w:vAlign w:val="center"/>
          </w:tcPr>
          <w:p w14:paraId="1B1553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7" w:type="dxa"/>
            <w:vMerge w:val="restart"/>
            <w:noWrap w:val="0"/>
            <w:vAlign w:val="center"/>
          </w:tcPr>
          <w:p w14:paraId="3B3D0F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107980.41</w:t>
            </w:r>
          </w:p>
        </w:tc>
        <w:tc>
          <w:tcPr>
            <w:tcW w:w="1221" w:type="dxa"/>
            <w:noWrap w:val="0"/>
            <w:vAlign w:val="center"/>
          </w:tcPr>
          <w:p w14:paraId="3D65FF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366.205</w:t>
            </w:r>
          </w:p>
        </w:tc>
        <w:tc>
          <w:tcPr>
            <w:tcW w:w="846" w:type="dxa"/>
            <w:noWrap w:val="0"/>
            <w:vAlign w:val="center"/>
          </w:tcPr>
          <w:p w14:paraId="635969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39.543</w:t>
            </w:r>
          </w:p>
        </w:tc>
        <w:tc>
          <w:tcPr>
            <w:tcW w:w="1469" w:type="dxa"/>
            <w:noWrap w:val="0"/>
            <w:vAlign w:val="center"/>
          </w:tcPr>
          <w:p w14:paraId="6ED90F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氧化镁法</w:t>
            </w:r>
          </w:p>
        </w:tc>
        <w:tc>
          <w:tcPr>
            <w:tcW w:w="706" w:type="dxa"/>
            <w:noWrap w:val="0"/>
            <w:vAlign w:val="center"/>
          </w:tcPr>
          <w:p w14:paraId="2FBD96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941" w:type="dxa"/>
            <w:vMerge w:val="continue"/>
            <w:noWrap w:val="0"/>
            <w:vAlign w:val="center"/>
          </w:tcPr>
          <w:p w14:paraId="6CA43C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37" w:type="dxa"/>
            <w:vMerge w:val="restart"/>
            <w:noWrap w:val="0"/>
            <w:vAlign w:val="center"/>
          </w:tcPr>
          <w:p w14:paraId="6A27AF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107980.41</w:t>
            </w:r>
          </w:p>
        </w:tc>
        <w:tc>
          <w:tcPr>
            <w:tcW w:w="906" w:type="dxa"/>
            <w:noWrap w:val="0"/>
            <w:vAlign w:val="center"/>
          </w:tcPr>
          <w:p w14:paraId="4490FB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183.107</w:t>
            </w:r>
          </w:p>
        </w:tc>
        <w:tc>
          <w:tcPr>
            <w:tcW w:w="1000" w:type="dxa"/>
            <w:noWrap w:val="0"/>
            <w:vAlign w:val="center"/>
          </w:tcPr>
          <w:p w14:paraId="0D8966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19.772</w:t>
            </w:r>
          </w:p>
        </w:tc>
        <w:tc>
          <w:tcPr>
            <w:tcW w:w="846" w:type="dxa"/>
            <w:noWrap w:val="0"/>
            <w:vAlign w:val="center"/>
          </w:tcPr>
          <w:p w14:paraId="19A884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581" w:type="dxa"/>
            <w:vMerge w:val="restart"/>
            <w:noWrap w:val="0"/>
            <w:vAlign w:val="center"/>
          </w:tcPr>
          <w:p w14:paraId="217865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w:t>
            </w:r>
          </w:p>
        </w:tc>
      </w:tr>
      <w:tr w14:paraId="4156C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0" w:hRule="atLeast"/>
          <w:jc w:val="center"/>
        </w:trPr>
        <w:tc>
          <w:tcPr>
            <w:tcW w:w="813" w:type="dxa"/>
            <w:vMerge w:val="continue"/>
            <w:noWrap w:val="0"/>
            <w:vAlign w:val="center"/>
          </w:tcPr>
          <w:p w14:paraId="76FE6D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5231CC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noWrap w:val="0"/>
            <w:vAlign w:val="center"/>
          </w:tcPr>
          <w:p w14:paraId="725D20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NO</w:t>
            </w:r>
            <w:r>
              <w:rPr>
                <w:rFonts w:hint="default" w:ascii="Times New Roman" w:hAnsi="Times New Roman" w:cs="Times New Roman"/>
                <w:color w:val="auto"/>
                <w:sz w:val="21"/>
                <w:szCs w:val="21"/>
                <w:highlight w:val="none"/>
                <w:vertAlign w:val="subscript"/>
                <w:lang w:val="en-US" w:eastAsia="zh-CN"/>
              </w:rPr>
              <w:t>x</w:t>
            </w:r>
          </w:p>
        </w:tc>
        <w:tc>
          <w:tcPr>
            <w:tcW w:w="822" w:type="dxa"/>
            <w:vMerge w:val="continue"/>
            <w:noWrap w:val="0"/>
            <w:vAlign w:val="center"/>
          </w:tcPr>
          <w:p w14:paraId="0327C0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7" w:type="dxa"/>
            <w:vMerge w:val="continue"/>
            <w:noWrap w:val="0"/>
            <w:vAlign w:val="center"/>
          </w:tcPr>
          <w:p w14:paraId="5B7C57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1" w:type="dxa"/>
            <w:noWrap w:val="0"/>
            <w:vAlign w:val="center"/>
          </w:tcPr>
          <w:p w14:paraId="0E0960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500</w:t>
            </w:r>
          </w:p>
        </w:tc>
        <w:tc>
          <w:tcPr>
            <w:tcW w:w="846" w:type="dxa"/>
            <w:noWrap w:val="0"/>
            <w:vAlign w:val="center"/>
          </w:tcPr>
          <w:p w14:paraId="5BFAAE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53.990</w:t>
            </w:r>
          </w:p>
        </w:tc>
        <w:tc>
          <w:tcPr>
            <w:tcW w:w="1469" w:type="dxa"/>
            <w:noWrap w:val="0"/>
            <w:vAlign w:val="center"/>
          </w:tcPr>
          <w:p w14:paraId="61ADA8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SNCR脱硝技术</w:t>
            </w:r>
          </w:p>
        </w:tc>
        <w:tc>
          <w:tcPr>
            <w:tcW w:w="706" w:type="dxa"/>
            <w:noWrap w:val="0"/>
            <w:vAlign w:val="center"/>
          </w:tcPr>
          <w:p w14:paraId="483245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941" w:type="dxa"/>
            <w:vMerge w:val="continue"/>
            <w:noWrap w:val="0"/>
            <w:vAlign w:val="center"/>
          </w:tcPr>
          <w:p w14:paraId="1C72EA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37" w:type="dxa"/>
            <w:vMerge w:val="continue"/>
            <w:noWrap w:val="0"/>
            <w:vAlign w:val="center"/>
          </w:tcPr>
          <w:p w14:paraId="450F5E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06" w:type="dxa"/>
            <w:noWrap w:val="0"/>
            <w:vAlign w:val="center"/>
          </w:tcPr>
          <w:p w14:paraId="110E2A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350</w:t>
            </w:r>
          </w:p>
        </w:tc>
        <w:tc>
          <w:tcPr>
            <w:tcW w:w="1000" w:type="dxa"/>
            <w:noWrap w:val="0"/>
            <w:vAlign w:val="center"/>
          </w:tcPr>
          <w:p w14:paraId="724C86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37.793</w:t>
            </w:r>
          </w:p>
        </w:tc>
        <w:tc>
          <w:tcPr>
            <w:tcW w:w="846" w:type="dxa"/>
            <w:noWrap w:val="0"/>
            <w:vAlign w:val="center"/>
          </w:tcPr>
          <w:p w14:paraId="54A64F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581" w:type="dxa"/>
            <w:vMerge w:val="continue"/>
            <w:noWrap w:val="0"/>
            <w:vAlign w:val="center"/>
          </w:tcPr>
          <w:p w14:paraId="4C4CCE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21D30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813" w:type="dxa"/>
            <w:vMerge w:val="continue"/>
            <w:noWrap w:val="0"/>
            <w:vAlign w:val="center"/>
          </w:tcPr>
          <w:p w14:paraId="1E8D4C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5C2731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noWrap w:val="0"/>
            <w:vAlign w:val="center"/>
          </w:tcPr>
          <w:p w14:paraId="26477C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822" w:type="dxa"/>
            <w:vMerge w:val="continue"/>
            <w:noWrap w:val="0"/>
            <w:vAlign w:val="center"/>
          </w:tcPr>
          <w:p w14:paraId="02B488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7" w:type="dxa"/>
            <w:vMerge w:val="continue"/>
            <w:noWrap w:val="0"/>
            <w:vAlign w:val="center"/>
          </w:tcPr>
          <w:p w14:paraId="708287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1" w:type="dxa"/>
            <w:noWrap w:val="0"/>
            <w:vAlign w:val="center"/>
          </w:tcPr>
          <w:p w14:paraId="269F32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11238.001</w:t>
            </w:r>
          </w:p>
        </w:tc>
        <w:tc>
          <w:tcPr>
            <w:tcW w:w="846" w:type="dxa"/>
            <w:noWrap w:val="0"/>
            <w:vAlign w:val="center"/>
          </w:tcPr>
          <w:p w14:paraId="402DC8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1213.484</w:t>
            </w:r>
          </w:p>
        </w:tc>
        <w:tc>
          <w:tcPr>
            <w:tcW w:w="1469" w:type="dxa"/>
            <w:noWrap w:val="0"/>
            <w:vAlign w:val="center"/>
          </w:tcPr>
          <w:p w14:paraId="6BE2F4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布袋式除尘器99%</w:t>
            </w:r>
          </w:p>
        </w:tc>
        <w:tc>
          <w:tcPr>
            <w:tcW w:w="706" w:type="dxa"/>
            <w:noWrap w:val="0"/>
            <w:vAlign w:val="center"/>
          </w:tcPr>
          <w:p w14:paraId="623B13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80</w:t>
            </w:r>
          </w:p>
        </w:tc>
        <w:tc>
          <w:tcPr>
            <w:tcW w:w="941" w:type="dxa"/>
            <w:vMerge w:val="continue"/>
            <w:noWrap w:val="0"/>
            <w:vAlign w:val="center"/>
          </w:tcPr>
          <w:p w14:paraId="4FA032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37" w:type="dxa"/>
            <w:vMerge w:val="continue"/>
            <w:noWrap w:val="0"/>
            <w:vAlign w:val="center"/>
          </w:tcPr>
          <w:p w14:paraId="6C4793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06" w:type="dxa"/>
            <w:noWrap w:val="0"/>
            <w:vAlign w:val="center"/>
          </w:tcPr>
          <w:p w14:paraId="4A89FD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2247.602</w:t>
            </w:r>
          </w:p>
        </w:tc>
        <w:tc>
          <w:tcPr>
            <w:tcW w:w="1000" w:type="dxa"/>
            <w:noWrap w:val="0"/>
            <w:vAlign w:val="center"/>
          </w:tcPr>
          <w:p w14:paraId="69A20A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242.697</w:t>
            </w:r>
          </w:p>
        </w:tc>
        <w:tc>
          <w:tcPr>
            <w:tcW w:w="846" w:type="dxa"/>
            <w:noWrap w:val="0"/>
            <w:vAlign w:val="center"/>
          </w:tcPr>
          <w:p w14:paraId="677D85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581" w:type="dxa"/>
            <w:vMerge w:val="continue"/>
            <w:noWrap w:val="0"/>
            <w:vAlign w:val="center"/>
          </w:tcPr>
          <w:p w14:paraId="78F69D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792A7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62" w:hRule="atLeast"/>
          <w:jc w:val="center"/>
        </w:trPr>
        <w:tc>
          <w:tcPr>
            <w:tcW w:w="813" w:type="dxa"/>
            <w:vMerge w:val="continue"/>
            <w:noWrap w:val="0"/>
            <w:vAlign w:val="center"/>
          </w:tcPr>
          <w:p w14:paraId="117E92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86" w:type="dxa"/>
            <w:vMerge w:val="continue"/>
            <w:noWrap w:val="0"/>
            <w:vAlign w:val="center"/>
          </w:tcPr>
          <w:p w14:paraId="09FC68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077" w:type="dxa"/>
            <w:noWrap w:val="0"/>
            <w:vAlign w:val="center"/>
          </w:tcPr>
          <w:p w14:paraId="31C4BD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Hg及其化合物</w:t>
            </w:r>
          </w:p>
        </w:tc>
        <w:tc>
          <w:tcPr>
            <w:tcW w:w="822" w:type="dxa"/>
            <w:vMerge w:val="continue"/>
            <w:noWrap w:val="0"/>
            <w:vAlign w:val="center"/>
          </w:tcPr>
          <w:p w14:paraId="32D487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7" w:type="dxa"/>
            <w:vMerge w:val="continue"/>
            <w:noWrap w:val="0"/>
            <w:vAlign w:val="center"/>
          </w:tcPr>
          <w:p w14:paraId="682451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21" w:type="dxa"/>
            <w:noWrap w:val="0"/>
            <w:vAlign w:val="center"/>
          </w:tcPr>
          <w:p w14:paraId="310E91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0.01</w:t>
            </w:r>
            <w:r>
              <w:rPr>
                <w:rFonts w:hint="eastAsia" w:cs="Times New Roman"/>
                <w:color w:val="auto"/>
                <w:sz w:val="21"/>
                <w:szCs w:val="21"/>
                <w:highlight w:val="none"/>
                <w:lang w:val="en-US" w:eastAsia="zh-CN"/>
              </w:rPr>
              <w:t>48</w:t>
            </w:r>
          </w:p>
        </w:tc>
        <w:tc>
          <w:tcPr>
            <w:tcW w:w="846" w:type="dxa"/>
            <w:noWrap w:val="0"/>
            <w:vAlign w:val="center"/>
          </w:tcPr>
          <w:p w14:paraId="7F511C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0.0016</w:t>
            </w:r>
          </w:p>
        </w:tc>
        <w:tc>
          <w:tcPr>
            <w:tcW w:w="1469" w:type="dxa"/>
            <w:noWrap w:val="0"/>
            <w:vAlign w:val="center"/>
          </w:tcPr>
          <w:p w14:paraId="0A568D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布袋除尘器+氧化镁法+SNCR</w:t>
            </w:r>
          </w:p>
        </w:tc>
        <w:tc>
          <w:tcPr>
            <w:tcW w:w="706" w:type="dxa"/>
            <w:noWrap w:val="0"/>
            <w:vAlign w:val="center"/>
          </w:tcPr>
          <w:p w14:paraId="1BDAE9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941" w:type="dxa"/>
            <w:vMerge w:val="continue"/>
            <w:noWrap w:val="0"/>
            <w:vAlign w:val="center"/>
          </w:tcPr>
          <w:p w14:paraId="57862F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37" w:type="dxa"/>
            <w:vMerge w:val="continue"/>
            <w:noWrap w:val="0"/>
            <w:vAlign w:val="center"/>
          </w:tcPr>
          <w:p w14:paraId="6375FD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906" w:type="dxa"/>
            <w:noWrap w:val="0"/>
            <w:vAlign w:val="center"/>
          </w:tcPr>
          <w:p w14:paraId="6EA6B3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w:t>
            </w:r>
            <w:r>
              <w:rPr>
                <w:rFonts w:hint="eastAsia" w:cs="Times New Roman"/>
                <w:color w:val="auto"/>
                <w:sz w:val="21"/>
                <w:szCs w:val="21"/>
                <w:highlight w:val="none"/>
                <w:lang w:val="en-US" w:eastAsia="zh-CN"/>
              </w:rPr>
              <w:t>74</w:t>
            </w:r>
          </w:p>
        </w:tc>
        <w:tc>
          <w:tcPr>
            <w:tcW w:w="1000" w:type="dxa"/>
            <w:noWrap w:val="0"/>
            <w:vAlign w:val="center"/>
          </w:tcPr>
          <w:p w14:paraId="5444A0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w:t>
            </w:r>
            <w:r>
              <w:rPr>
                <w:rFonts w:hint="eastAsia" w:cs="Times New Roman"/>
                <w:color w:val="auto"/>
                <w:sz w:val="21"/>
                <w:szCs w:val="21"/>
                <w:highlight w:val="none"/>
                <w:lang w:val="en-US" w:eastAsia="zh-CN"/>
              </w:rPr>
              <w:t>08</w:t>
            </w:r>
          </w:p>
        </w:tc>
        <w:tc>
          <w:tcPr>
            <w:tcW w:w="846" w:type="dxa"/>
            <w:noWrap w:val="0"/>
            <w:vAlign w:val="center"/>
          </w:tcPr>
          <w:p w14:paraId="2F00A0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0.05</w:t>
            </w:r>
          </w:p>
        </w:tc>
        <w:tc>
          <w:tcPr>
            <w:tcW w:w="581" w:type="dxa"/>
            <w:vMerge w:val="continue"/>
            <w:noWrap w:val="0"/>
            <w:vAlign w:val="center"/>
          </w:tcPr>
          <w:p w14:paraId="374049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01F191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2" w:hRule="atLeast"/>
          <w:jc w:val="center"/>
        </w:trPr>
        <w:tc>
          <w:tcPr>
            <w:tcW w:w="813" w:type="dxa"/>
            <w:noWrap w:val="0"/>
            <w:vAlign w:val="center"/>
          </w:tcPr>
          <w:p w14:paraId="04F188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储煤库</w:t>
            </w:r>
          </w:p>
        </w:tc>
        <w:tc>
          <w:tcPr>
            <w:tcW w:w="986" w:type="dxa"/>
            <w:noWrap w:val="0"/>
            <w:vAlign w:val="center"/>
          </w:tcPr>
          <w:p w14:paraId="7E63CD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无组织排放</w:t>
            </w:r>
          </w:p>
        </w:tc>
        <w:tc>
          <w:tcPr>
            <w:tcW w:w="1077" w:type="dxa"/>
            <w:noWrap w:val="0"/>
            <w:vAlign w:val="center"/>
          </w:tcPr>
          <w:p w14:paraId="5A2E16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822" w:type="dxa"/>
            <w:noWrap w:val="0"/>
            <w:vAlign w:val="center"/>
          </w:tcPr>
          <w:p w14:paraId="3EF0C0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产污</w:t>
            </w:r>
          </w:p>
          <w:p w14:paraId="7EAAF5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系数</w:t>
            </w:r>
          </w:p>
        </w:tc>
        <w:tc>
          <w:tcPr>
            <w:tcW w:w="787" w:type="dxa"/>
            <w:noWrap w:val="0"/>
            <w:vAlign w:val="center"/>
          </w:tcPr>
          <w:p w14:paraId="426697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1221" w:type="dxa"/>
            <w:noWrap w:val="0"/>
            <w:vAlign w:val="center"/>
          </w:tcPr>
          <w:p w14:paraId="0B6E25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846" w:type="dxa"/>
            <w:noWrap w:val="0"/>
            <w:vAlign w:val="center"/>
          </w:tcPr>
          <w:p w14:paraId="0902C3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0.038</w:t>
            </w:r>
          </w:p>
        </w:tc>
        <w:tc>
          <w:tcPr>
            <w:tcW w:w="1469" w:type="dxa"/>
            <w:noWrap w:val="0"/>
            <w:vAlign w:val="center"/>
          </w:tcPr>
          <w:p w14:paraId="7790C0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封闭储煤库，库内洒水降尘</w:t>
            </w:r>
          </w:p>
        </w:tc>
        <w:tc>
          <w:tcPr>
            <w:tcW w:w="706" w:type="dxa"/>
            <w:noWrap w:val="0"/>
            <w:vAlign w:val="center"/>
          </w:tcPr>
          <w:p w14:paraId="658F8C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w:t>
            </w:r>
            <w:r>
              <w:rPr>
                <w:rFonts w:hint="eastAsia" w:ascii="Times New Roman" w:hAnsi="Times New Roman" w:cs="Times New Roman"/>
                <w:color w:val="auto"/>
                <w:sz w:val="21"/>
                <w:szCs w:val="21"/>
                <w:highlight w:val="none"/>
                <w:lang w:val="en-US" w:eastAsia="zh-CN"/>
              </w:rPr>
              <w:t>5</w:t>
            </w:r>
          </w:p>
        </w:tc>
        <w:tc>
          <w:tcPr>
            <w:tcW w:w="941" w:type="dxa"/>
            <w:noWrap w:val="0"/>
            <w:vAlign w:val="center"/>
          </w:tcPr>
          <w:p w14:paraId="0870F1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837" w:type="dxa"/>
            <w:noWrap w:val="0"/>
            <w:vAlign w:val="center"/>
          </w:tcPr>
          <w:p w14:paraId="0EC554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906" w:type="dxa"/>
            <w:noWrap w:val="0"/>
            <w:vAlign w:val="center"/>
          </w:tcPr>
          <w:p w14:paraId="13110D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1000" w:type="dxa"/>
            <w:noWrap w:val="0"/>
            <w:vAlign w:val="center"/>
          </w:tcPr>
          <w:p w14:paraId="05700C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w:t>
            </w:r>
            <w:r>
              <w:rPr>
                <w:rFonts w:hint="eastAsia" w:ascii="Times New Roman" w:hAnsi="Times New Roman" w:cs="Times New Roman"/>
                <w:color w:val="auto"/>
                <w:sz w:val="21"/>
                <w:szCs w:val="21"/>
                <w:highlight w:val="none"/>
                <w:lang w:val="en-US" w:eastAsia="zh-CN"/>
              </w:rPr>
              <w:t>3</w:t>
            </w:r>
          </w:p>
        </w:tc>
        <w:tc>
          <w:tcPr>
            <w:tcW w:w="846" w:type="dxa"/>
            <w:noWrap w:val="0"/>
            <w:vAlign w:val="center"/>
          </w:tcPr>
          <w:p w14:paraId="224728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w:t>
            </w:r>
          </w:p>
        </w:tc>
        <w:tc>
          <w:tcPr>
            <w:tcW w:w="581" w:type="dxa"/>
            <w:noWrap w:val="0"/>
            <w:vAlign w:val="center"/>
          </w:tcPr>
          <w:p w14:paraId="44AA25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180</w:t>
            </w:r>
          </w:p>
        </w:tc>
      </w:tr>
    </w:tbl>
    <w:p w14:paraId="66B68270">
      <w:pPr>
        <w:pStyle w:val="34"/>
        <w:ind w:left="0" w:leftChars="0" w:firstLine="0" w:firstLineChars="0"/>
        <w:rPr>
          <w:rFonts w:ascii="Times New Roman" w:hAnsi="Times New Roman" w:eastAsia="宋体" w:cs="Times New Roman"/>
          <w:color w:val="auto"/>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14:paraId="6DAC25C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04" w:name="_Toc32330"/>
      <w:bookmarkStart w:id="305" w:name="_Toc6740"/>
      <w:bookmarkStart w:id="306" w:name="_Toc30496"/>
      <w:r>
        <w:rPr>
          <w:rFonts w:hint="eastAsia" w:ascii="Times New Roman" w:hAnsi="Times New Roman" w:eastAsia="宋体" w:cs="Times New Roman"/>
          <w:b/>
          <w:bCs/>
          <w:color w:val="auto"/>
          <w:sz w:val="28"/>
          <w:szCs w:val="28"/>
          <w:lang w:val="en-US" w:eastAsia="zh-CN"/>
        </w:rPr>
        <w:t>4.4.2 废水污染物源强</w:t>
      </w:r>
      <w:bookmarkEnd w:id="304"/>
      <w:bookmarkEnd w:id="305"/>
      <w:bookmarkEnd w:id="306"/>
    </w:p>
    <w:p w14:paraId="476FD32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本项目不新增职工，无新增生活污水排放；项目生产废水全部回用不外排，锅炉排污水及软化水系统排污水（反冲洗）全部回用于除灰渣加湿系统及输煤系统用水。</w:t>
      </w:r>
    </w:p>
    <w:p w14:paraId="00167EBC">
      <w:pPr>
        <w:ind w:firstLine="480"/>
        <w:rPr>
          <w:rFonts w:ascii="Times New Roman" w:hAnsi="Times New Roman" w:eastAsia="宋体" w:cs="Times New Roman"/>
          <w:color w:val="auto"/>
          <w:szCs w:val="24"/>
        </w:rPr>
      </w:pPr>
    </w:p>
    <w:p w14:paraId="166A6E0B">
      <w:pPr>
        <w:pStyle w:val="15"/>
        <w:rPr>
          <w:color w:val="auto"/>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76C7405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07" w:name="_Toc27067"/>
      <w:bookmarkStart w:id="308" w:name="_Toc1393"/>
      <w:bookmarkStart w:id="309" w:name="_Toc19731"/>
      <w:r>
        <w:rPr>
          <w:rFonts w:hint="eastAsia" w:ascii="Times New Roman" w:hAnsi="Times New Roman" w:eastAsia="宋体" w:cs="Times New Roman"/>
          <w:b/>
          <w:bCs/>
          <w:color w:val="auto"/>
          <w:sz w:val="28"/>
          <w:szCs w:val="28"/>
          <w:lang w:val="en-US" w:eastAsia="zh-CN"/>
        </w:rPr>
        <w:t>4.4.3 噪声污染物源强</w:t>
      </w:r>
      <w:bookmarkEnd w:id="307"/>
      <w:bookmarkEnd w:id="308"/>
      <w:bookmarkEnd w:id="309"/>
    </w:p>
    <w:p w14:paraId="1105D649">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根据《污染物源强核算技术指南 锅炉》（HJ991-2018）中附录D锅炉相关设备噪声源强参考值可知，本项目噪声污染源源强核算及相关参数见表4.</w:t>
      </w:r>
      <w:r>
        <w:rPr>
          <w:rFonts w:hint="eastAsia" w:ascii="Times New Roman" w:hAnsi="Times New Roman" w:eastAsia="宋体" w:cs="Times New Roman"/>
          <w:color w:val="auto"/>
          <w:lang w:val="en-US" w:eastAsia="zh-CN"/>
        </w:rPr>
        <w:t>4</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5</w:t>
      </w:r>
      <w:r>
        <w:rPr>
          <w:rFonts w:hint="default" w:ascii="Times New Roman" w:hAnsi="Times New Roman" w:eastAsia="宋体" w:cs="Times New Roman"/>
          <w:color w:val="auto"/>
          <w:lang w:val="en-US" w:eastAsia="zh-CN"/>
        </w:rPr>
        <w:t>。</w:t>
      </w:r>
    </w:p>
    <w:p w14:paraId="747973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表4.</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5</w:t>
      </w:r>
      <w:r>
        <w:rPr>
          <w:rFonts w:hint="default" w:ascii="Times New Roman" w:hAnsi="Times New Roman" w:eastAsia="宋体" w:cs="Times New Roman"/>
          <w:b/>
          <w:bCs/>
          <w:color w:val="auto"/>
          <w:sz w:val="24"/>
          <w:szCs w:val="24"/>
          <w:lang w:val="en-US" w:eastAsia="zh-CN"/>
        </w:rPr>
        <w:t xml:space="preserve">  本项目噪声污染源源强核算结果及相关参数</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1"/>
        <w:gridCol w:w="852"/>
        <w:gridCol w:w="811"/>
        <w:gridCol w:w="1107"/>
        <w:gridCol w:w="1950"/>
        <w:gridCol w:w="1037"/>
        <w:gridCol w:w="1107"/>
        <w:gridCol w:w="688"/>
        <w:gridCol w:w="1039"/>
        <w:gridCol w:w="833"/>
        <w:gridCol w:w="700"/>
        <w:gridCol w:w="952"/>
        <w:gridCol w:w="1361"/>
        <w:gridCol w:w="890"/>
      </w:tblGrid>
      <w:tr w14:paraId="67828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restart"/>
            <w:tcBorders>
              <w:tl2br w:val="nil"/>
              <w:tr2bl w:val="nil"/>
            </w:tcBorders>
            <w:vAlign w:val="center"/>
          </w:tcPr>
          <w:p w14:paraId="38101E82">
            <w:pPr>
              <w:pStyle w:val="77"/>
              <w:rPr>
                <w:rFonts w:hAnsi="Times New Roman"/>
                <w:color w:val="auto"/>
                <w:szCs w:val="21"/>
              </w:rPr>
            </w:pPr>
            <w:r>
              <w:rPr>
                <w:rFonts w:hAnsi="Times New Roman"/>
                <w:color w:val="auto"/>
                <w:szCs w:val="21"/>
              </w:rPr>
              <w:t>建筑物名称</w:t>
            </w:r>
          </w:p>
        </w:tc>
        <w:tc>
          <w:tcPr>
            <w:tcW w:w="303" w:type="pct"/>
            <w:vMerge w:val="restart"/>
            <w:tcBorders>
              <w:tl2br w:val="nil"/>
              <w:tr2bl w:val="nil"/>
            </w:tcBorders>
            <w:vAlign w:val="center"/>
          </w:tcPr>
          <w:p w14:paraId="4021821B">
            <w:pPr>
              <w:pStyle w:val="77"/>
              <w:rPr>
                <w:rFonts w:hAnsi="Times New Roman"/>
                <w:color w:val="auto"/>
                <w:szCs w:val="21"/>
              </w:rPr>
            </w:pPr>
            <w:r>
              <w:rPr>
                <w:rFonts w:hAnsi="Times New Roman"/>
                <w:color w:val="auto"/>
                <w:szCs w:val="21"/>
              </w:rPr>
              <w:t>声源名称</w:t>
            </w:r>
          </w:p>
        </w:tc>
        <w:tc>
          <w:tcPr>
            <w:tcW w:w="261" w:type="pct"/>
            <w:vMerge w:val="restart"/>
            <w:tcBorders>
              <w:tl2br w:val="nil"/>
              <w:tr2bl w:val="nil"/>
            </w:tcBorders>
            <w:vAlign w:val="center"/>
          </w:tcPr>
          <w:p w14:paraId="01E4A108">
            <w:pPr>
              <w:pStyle w:val="77"/>
              <w:rPr>
                <w:rFonts w:hAnsi="Times New Roman"/>
                <w:color w:val="auto"/>
                <w:szCs w:val="21"/>
              </w:rPr>
            </w:pPr>
            <w:r>
              <w:rPr>
                <w:rFonts w:hAnsi="Times New Roman"/>
                <w:color w:val="auto"/>
                <w:szCs w:val="21"/>
              </w:rPr>
              <w:t>声源源强-声功率级/dB(A)</w:t>
            </w:r>
          </w:p>
        </w:tc>
        <w:tc>
          <w:tcPr>
            <w:tcW w:w="393" w:type="pct"/>
            <w:vMerge w:val="restart"/>
            <w:tcBorders>
              <w:tl2br w:val="nil"/>
              <w:tr2bl w:val="nil"/>
            </w:tcBorders>
            <w:vAlign w:val="center"/>
          </w:tcPr>
          <w:p w14:paraId="6E52790A">
            <w:pPr>
              <w:pStyle w:val="77"/>
              <w:rPr>
                <w:rFonts w:hAnsi="Times New Roman"/>
                <w:color w:val="auto"/>
                <w:szCs w:val="21"/>
              </w:rPr>
            </w:pPr>
            <w:r>
              <w:rPr>
                <w:rFonts w:hint="eastAsia" w:hAnsi="Times New Roman"/>
                <w:color w:val="auto"/>
                <w:szCs w:val="21"/>
              </w:rPr>
              <w:t>声源种类</w:t>
            </w:r>
          </w:p>
        </w:tc>
        <w:tc>
          <w:tcPr>
            <w:tcW w:w="690" w:type="pct"/>
            <w:vMerge w:val="restart"/>
            <w:tcBorders>
              <w:tl2br w:val="nil"/>
              <w:tr2bl w:val="nil"/>
            </w:tcBorders>
            <w:vAlign w:val="center"/>
          </w:tcPr>
          <w:p w14:paraId="4D1684B5">
            <w:pPr>
              <w:pStyle w:val="77"/>
              <w:rPr>
                <w:rFonts w:hAnsi="Times New Roman"/>
                <w:color w:val="auto"/>
                <w:szCs w:val="21"/>
              </w:rPr>
            </w:pPr>
            <w:r>
              <w:rPr>
                <w:rFonts w:hAnsi="Times New Roman"/>
                <w:color w:val="auto"/>
                <w:szCs w:val="21"/>
              </w:rPr>
              <w:t>声源控制措施</w:t>
            </w:r>
          </w:p>
        </w:tc>
        <w:tc>
          <w:tcPr>
            <w:tcW w:w="1006" w:type="pct"/>
            <w:gridSpan w:val="3"/>
            <w:tcBorders>
              <w:tl2br w:val="nil"/>
              <w:tr2bl w:val="nil"/>
            </w:tcBorders>
            <w:vAlign w:val="center"/>
          </w:tcPr>
          <w:p w14:paraId="1CCC95F0">
            <w:pPr>
              <w:pStyle w:val="77"/>
              <w:rPr>
                <w:rFonts w:hAnsi="Times New Roman"/>
                <w:color w:val="auto"/>
                <w:szCs w:val="21"/>
              </w:rPr>
            </w:pPr>
            <w:r>
              <w:rPr>
                <w:rFonts w:hAnsi="Times New Roman"/>
                <w:color w:val="auto"/>
                <w:szCs w:val="21"/>
              </w:rPr>
              <w:t>空间相对位置/m</w:t>
            </w:r>
          </w:p>
        </w:tc>
        <w:tc>
          <w:tcPr>
            <w:tcW w:w="369" w:type="pct"/>
            <w:vMerge w:val="restart"/>
            <w:tcBorders>
              <w:tl2br w:val="nil"/>
              <w:tr2bl w:val="nil"/>
            </w:tcBorders>
            <w:vAlign w:val="center"/>
          </w:tcPr>
          <w:p w14:paraId="00E17666">
            <w:pPr>
              <w:pStyle w:val="77"/>
              <w:rPr>
                <w:rFonts w:hAnsi="Times New Roman"/>
                <w:color w:val="auto"/>
                <w:szCs w:val="21"/>
              </w:rPr>
            </w:pPr>
            <w:r>
              <w:rPr>
                <w:rFonts w:hAnsi="Times New Roman"/>
                <w:color w:val="auto"/>
                <w:szCs w:val="21"/>
              </w:rPr>
              <w:t>距室内边界距离/m</w:t>
            </w:r>
          </w:p>
        </w:tc>
        <w:tc>
          <w:tcPr>
            <w:tcW w:w="296" w:type="pct"/>
            <w:vMerge w:val="restart"/>
            <w:tcBorders>
              <w:tl2br w:val="nil"/>
              <w:tr2bl w:val="nil"/>
            </w:tcBorders>
            <w:vAlign w:val="center"/>
          </w:tcPr>
          <w:p w14:paraId="2FC12FBA">
            <w:pPr>
              <w:pStyle w:val="77"/>
              <w:rPr>
                <w:rFonts w:hAnsi="Times New Roman"/>
                <w:color w:val="auto"/>
                <w:szCs w:val="21"/>
              </w:rPr>
            </w:pPr>
            <w:r>
              <w:rPr>
                <w:rFonts w:hAnsi="Times New Roman"/>
                <w:color w:val="auto"/>
                <w:szCs w:val="21"/>
              </w:rPr>
              <w:t>室内边界声级/dB(A)</w:t>
            </w:r>
          </w:p>
        </w:tc>
        <w:tc>
          <w:tcPr>
            <w:tcW w:w="249" w:type="pct"/>
            <w:vMerge w:val="restart"/>
            <w:tcBorders>
              <w:tl2br w:val="nil"/>
              <w:tr2bl w:val="nil"/>
            </w:tcBorders>
            <w:vAlign w:val="center"/>
          </w:tcPr>
          <w:p w14:paraId="6F2589EF">
            <w:pPr>
              <w:pStyle w:val="77"/>
              <w:rPr>
                <w:rFonts w:hAnsi="Times New Roman"/>
                <w:color w:val="auto"/>
                <w:szCs w:val="21"/>
              </w:rPr>
            </w:pPr>
            <w:r>
              <w:rPr>
                <w:rFonts w:hAnsi="Times New Roman"/>
                <w:color w:val="auto"/>
                <w:szCs w:val="21"/>
              </w:rPr>
              <w:t>运行</w:t>
            </w:r>
          </w:p>
          <w:p w14:paraId="1950E845">
            <w:pPr>
              <w:pStyle w:val="77"/>
              <w:rPr>
                <w:rFonts w:hAnsi="Times New Roman"/>
                <w:color w:val="auto"/>
                <w:szCs w:val="21"/>
              </w:rPr>
            </w:pPr>
            <w:r>
              <w:rPr>
                <w:rFonts w:hAnsi="Times New Roman"/>
                <w:color w:val="auto"/>
                <w:szCs w:val="21"/>
              </w:rPr>
              <w:t>时段</w:t>
            </w:r>
          </w:p>
        </w:tc>
        <w:tc>
          <w:tcPr>
            <w:tcW w:w="332" w:type="pct"/>
            <w:vMerge w:val="restart"/>
            <w:tcBorders>
              <w:tl2br w:val="nil"/>
              <w:tr2bl w:val="nil"/>
            </w:tcBorders>
            <w:vAlign w:val="center"/>
          </w:tcPr>
          <w:p w14:paraId="0E8B3E6A">
            <w:pPr>
              <w:pStyle w:val="77"/>
              <w:rPr>
                <w:rFonts w:hAnsi="Times New Roman"/>
                <w:color w:val="auto"/>
                <w:szCs w:val="21"/>
              </w:rPr>
            </w:pPr>
            <w:r>
              <w:rPr>
                <w:rFonts w:hAnsi="Times New Roman"/>
                <w:color w:val="auto"/>
                <w:szCs w:val="21"/>
              </w:rPr>
              <w:t>建筑物插入损失/[dB(A)]</w:t>
            </w:r>
          </w:p>
        </w:tc>
        <w:tc>
          <w:tcPr>
            <w:tcW w:w="798" w:type="pct"/>
            <w:gridSpan w:val="2"/>
            <w:tcBorders>
              <w:tl2br w:val="nil"/>
              <w:tr2bl w:val="nil"/>
            </w:tcBorders>
            <w:vAlign w:val="center"/>
          </w:tcPr>
          <w:p w14:paraId="20F7F43D">
            <w:pPr>
              <w:pStyle w:val="77"/>
              <w:rPr>
                <w:rFonts w:hAnsi="Times New Roman"/>
                <w:color w:val="auto"/>
                <w:szCs w:val="21"/>
              </w:rPr>
            </w:pPr>
            <w:r>
              <w:rPr>
                <w:rFonts w:hAnsi="Times New Roman"/>
                <w:color w:val="auto"/>
                <w:szCs w:val="21"/>
              </w:rPr>
              <w:t>建筑外噪声</w:t>
            </w:r>
          </w:p>
        </w:tc>
      </w:tr>
      <w:tr w14:paraId="14ABE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0CDEA2AB">
            <w:pPr>
              <w:pStyle w:val="77"/>
              <w:rPr>
                <w:rFonts w:hAnsi="Times New Roman"/>
                <w:color w:val="auto"/>
                <w:szCs w:val="21"/>
              </w:rPr>
            </w:pPr>
          </w:p>
        </w:tc>
        <w:tc>
          <w:tcPr>
            <w:tcW w:w="303" w:type="pct"/>
            <w:vMerge w:val="continue"/>
            <w:tcBorders>
              <w:tl2br w:val="nil"/>
              <w:tr2bl w:val="nil"/>
            </w:tcBorders>
            <w:vAlign w:val="center"/>
          </w:tcPr>
          <w:p w14:paraId="31AA4D4F">
            <w:pPr>
              <w:pStyle w:val="77"/>
              <w:rPr>
                <w:rFonts w:hAnsi="Times New Roman"/>
                <w:color w:val="auto"/>
                <w:szCs w:val="21"/>
              </w:rPr>
            </w:pPr>
          </w:p>
        </w:tc>
        <w:tc>
          <w:tcPr>
            <w:tcW w:w="261" w:type="pct"/>
            <w:vMerge w:val="continue"/>
            <w:tcBorders>
              <w:tl2br w:val="nil"/>
              <w:tr2bl w:val="nil"/>
            </w:tcBorders>
            <w:vAlign w:val="center"/>
          </w:tcPr>
          <w:p w14:paraId="6AA95CA8">
            <w:pPr>
              <w:pStyle w:val="77"/>
              <w:rPr>
                <w:rFonts w:hAnsi="Times New Roman"/>
                <w:color w:val="auto"/>
                <w:szCs w:val="21"/>
              </w:rPr>
            </w:pPr>
          </w:p>
        </w:tc>
        <w:tc>
          <w:tcPr>
            <w:tcW w:w="393" w:type="pct"/>
            <w:vMerge w:val="continue"/>
            <w:tcBorders>
              <w:tl2br w:val="nil"/>
              <w:tr2bl w:val="nil"/>
            </w:tcBorders>
            <w:vAlign w:val="center"/>
          </w:tcPr>
          <w:p w14:paraId="0D0F37FD">
            <w:pPr>
              <w:pStyle w:val="77"/>
              <w:rPr>
                <w:rFonts w:hAnsi="Times New Roman"/>
                <w:color w:val="auto"/>
                <w:szCs w:val="21"/>
              </w:rPr>
            </w:pPr>
          </w:p>
        </w:tc>
        <w:tc>
          <w:tcPr>
            <w:tcW w:w="690" w:type="pct"/>
            <w:vMerge w:val="continue"/>
            <w:tcBorders>
              <w:tl2br w:val="nil"/>
              <w:tr2bl w:val="nil"/>
            </w:tcBorders>
            <w:vAlign w:val="center"/>
          </w:tcPr>
          <w:p w14:paraId="42E06639">
            <w:pPr>
              <w:pStyle w:val="77"/>
              <w:rPr>
                <w:rFonts w:hAnsi="Times New Roman"/>
                <w:color w:val="auto"/>
                <w:szCs w:val="21"/>
              </w:rPr>
            </w:pPr>
          </w:p>
        </w:tc>
        <w:tc>
          <w:tcPr>
            <w:tcW w:w="368" w:type="pct"/>
            <w:tcBorders>
              <w:tl2br w:val="nil"/>
              <w:tr2bl w:val="nil"/>
            </w:tcBorders>
            <w:vAlign w:val="center"/>
          </w:tcPr>
          <w:p w14:paraId="6BD1E1A3">
            <w:pPr>
              <w:pStyle w:val="77"/>
              <w:rPr>
                <w:rFonts w:hAnsi="Times New Roman"/>
                <w:color w:val="auto"/>
                <w:szCs w:val="21"/>
              </w:rPr>
            </w:pPr>
            <w:r>
              <w:rPr>
                <w:rFonts w:hAnsi="Times New Roman"/>
                <w:color w:val="auto"/>
                <w:szCs w:val="21"/>
              </w:rPr>
              <w:t>X</w:t>
            </w:r>
          </w:p>
        </w:tc>
        <w:tc>
          <w:tcPr>
            <w:tcW w:w="393" w:type="pct"/>
            <w:tcBorders>
              <w:tl2br w:val="nil"/>
              <w:tr2bl w:val="nil"/>
            </w:tcBorders>
            <w:vAlign w:val="center"/>
          </w:tcPr>
          <w:p w14:paraId="0BB5214E">
            <w:pPr>
              <w:pStyle w:val="77"/>
              <w:rPr>
                <w:rFonts w:hAnsi="Times New Roman"/>
                <w:color w:val="auto"/>
                <w:szCs w:val="21"/>
              </w:rPr>
            </w:pPr>
            <w:r>
              <w:rPr>
                <w:rFonts w:hAnsi="Times New Roman"/>
                <w:color w:val="auto"/>
                <w:szCs w:val="21"/>
              </w:rPr>
              <w:t>Y</w:t>
            </w:r>
          </w:p>
        </w:tc>
        <w:tc>
          <w:tcPr>
            <w:tcW w:w="245" w:type="pct"/>
            <w:tcBorders>
              <w:tl2br w:val="nil"/>
              <w:tr2bl w:val="nil"/>
            </w:tcBorders>
            <w:vAlign w:val="center"/>
          </w:tcPr>
          <w:p w14:paraId="450AE5FE">
            <w:pPr>
              <w:pStyle w:val="77"/>
              <w:rPr>
                <w:rFonts w:hAnsi="Times New Roman"/>
                <w:color w:val="auto"/>
                <w:szCs w:val="21"/>
              </w:rPr>
            </w:pPr>
            <w:r>
              <w:rPr>
                <w:rFonts w:hAnsi="Times New Roman"/>
                <w:color w:val="auto"/>
                <w:szCs w:val="21"/>
              </w:rPr>
              <w:t>Z</w:t>
            </w:r>
          </w:p>
        </w:tc>
        <w:tc>
          <w:tcPr>
            <w:tcW w:w="369" w:type="pct"/>
            <w:vMerge w:val="continue"/>
            <w:tcBorders>
              <w:tl2br w:val="nil"/>
              <w:tr2bl w:val="nil"/>
            </w:tcBorders>
            <w:vAlign w:val="center"/>
          </w:tcPr>
          <w:p w14:paraId="59281C6F">
            <w:pPr>
              <w:pStyle w:val="77"/>
              <w:rPr>
                <w:rFonts w:hAnsi="Times New Roman"/>
                <w:color w:val="auto"/>
                <w:szCs w:val="21"/>
              </w:rPr>
            </w:pPr>
          </w:p>
        </w:tc>
        <w:tc>
          <w:tcPr>
            <w:tcW w:w="296" w:type="pct"/>
            <w:vMerge w:val="continue"/>
            <w:tcBorders>
              <w:tl2br w:val="nil"/>
              <w:tr2bl w:val="nil"/>
            </w:tcBorders>
            <w:vAlign w:val="center"/>
          </w:tcPr>
          <w:p w14:paraId="3E52196C">
            <w:pPr>
              <w:pStyle w:val="77"/>
              <w:rPr>
                <w:rFonts w:hAnsi="Times New Roman"/>
                <w:color w:val="auto"/>
                <w:szCs w:val="21"/>
              </w:rPr>
            </w:pPr>
          </w:p>
        </w:tc>
        <w:tc>
          <w:tcPr>
            <w:tcW w:w="249" w:type="pct"/>
            <w:vMerge w:val="continue"/>
            <w:tcBorders>
              <w:tl2br w:val="nil"/>
              <w:tr2bl w:val="nil"/>
            </w:tcBorders>
            <w:vAlign w:val="center"/>
          </w:tcPr>
          <w:p w14:paraId="59C2C313">
            <w:pPr>
              <w:pStyle w:val="77"/>
              <w:rPr>
                <w:rFonts w:hAnsi="Times New Roman"/>
                <w:color w:val="auto"/>
                <w:szCs w:val="21"/>
              </w:rPr>
            </w:pPr>
          </w:p>
        </w:tc>
        <w:tc>
          <w:tcPr>
            <w:tcW w:w="332" w:type="pct"/>
            <w:vMerge w:val="continue"/>
            <w:tcBorders>
              <w:tl2br w:val="nil"/>
              <w:tr2bl w:val="nil"/>
            </w:tcBorders>
            <w:vAlign w:val="center"/>
          </w:tcPr>
          <w:p w14:paraId="632A3A1C">
            <w:pPr>
              <w:pStyle w:val="77"/>
              <w:rPr>
                <w:rFonts w:hAnsi="Times New Roman"/>
                <w:color w:val="auto"/>
                <w:szCs w:val="21"/>
              </w:rPr>
            </w:pPr>
          </w:p>
        </w:tc>
        <w:tc>
          <w:tcPr>
            <w:tcW w:w="482" w:type="pct"/>
            <w:tcBorders>
              <w:tl2br w:val="nil"/>
              <w:tr2bl w:val="nil"/>
            </w:tcBorders>
            <w:vAlign w:val="center"/>
          </w:tcPr>
          <w:p w14:paraId="583B9D31">
            <w:pPr>
              <w:pStyle w:val="77"/>
              <w:rPr>
                <w:rFonts w:hAnsi="Times New Roman"/>
                <w:color w:val="auto"/>
                <w:szCs w:val="21"/>
              </w:rPr>
            </w:pPr>
            <w:r>
              <w:rPr>
                <w:rFonts w:hAnsi="Times New Roman"/>
                <w:color w:val="auto"/>
                <w:szCs w:val="21"/>
              </w:rPr>
              <w:t>声压级//dB(A)</w:t>
            </w:r>
          </w:p>
        </w:tc>
        <w:tc>
          <w:tcPr>
            <w:tcW w:w="316" w:type="pct"/>
            <w:tcBorders>
              <w:tl2br w:val="nil"/>
              <w:tr2bl w:val="nil"/>
            </w:tcBorders>
            <w:vAlign w:val="center"/>
          </w:tcPr>
          <w:p w14:paraId="27570C95">
            <w:pPr>
              <w:pStyle w:val="77"/>
              <w:rPr>
                <w:rFonts w:hAnsi="Times New Roman"/>
                <w:color w:val="auto"/>
                <w:szCs w:val="21"/>
              </w:rPr>
            </w:pPr>
            <w:r>
              <w:rPr>
                <w:rFonts w:hAnsi="Times New Roman"/>
                <w:color w:val="auto"/>
                <w:szCs w:val="21"/>
              </w:rPr>
              <w:t>建筑物外距离</w:t>
            </w:r>
          </w:p>
        </w:tc>
      </w:tr>
      <w:tr w14:paraId="58C40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restart"/>
            <w:tcBorders>
              <w:tl2br w:val="nil"/>
              <w:tr2bl w:val="nil"/>
            </w:tcBorders>
            <w:vAlign w:val="center"/>
          </w:tcPr>
          <w:p w14:paraId="0C55917A">
            <w:pPr>
              <w:pStyle w:val="77"/>
              <w:rPr>
                <w:rFonts w:hAnsi="Times New Roman"/>
                <w:color w:val="auto"/>
                <w:szCs w:val="21"/>
              </w:rPr>
            </w:pPr>
            <w:r>
              <w:rPr>
                <w:rFonts w:hAnsi="Times New Roman"/>
                <w:color w:val="auto"/>
                <w:szCs w:val="21"/>
              </w:rPr>
              <w:t>锅炉间</w:t>
            </w:r>
          </w:p>
        </w:tc>
        <w:tc>
          <w:tcPr>
            <w:tcW w:w="303" w:type="pct"/>
            <w:vMerge w:val="restart"/>
            <w:tcBorders>
              <w:tl2br w:val="nil"/>
              <w:tr2bl w:val="nil"/>
            </w:tcBorders>
            <w:vAlign w:val="center"/>
          </w:tcPr>
          <w:p w14:paraId="2ABB629E">
            <w:pPr>
              <w:pStyle w:val="77"/>
              <w:rPr>
                <w:rFonts w:hAnsi="Times New Roman"/>
                <w:color w:val="auto"/>
                <w:szCs w:val="21"/>
              </w:rPr>
            </w:pPr>
            <w:r>
              <w:rPr>
                <w:rFonts w:hint="eastAsia" w:hAnsi="Times New Roman"/>
                <w:color w:val="auto"/>
                <w:szCs w:val="21"/>
              </w:rPr>
              <w:t>送</w:t>
            </w:r>
            <w:r>
              <w:rPr>
                <w:rFonts w:hAnsi="Times New Roman"/>
                <w:color w:val="auto"/>
                <w:szCs w:val="21"/>
              </w:rPr>
              <w:t>风机</w:t>
            </w:r>
          </w:p>
        </w:tc>
        <w:tc>
          <w:tcPr>
            <w:tcW w:w="261" w:type="pct"/>
            <w:vMerge w:val="restart"/>
            <w:tcBorders>
              <w:tl2br w:val="nil"/>
              <w:tr2bl w:val="nil"/>
            </w:tcBorders>
            <w:vAlign w:val="center"/>
          </w:tcPr>
          <w:p w14:paraId="0CA3BDDC">
            <w:pPr>
              <w:pStyle w:val="77"/>
              <w:rPr>
                <w:rFonts w:hAnsi="Times New Roman"/>
                <w:color w:val="auto"/>
                <w:szCs w:val="21"/>
              </w:rPr>
            </w:pPr>
            <w:r>
              <w:rPr>
                <w:rFonts w:hint="eastAsia" w:hAnsi="Times New Roman"/>
                <w:color w:val="auto"/>
                <w:szCs w:val="21"/>
              </w:rPr>
              <w:t>75</w:t>
            </w:r>
          </w:p>
        </w:tc>
        <w:tc>
          <w:tcPr>
            <w:tcW w:w="393" w:type="pct"/>
            <w:vMerge w:val="restart"/>
            <w:tcBorders>
              <w:tl2br w:val="nil"/>
              <w:tr2bl w:val="nil"/>
            </w:tcBorders>
            <w:vAlign w:val="center"/>
          </w:tcPr>
          <w:p w14:paraId="79CB567F">
            <w:pPr>
              <w:spacing w:line="240" w:lineRule="auto"/>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color w:val="auto"/>
                <w:kern w:val="0"/>
                <w:sz w:val="21"/>
                <w:szCs w:val="21"/>
              </w:rPr>
              <w:t>固定点源</w:t>
            </w:r>
          </w:p>
        </w:tc>
        <w:tc>
          <w:tcPr>
            <w:tcW w:w="690" w:type="pct"/>
            <w:vMerge w:val="restart"/>
            <w:tcBorders>
              <w:tl2br w:val="nil"/>
              <w:tr2bl w:val="nil"/>
            </w:tcBorders>
            <w:vAlign w:val="center"/>
          </w:tcPr>
          <w:p w14:paraId="600F1BAE">
            <w:pPr>
              <w:pStyle w:val="77"/>
              <w:rPr>
                <w:rFonts w:hAnsi="Times New Roman"/>
                <w:color w:val="auto"/>
                <w:szCs w:val="21"/>
              </w:rPr>
            </w:pPr>
            <w:r>
              <w:rPr>
                <w:rFonts w:hAnsi="Times New Roman"/>
                <w:bCs/>
                <w:color w:val="auto"/>
                <w:szCs w:val="21"/>
              </w:rPr>
              <w:t>进风口消声器、管道外壳阻尼</w:t>
            </w:r>
          </w:p>
        </w:tc>
        <w:tc>
          <w:tcPr>
            <w:tcW w:w="368" w:type="pct"/>
            <w:tcBorders>
              <w:tl2br w:val="nil"/>
              <w:tr2bl w:val="nil"/>
            </w:tcBorders>
            <w:vAlign w:val="center"/>
          </w:tcPr>
          <w:p w14:paraId="30FE0399">
            <w:pPr>
              <w:pStyle w:val="77"/>
              <w:rPr>
                <w:rFonts w:hAnsi="Times New Roman"/>
                <w:color w:val="auto"/>
                <w:szCs w:val="21"/>
              </w:rPr>
            </w:pPr>
            <w:r>
              <w:rPr>
                <w:rFonts w:hint="eastAsia" w:hAnsi="Times New Roman"/>
                <w:color w:val="auto"/>
                <w:szCs w:val="21"/>
              </w:rPr>
              <w:t>42</w:t>
            </w:r>
          </w:p>
        </w:tc>
        <w:tc>
          <w:tcPr>
            <w:tcW w:w="393" w:type="pct"/>
            <w:tcBorders>
              <w:tl2br w:val="nil"/>
              <w:tr2bl w:val="nil"/>
            </w:tcBorders>
            <w:vAlign w:val="center"/>
          </w:tcPr>
          <w:p w14:paraId="19D9731D">
            <w:pPr>
              <w:pStyle w:val="77"/>
              <w:rPr>
                <w:rFonts w:hAnsi="Times New Roman"/>
                <w:color w:val="auto"/>
                <w:szCs w:val="21"/>
              </w:rPr>
            </w:pPr>
            <w:r>
              <w:rPr>
                <w:rFonts w:hint="eastAsia" w:hAnsi="Times New Roman"/>
                <w:color w:val="auto"/>
                <w:szCs w:val="21"/>
              </w:rPr>
              <w:t>79</w:t>
            </w:r>
          </w:p>
        </w:tc>
        <w:tc>
          <w:tcPr>
            <w:tcW w:w="245" w:type="pct"/>
            <w:tcBorders>
              <w:tl2br w:val="nil"/>
              <w:tr2bl w:val="nil"/>
            </w:tcBorders>
            <w:vAlign w:val="center"/>
          </w:tcPr>
          <w:p w14:paraId="0926689B">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298EBBC8">
            <w:pPr>
              <w:pStyle w:val="77"/>
              <w:rPr>
                <w:rFonts w:hAnsi="Times New Roman"/>
                <w:bCs/>
                <w:color w:val="auto"/>
                <w:szCs w:val="21"/>
              </w:rPr>
            </w:pPr>
            <w:r>
              <w:rPr>
                <w:rFonts w:hint="eastAsia" w:hAnsi="Times New Roman"/>
                <w:bCs/>
                <w:color w:val="auto"/>
                <w:szCs w:val="21"/>
              </w:rPr>
              <w:t>4.3</w:t>
            </w:r>
          </w:p>
        </w:tc>
        <w:tc>
          <w:tcPr>
            <w:tcW w:w="296" w:type="pct"/>
            <w:tcBorders>
              <w:tl2br w:val="nil"/>
              <w:tr2bl w:val="nil"/>
            </w:tcBorders>
            <w:vAlign w:val="center"/>
          </w:tcPr>
          <w:p w14:paraId="3009448C">
            <w:pPr>
              <w:pStyle w:val="77"/>
              <w:rPr>
                <w:rFonts w:hAnsi="Times New Roman"/>
                <w:bCs/>
                <w:color w:val="auto"/>
                <w:szCs w:val="21"/>
              </w:rPr>
            </w:pPr>
            <w:r>
              <w:rPr>
                <w:rFonts w:hint="eastAsia" w:hAnsi="Times New Roman"/>
                <w:bCs/>
                <w:color w:val="auto"/>
                <w:szCs w:val="21"/>
              </w:rPr>
              <w:t xml:space="preserve">62 </w:t>
            </w:r>
          </w:p>
        </w:tc>
        <w:tc>
          <w:tcPr>
            <w:tcW w:w="249" w:type="pct"/>
            <w:tcBorders>
              <w:tl2br w:val="nil"/>
              <w:tr2bl w:val="nil"/>
            </w:tcBorders>
            <w:vAlign w:val="center"/>
          </w:tcPr>
          <w:p w14:paraId="0E27C24C">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39E2959E">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48971DB0">
            <w:pPr>
              <w:pStyle w:val="77"/>
              <w:rPr>
                <w:rFonts w:hAnsi="Times New Roman"/>
                <w:bCs/>
                <w:color w:val="auto"/>
                <w:szCs w:val="21"/>
              </w:rPr>
            </w:pPr>
            <w:r>
              <w:rPr>
                <w:rFonts w:hint="eastAsia" w:hAnsi="Times New Roman"/>
                <w:bCs/>
                <w:color w:val="auto"/>
                <w:szCs w:val="21"/>
              </w:rPr>
              <w:t xml:space="preserve">42 </w:t>
            </w:r>
          </w:p>
        </w:tc>
        <w:tc>
          <w:tcPr>
            <w:tcW w:w="316" w:type="pct"/>
            <w:vMerge w:val="restart"/>
            <w:tcBorders>
              <w:tl2br w:val="nil"/>
              <w:tr2bl w:val="nil"/>
            </w:tcBorders>
            <w:vAlign w:val="center"/>
          </w:tcPr>
          <w:p w14:paraId="65E01F55">
            <w:pPr>
              <w:pStyle w:val="77"/>
              <w:rPr>
                <w:rFonts w:hAnsi="Times New Roman"/>
                <w:bCs/>
                <w:color w:val="auto"/>
                <w:szCs w:val="21"/>
              </w:rPr>
            </w:pPr>
            <w:r>
              <w:rPr>
                <w:rFonts w:hAnsi="Times New Roman"/>
                <w:bCs/>
                <w:color w:val="auto"/>
                <w:szCs w:val="21"/>
              </w:rPr>
              <w:t>1m</w:t>
            </w:r>
          </w:p>
        </w:tc>
      </w:tr>
      <w:tr w14:paraId="38920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0198ED3A">
            <w:pPr>
              <w:pStyle w:val="77"/>
              <w:rPr>
                <w:rFonts w:hAnsi="Times New Roman"/>
                <w:color w:val="auto"/>
                <w:szCs w:val="21"/>
              </w:rPr>
            </w:pPr>
          </w:p>
        </w:tc>
        <w:tc>
          <w:tcPr>
            <w:tcW w:w="303" w:type="pct"/>
            <w:vMerge w:val="continue"/>
            <w:tcBorders>
              <w:tl2br w:val="nil"/>
              <w:tr2bl w:val="nil"/>
            </w:tcBorders>
            <w:vAlign w:val="center"/>
          </w:tcPr>
          <w:p w14:paraId="52F6E8D9">
            <w:pPr>
              <w:pStyle w:val="77"/>
              <w:rPr>
                <w:rFonts w:hAnsi="Times New Roman"/>
                <w:color w:val="auto"/>
                <w:szCs w:val="21"/>
              </w:rPr>
            </w:pPr>
          </w:p>
        </w:tc>
        <w:tc>
          <w:tcPr>
            <w:tcW w:w="261" w:type="pct"/>
            <w:vMerge w:val="continue"/>
            <w:tcBorders>
              <w:tl2br w:val="nil"/>
              <w:tr2bl w:val="nil"/>
            </w:tcBorders>
            <w:vAlign w:val="center"/>
          </w:tcPr>
          <w:p w14:paraId="3B355643">
            <w:pPr>
              <w:pStyle w:val="77"/>
              <w:rPr>
                <w:rFonts w:hAnsi="Times New Roman"/>
                <w:color w:val="auto"/>
                <w:szCs w:val="21"/>
              </w:rPr>
            </w:pPr>
          </w:p>
        </w:tc>
        <w:tc>
          <w:tcPr>
            <w:tcW w:w="393" w:type="pct"/>
            <w:vMerge w:val="continue"/>
            <w:tcBorders>
              <w:tl2br w:val="nil"/>
              <w:tr2bl w:val="nil"/>
            </w:tcBorders>
            <w:vAlign w:val="center"/>
          </w:tcPr>
          <w:p w14:paraId="2F95C9B6">
            <w:pPr>
              <w:pStyle w:val="77"/>
              <w:rPr>
                <w:rFonts w:hAnsi="Times New Roman"/>
                <w:bCs/>
                <w:color w:val="auto"/>
                <w:szCs w:val="21"/>
              </w:rPr>
            </w:pPr>
          </w:p>
        </w:tc>
        <w:tc>
          <w:tcPr>
            <w:tcW w:w="690" w:type="pct"/>
            <w:vMerge w:val="continue"/>
            <w:tcBorders>
              <w:tl2br w:val="nil"/>
              <w:tr2bl w:val="nil"/>
            </w:tcBorders>
            <w:vAlign w:val="center"/>
          </w:tcPr>
          <w:p w14:paraId="1C80C593">
            <w:pPr>
              <w:pStyle w:val="77"/>
              <w:rPr>
                <w:rFonts w:hAnsi="Times New Roman"/>
                <w:bCs/>
                <w:color w:val="auto"/>
                <w:szCs w:val="21"/>
              </w:rPr>
            </w:pPr>
          </w:p>
        </w:tc>
        <w:tc>
          <w:tcPr>
            <w:tcW w:w="368" w:type="pct"/>
            <w:tcBorders>
              <w:tl2br w:val="nil"/>
              <w:tr2bl w:val="nil"/>
            </w:tcBorders>
            <w:vAlign w:val="center"/>
          </w:tcPr>
          <w:p w14:paraId="5EE699E2">
            <w:pPr>
              <w:pStyle w:val="77"/>
              <w:rPr>
                <w:rFonts w:hAnsi="Times New Roman"/>
                <w:color w:val="auto"/>
                <w:szCs w:val="21"/>
              </w:rPr>
            </w:pPr>
            <w:r>
              <w:rPr>
                <w:rFonts w:hint="eastAsia" w:hAnsi="Times New Roman"/>
                <w:color w:val="auto"/>
                <w:szCs w:val="21"/>
              </w:rPr>
              <w:t>49</w:t>
            </w:r>
          </w:p>
        </w:tc>
        <w:tc>
          <w:tcPr>
            <w:tcW w:w="393" w:type="pct"/>
            <w:tcBorders>
              <w:tl2br w:val="nil"/>
              <w:tr2bl w:val="nil"/>
            </w:tcBorders>
            <w:vAlign w:val="center"/>
          </w:tcPr>
          <w:p w14:paraId="56F6823D">
            <w:pPr>
              <w:pStyle w:val="77"/>
              <w:rPr>
                <w:rFonts w:hAnsi="Times New Roman"/>
                <w:color w:val="auto"/>
                <w:szCs w:val="21"/>
              </w:rPr>
            </w:pPr>
            <w:r>
              <w:rPr>
                <w:rFonts w:hint="eastAsia" w:hAnsi="Times New Roman"/>
                <w:color w:val="auto"/>
                <w:szCs w:val="21"/>
              </w:rPr>
              <w:t>79</w:t>
            </w:r>
          </w:p>
        </w:tc>
        <w:tc>
          <w:tcPr>
            <w:tcW w:w="245" w:type="pct"/>
            <w:tcBorders>
              <w:tl2br w:val="nil"/>
              <w:tr2bl w:val="nil"/>
            </w:tcBorders>
            <w:vAlign w:val="center"/>
          </w:tcPr>
          <w:p w14:paraId="3EE22201">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18BD12BA">
            <w:pPr>
              <w:pStyle w:val="77"/>
              <w:rPr>
                <w:rFonts w:hAnsi="Times New Roman"/>
                <w:bCs/>
                <w:color w:val="auto"/>
                <w:szCs w:val="21"/>
              </w:rPr>
            </w:pPr>
            <w:r>
              <w:rPr>
                <w:rFonts w:hint="eastAsia" w:hAnsi="Times New Roman"/>
                <w:bCs/>
                <w:color w:val="auto"/>
                <w:szCs w:val="21"/>
              </w:rPr>
              <w:t>2.6</w:t>
            </w:r>
          </w:p>
        </w:tc>
        <w:tc>
          <w:tcPr>
            <w:tcW w:w="296" w:type="pct"/>
            <w:tcBorders>
              <w:tl2br w:val="nil"/>
              <w:tr2bl w:val="nil"/>
            </w:tcBorders>
            <w:vAlign w:val="center"/>
          </w:tcPr>
          <w:p w14:paraId="26C20DD5">
            <w:pPr>
              <w:pStyle w:val="77"/>
              <w:rPr>
                <w:rFonts w:hAnsi="Times New Roman"/>
                <w:bCs/>
                <w:color w:val="auto"/>
                <w:szCs w:val="21"/>
              </w:rPr>
            </w:pPr>
            <w:r>
              <w:rPr>
                <w:rFonts w:hint="eastAsia" w:hAnsi="Times New Roman"/>
                <w:bCs/>
                <w:color w:val="auto"/>
                <w:szCs w:val="21"/>
              </w:rPr>
              <w:t xml:space="preserve">67 </w:t>
            </w:r>
          </w:p>
        </w:tc>
        <w:tc>
          <w:tcPr>
            <w:tcW w:w="249" w:type="pct"/>
            <w:tcBorders>
              <w:tl2br w:val="nil"/>
              <w:tr2bl w:val="nil"/>
            </w:tcBorders>
            <w:vAlign w:val="center"/>
          </w:tcPr>
          <w:p w14:paraId="6A76F37A">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182F7205">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2F6BCFDF">
            <w:pPr>
              <w:pStyle w:val="77"/>
              <w:rPr>
                <w:rFonts w:hAnsi="Times New Roman"/>
                <w:bCs/>
                <w:color w:val="auto"/>
                <w:szCs w:val="21"/>
              </w:rPr>
            </w:pPr>
            <w:r>
              <w:rPr>
                <w:rFonts w:hint="eastAsia" w:hAnsi="Times New Roman"/>
                <w:bCs/>
                <w:color w:val="auto"/>
                <w:szCs w:val="21"/>
              </w:rPr>
              <w:t xml:space="preserve">47 </w:t>
            </w:r>
          </w:p>
        </w:tc>
        <w:tc>
          <w:tcPr>
            <w:tcW w:w="316" w:type="pct"/>
            <w:vMerge w:val="continue"/>
            <w:tcBorders>
              <w:tl2br w:val="nil"/>
              <w:tr2bl w:val="nil"/>
            </w:tcBorders>
            <w:vAlign w:val="center"/>
          </w:tcPr>
          <w:p w14:paraId="7DB89306">
            <w:pPr>
              <w:pStyle w:val="77"/>
              <w:rPr>
                <w:rFonts w:hAnsi="Times New Roman"/>
                <w:bCs/>
                <w:color w:val="auto"/>
                <w:szCs w:val="21"/>
              </w:rPr>
            </w:pPr>
          </w:p>
        </w:tc>
      </w:tr>
      <w:tr w14:paraId="6E1B6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000581BD">
            <w:pPr>
              <w:pStyle w:val="77"/>
              <w:rPr>
                <w:rFonts w:hAnsi="Times New Roman"/>
                <w:color w:val="auto"/>
                <w:szCs w:val="21"/>
              </w:rPr>
            </w:pPr>
          </w:p>
        </w:tc>
        <w:tc>
          <w:tcPr>
            <w:tcW w:w="303" w:type="pct"/>
            <w:tcBorders>
              <w:tl2br w:val="nil"/>
              <w:tr2bl w:val="nil"/>
            </w:tcBorders>
            <w:vAlign w:val="center"/>
          </w:tcPr>
          <w:p w14:paraId="22620F3A">
            <w:pPr>
              <w:pStyle w:val="77"/>
              <w:rPr>
                <w:rFonts w:hAnsi="Times New Roman"/>
                <w:color w:val="auto"/>
                <w:szCs w:val="21"/>
              </w:rPr>
            </w:pPr>
            <w:r>
              <w:rPr>
                <w:rFonts w:hAnsi="Times New Roman"/>
                <w:color w:val="auto"/>
                <w:szCs w:val="21"/>
              </w:rPr>
              <w:t>锅炉给水泵</w:t>
            </w:r>
          </w:p>
        </w:tc>
        <w:tc>
          <w:tcPr>
            <w:tcW w:w="261" w:type="pct"/>
            <w:tcBorders>
              <w:tl2br w:val="nil"/>
              <w:tr2bl w:val="nil"/>
            </w:tcBorders>
            <w:vAlign w:val="center"/>
          </w:tcPr>
          <w:p w14:paraId="15C634C8">
            <w:pPr>
              <w:pStyle w:val="77"/>
              <w:rPr>
                <w:rFonts w:hint="default" w:hAnsi="Times New Roman" w:eastAsia="宋体"/>
                <w:color w:val="auto"/>
                <w:szCs w:val="21"/>
                <w:lang w:val="en-US" w:eastAsia="zh-CN"/>
              </w:rPr>
            </w:pPr>
            <w:r>
              <w:rPr>
                <w:rFonts w:hint="eastAsia" w:hAnsi="Times New Roman"/>
                <w:color w:val="auto"/>
                <w:szCs w:val="21"/>
                <w:lang w:val="en-US" w:eastAsia="zh-CN"/>
              </w:rPr>
              <w:t>70</w:t>
            </w:r>
          </w:p>
        </w:tc>
        <w:tc>
          <w:tcPr>
            <w:tcW w:w="393" w:type="pct"/>
            <w:tcBorders>
              <w:tl2br w:val="nil"/>
              <w:tr2bl w:val="nil"/>
            </w:tcBorders>
            <w:vAlign w:val="center"/>
          </w:tcPr>
          <w:p w14:paraId="3836B6EC">
            <w:pPr>
              <w:spacing w:line="240" w:lineRule="auto"/>
              <w:ind w:firstLine="0" w:firstLineChars="0"/>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6C566E39">
            <w:pPr>
              <w:pStyle w:val="77"/>
              <w:rPr>
                <w:rFonts w:hAnsi="Times New Roman"/>
                <w:color w:val="auto"/>
                <w:szCs w:val="21"/>
              </w:rPr>
            </w:pPr>
            <w:r>
              <w:rPr>
                <w:rFonts w:hint="eastAsia" w:ascii="Times New Roman" w:hAnsi="Times New Roman" w:eastAsia="宋体" w:cs="Times New Roman"/>
                <w:color w:val="auto"/>
                <w:szCs w:val="21"/>
                <w:lang w:val="en-US" w:eastAsia="zh-CN"/>
              </w:rPr>
              <w:t>隔声、减振</w:t>
            </w:r>
          </w:p>
        </w:tc>
        <w:tc>
          <w:tcPr>
            <w:tcW w:w="368" w:type="pct"/>
            <w:tcBorders>
              <w:tl2br w:val="nil"/>
              <w:tr2bl w:val="nil"/>
            </w:tcBorders>
            <w:vAlign w:val="center"/>
          </w:tcPr>
          <w:p w14:paraId="2326B97E">
            <w:pPr>
              <w:pStyle w:val="77"/>
              <w:rPr>
                <w:rFonts w:hAnsi="Times New Roman"/>
                <w:color w:val="auto"/>
                <w:szCs w:val="21"/>
              </w:rPr>
            </w:pPr>
            <w:r>
              <w:rPr>
                <w:rFonts w:hint="eastAsia" w:hAnsi="Times New Roman"/>
                <w:color w:val="auto"/>
                <w:szCs w:val="21"/>
              </w:rPr>
              <w:t>34</w:t>
            </w:r>
          </w:p>
        </w:tc>
        <w:tc>
          <w:tcPr>
            <w:tcW w:w="393" w:type="pct"/>
            <w:tcBorders>
              <w:tl2br w:val="nil"/>
              <w:tr2bl w:val="nil"/>
            </w:tcBorders>
            <w:vAlign w:val="center"/>
          </w:tcPr>
          <w:p w14:paraId="75BE6282">
            <w:pPr>
              <w:pStyle w:val="77"/>
              <w:rPr>
                <w:rFonts w:hAnsi="Times New Roman"/>
                <w:color w:val="auto"/>
                <w:szCs w:val="21"/>
              </w:rPr>
            </w:pPr>
            <w:r>
              <w:rPr>
                <w:rFonts w:hint="eastAsia" w:hAnsi="Times New Roman"/>
                <w:color w:val="auto"/>
                <w:szCs w:val="21"/>
              </w:rPr>
              <w:t>61</w:t>
            </w:r>
          </w:p>
        </w:tc>
        <w:tc>
          <w:tcPr>
            <w:tcW w:w="245" w:type="pct"/>
            <w:tcBorders>
              <w:tl2br w:val="nil"/>
              <w:tr2bl w:val="nil"/>
            </w:tcBorders>
            <w:vAlign w:val="center"/>
          </w:tcPr>
          <w:p w14:paraId="69B8030E">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27183777">
            <w:pPr>
              <w:pStyle w:val="77"/>
              <w:rPr>
                <w:rFonts w:hAnsi="Times New Roman"/>
                <w:bCs/>
                <w:color w:val="auto"/>
                <w:szCs w:val="21"/>
              </w:rPr>
            </w:pPr>
            <w:r>
              <w:rPr>
                <w:rFonts w:hint="eastAsia" w:hAnsi="Times New Roman"/>
                <w:bCs/>
                <w:color w:val="auto"/>
                <w:szCs w:val="21"/>
              </w:rPr>
              <w:t>2.6</w:t>
            </w:r>
          </w:p>
        </w:tc>
        <w:tc>
          <w:tcPr>
            <w:tcW w:w="296" w:type="pct"/>
            <w:tcBorders>
              <w:tl2br w:val="nil"/>
              <w:tr2bl w:val="nil"/>
            </w:tcBorders>
            <w:vAlign w:val="center"/>
          </w:tcPr>
          <w:p w14:paraId="309EEBDB">
            <w:pPr>
              <w:pStyle w:val="77"/>
              <w:rPr>
                <w:rFonts w:hAnsi="Times New Roman"/>
                <w:bCs/>
                <w:color w:val="auto"/>
                <w:szCs w:val="21"/>
              </w:rPr>
            </w:pPr>
            <w:r>
              <w:rPr>
                <w:rFonts w:hint="eastAsia" w:hAnsi="Times New Roman"/>
                <w:bCs/>
                <w:color w:val="auto"/>
                <w:szCs w:val="21"/>
              </w:rPr>
              <w:t xml:space="preserve">72 </w:t>
            </w:r>
          </w:p>
        </w:tc>
        <w:tc>
          <w:tcPr>
            <w:tcW w:w="249" w:type="pct"/>
            <w:tcBorders>
              <w:tl2br w:val="nil"/>
              <w:tr2bl w:val="nil"/>
            </w:tcBorders>
            <w:vAlign w:val="center"/>
          </w:tcPr>
          <w:p w14:paraId="1343FFF4">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1D0F42B1">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16F7B604">
            <w:pPr>
              <w:pStyle w:val="77"/>
              <w:rPr>
                <w:rFonts w:hAnsi="Times New Roman"/>
                <w:bCs/>
                <w:color w:val="auto"/>
                <w:szCs w:val="21"/>
              </w:rPr>
            </w:pPr>
            <w:r>
              <w:rPr>
                <w:rFonts w:hint="eastAsia" w:hAnsi="Times New Roman"/>
                <w:bCs/>
                <w:color w:val="auto"/>
                <w:szCs w:val="21"/>
              </w:rPr>
              <w:t xml:space="preserve">52 </w:t>
            </w:r>
          </w:p>
        </w:tc>
        <w:tc>
          <w:tcPr>
            <w:tcW w:w="316" w:type="pct"/>
            <w:tcBorders>
              <w:tl2br w:val="nil"/>
              <w:tr2bl w:val="nil"/>
            </w:tcBorders>
            <w:vAlign w:val="center"/>
          </w:tcPr>
          <w:p w14:paraId="0E7A08A7">
            <w:pPr>
              <w:pStyle w:val="77"/>
              <w:rPr>
                <w:rFonts w:hAnsi="Times New Roman"/>
                <w:bCs/>
                <w:color w:val="auto"/>
                <w:szCs w:val="21"/>
              </w:rPr>
            </w:pPr>
            <w:r>
              <w:rPr>
                <w:rFonts w:hAnsi="Times New Roman"/>
                <w:bCs/>
                <w:color w:val="auto"/>
                <w:szCs w:val="21"/>
              </w:rPr>
              <w:t>1m</w:t>
            </w:r>
          </w:p>
        </w:tc>
      </w:tr>
      <w:tr w14:paraId="062AF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16009766">
            <w:pPr>
              <w:pStyle w:val="77"/>
              <w:rPr>
                <w:rFonts w:hAnsi="Times New Roman"/>
                <w:color w:val="auto"/>
                <w:szCs w:val="21"/>
              </w:rPr>
            </w:pPr>
          </w:p>
        </w:tc>
        <w:tc>
          <w:tcPr>
            <w:tcW w:w="303" w:type="pct"/>
            <w:vMerge w:val="restart"/>
            <w:tcBorders>
              <w:tl2br w:val="nil"/>
              <w:tr2bl w:val="nil"/>
            </w:tcBorders>
            <w:vAlign w:val="center"/>
          </w:tcPr>
          <w:p w14:paraId="2DEFEC50">
            <w:pPr>
              <w:pStyle w:val="77"/>
              <w:rPr>
                <w:rFonts w:hAnsi="Times New Roman"/>
                <w:color w:val="auto"/>
                <w:szCs w:val="21"/>
              </w:rPr>
            </w:pPr>
            <w:r>
              <w:rPr>
                <w:rFonts w:hint="eastAsia" w:hAnsi="Times New Roman"/>
                <w:color w:val="auto"/>
                <w:szCs w:val="21"/>
                <w:lang w:val="en-US" w:eastAsia="zh-CN"/>
              </w:rPr>
              <w:t>鼓</w:t>
            </w:r>
            <w:r>
              <w:rPr>
                <w:rFonts w:hint="eastAsia" w:hAnsi="Times New Roman"/>
                <w:color w:val="auto"/>
                <w:szCs w:val="21"/>
              </w:rPr>
              <w:t>风机</w:t>
            </w:r>
          </w:p>
        </w:tc>
        <w:tc>
          <w:tcPr>
            <w:tcW w:w="261" w:type="pct"/>
            <w:vMerge w:val="restart"/>
            <w:tcBorders>
              <w:tl2br w:val="nil"/>
              <w:tr2bl w:val="nil"/>
            </w:tcBorders>
            <w:vAlign w:val="center"/>
          </w:tcPr>
          <w:p w14:paraId="78C0A944">
            <w:pPr>
              <w:pStyle w:val="77"/>
              <w:rPr>
                <w:rFonts w:hAnsi="Times New Roman"/>
                <w:color w:val="auto"/>
                <w:szCs w:val="21"/>
              </w:rPr>
            </w:pPr>
            <w:r>
              <w:rPr>
                <w:rFonts w:hint="eastAsia" w:hAnsi="Times New Roman"/>
                <w:color w:val="auto"/>
                <w:szCs w:val="21"/>
              </w:rPr>
              <w:t>75</w:t>
            </w:r>
          </w:p>
        </w:tc>
        <w:tc>
          <w:tcPr>
            <w:tcW w:w="393" w:type="pct"/>
            <w:vMerge w:val="restart"/>
            <w:tcBorders>
              <w:tl2br w:val="nil"/>
              <w:tr2bl w:val="nil"/>
            </w:tcBorders>
            <w:vAlign w:val="center"/>
          </w:tcPr>
          <w:p w14:paraId="23949A82">
            <w:pPr>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固定点源</w:t>
            </w:r>
          </w:p>
        </w:tc>
        <w:tc>
          <w:tcPr>
            <w:tcW w:w="690" w:type="pct"/>
            <w:vMerge w:val="restart"/>
            <w:tcBorders>
              <w:tl2br w:val="nil"/>
              <w:tr2bl w:val="nil"/>
            </w:tcBorders>
            <w:vAlign w:val="center"/>
          </w:tcPr>
          <w:p w14:paraId="20374D84">
            <w:pPr>
              <w:pStyle w:val="77"/>
              <w:rPr>
                <w:rFonts w:hAnsi="Times New Roman"/>
                <w:color w:val="auto"/>
                <w:szCs w:val="21"/>
              </w:rPr>
            </w:pPr>
            <w:r>
              <w:rPr>
                <w:rFonts w:hAnsi="Times New Roman"/>
                <w:bCs/>
                <w:color w:val="auto"/>
                <w:szCs w:val="21"/>
              </w:rPr>
              <w:t>进风口消声器、管道外壳阻尼</w:t>
            </w:r>
          </w:p>
        </w:tc>
        <w:tc>
          <w:tcPr>
            <w:tcW w:w="368" w:type="pct"/>
            <w:tcBorders>
              <w:tl2br w:val="nil"/>
              <w:tr2bl w:val="nil"/>
            </w:tcBorders>
            <w:vAlign w:val="center"/>
          </w:tcPr>
          <w:p w14:paraId="11F41C85">
            <w:pPr>
              <w:pStyle w:val="77"/>
              <w:rPr>
                <w:rFonts w:hAnsi="Times New Roman"/>
                <w:color w:val="auto"/>
                <w:szCs w:val="21"/>
              </w:rPr>
            </w:pPr>
            <w:r>
              <w:rPr>
                <w:rFonts w:hint="eastAsia" w:hAnsi="Times New Roman"/>
                <w:color w:val="auto"/>
                <w:szCs w:val="21"/>
              </w:rPr>
              <w:t>54</w:t>
            </w:r>
          </w:p>
        </w:tc>
        <w:tc>
          <w:tcPr>
            <w:tcW w:w="393" w:type="pct"/>
            <w:tcBorders>
              <w:tl2br w:val="nil"/>
              <w:tr2bl w:val="nil"/>
            </w:tcBorders>
            <w:vAlign w:val="center"/>
          </w:tcPr>
          <w:p w14:paraId="68DBD0A6">
            <w:pPr>
              <w:pStyle w:val="77"/>
              <w:rPr>
                <w:rFonts w:hAnsi="Times New Roman"/>
                <w:color w:val="auto"/>
                <w:szCs w:val="21"/>
              </w:rPr>
            </w:pPr>
            <w:r>
              <w:rPr>
                <w:rFonts w:hint="eastAsia" w:hAnsi="Times New Roman"/>
                <w:color w:val="auto"/>
                <w:szCs w:val="21"/>
              </w:rPr>
              <w:t>114</w:t>
            </w:r>
          </w:p>
        </w:tc>
        <w:tc>
          <w:tcPr>
            <w:tcW w:w="245" w:type="pct"/>
            <w:tcBorders>
              <w:tl2br w:val="nil"/>
              <w:tr2bl w:val="nil"/>
            </w:tcBorders>
            <w:vAlign w:val="center"/>
          </w:tcPr>
          <w:p w14:paraId="2BDD0A43">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749431BE">
            <w:pPr>
              <w:pStyle w:val="77"/>
              <w:rPr>
                <w:rFonts w:hAnsi="Times New Roman"/>
                <w:bCs/>
                <w:color w:val="auto"/>
                <w:szCs w:val="21"/>
              </w:rPr>
            </w:pPr>
            <w:r>
              <w:rPr>
                <w:rFonts w:hint="eastAsia" w:hAnsi="Times New Roman"/>
                <w:bCs/>
                <w:color w:val="auto"/>
                <w:szCs w:val="21"/>
              </w:rPr>
              <w:t>1.8</w:t>
            </w:r>
          </w:p>
        </w:tc>
        <w:tc>
          <w:tcPr>
            <w:tcW w:w="296" w:type="pct"/>
            <w:tcBorders>
              <w:tl2br w:val="nil"/>
              <w:tr2bl w:val="nil"/>
            </w:tcBorders>
            <w:vAlign w:val="center"/>
          </w:tcPr>
          <w:p w14:paraId="170DB17F">
            <w:pPr>
              <w:pStyle w:val="77"/>
              <w:rPr>
                <w:rFonts w:hAnsi="Times New Roman"/>
                <w:bCs/>
                <w:color w:val="auto"/>
                <w:szCs w:val="21"/>
              </w:rPr>
            </w:pPr>
            <w:r>
              <w:rPr>
                <w:rFonts w:hint="eastAsia" w:hAnsi="Times New Roman"/>
                <w:bCs/>
                <w:color w:val="auto"/>
                <w:szCs w:val="21"/>
              </w:rPr>
              <w:t xml:space="preserve">70 </w:t>
            </w:r>
          </w:p>
        </w:tc>
        <w:tc>
          <w:tcPr>
            <w:tcW w:w="249" w:type="pct"/>
            <w:tcBorders>
              <w:tl2br w:val="nil"/>
              <w:tr2bl w:val="nil"/>
            </w:tcBorders>
            <w:vAlign w:val="center"/>
          </w:tcPr>
          <w:p w14:paraId="0FA7CA1D">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0555EF98">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3E973505">
            <w:pPr>
              <w:pStyle w:val="77"/>
              <w:rPr>
                <w:rFonts w:hAnsi="Times New Roman"/>
                <w:bCs/>
                <w:color w:val="auto"/>
                <w:szCs w:val="21"/>
              </w:rPr>
            </w:pPr>
            <w:r>
              <w:rPr>
                <w:rFonts w:hint="eastAsia" w:hAnsi="Times New Roman"/>
                <w:bCs/>
                <w:color w:val="auto"/>
                <w:szCs w:val="21"/>
              </w:rPr>
              <w:t xml:space="preserve">50 </w:t>
            </w:r>
          </w:p>
        </w:tc>
        <w:tc>
          <w:tcPr>
            <w:tcW w:w="316" w:type="pct"/>
            <w:vMerge w:val="restart"/>
            <w:tcBorders>
              <w:tl2br w:val="nil"/>
              <w:tr2bl w:val="nil"/>
            </w:tcBorders>
            <w:vAlign w:val="center"/>
          </w:tcPr>
          <w:p w14:paraId="2A3DFF82">
            <w:pPr>
              <w:pStyle w:val="77"/>
              <w:rPr>
                <w:rFonts w:hAnsi="Times New Roman"/>
                <w:bCs/>
                <w:color w:val="auto"/>
                <w:szCs w:val="21"/>
              </w:rPr>
            </w:pPr>
            <w:r>
              <w:rPr>
                <w:rFonts w:hAnsi="Times New Roman"/>
                <w:bCs/>
                <w:color w:val="auto"/>
                <w:szCs w:val="21"/>
              </w:rPr>
              <w:t>1m</w:t>
            </w:r>
          </w:p>
        </w:tc>
      </w:tr>
      <w:tr w14:paraId="3561E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5A57D3B5">
            <w:pPr>
              <w:pStyle w:val="77"/>
              <w:rPr>
                <w:rFonts w:hAnsi="Times New Roman"/>
                <w:color w:val="auto"/>
                <w:szCs w:val="21"/>
              </w:rPr>
            </w:pPr>
          </w:p>
        </w:tc>
        <w:tc>
          <w:tcPr>
            <w:tcW w:w="303" w:type="pct"/>
            <w:vMerge w:val="continue"/>
            <w:tcBorders>
              <w:tl2br w:val="nil"/>
              <w:tr2bl w:val="nil"/>
            </w:tcBorders>
            <w:vAlign w:val="center"/>
          </w:tcPr>
          <w:p w14:paraId="49A0829A">
            <w:pPr>
              <w:pStyle w:val="77"/>
              <w:rPr>
                <w:rFonts w:hAnsi="Times New Roman"/>
                <w:color w:val="auto"/>
                <w:szCs w:val="21"/>
              </w:rPr>
            </w:pPr>
          </w:p>
        </w:tc>
        <w:tc>
          <w:tcPr>
            <w:tcW w:w="261" w:type="pct"/>
            <w:vMerge w:val="continue"/>
            <w:tcBorders>
              <w:tl2br w:val="nil"/>
              <w:tr2bl w:val="nil"/>
            </w:tcBorders>
            <w:vAlign w:val="center"/>
          </w:tcPr>
          <w:p w14:paraId="5B9B74F6">
            <w:pPr>
              <w:pStyle w:val="77"/>
              <w:rPr>
                <w:rFonts w:hAnsi="Times New Roman"/>
                <w:color w:val="auto"/>
                <w:szCs w:val="21"/>
              </w:rPr>
            </w:pPr>
          </w:p>
        </w:tc>
        <w:tc>
          <w:tcPr>
            <w:tcW w:w="393" w:type="pct"/>
            <w:vMerge w:val="continue"/>
            <w:tcBorders>
              <w:tl2br w:val="nil"/>
              <w:tr2bl w:val="nil"/>
            </w:tcBorders>
            <w:vAlign w:val="center"/>
          </w:tcPr>
          <w:p w14:paraId="1381D1BE">
            <w:pPr>
              <w:pStyle w:val="77"/>
              <w:rPr>
                <w:rFonts w:hAnsi="Times New Roman"/>
                <w:color w:val="auto"/>
                <w:kern w:val="0"/>
                <w:szCs w:val="21"/>
              </w:rPr>
            </w:pPr>
          </w:p>
        </w:tc>
        <w:tc>
          <w:tcPr>
            <w:tcW w:w="690" w:type="pct"/>
            <w:vMerge w:val="continue"/>
            <w:tcBorders>
              <w:tl2br w:val="nil"/>
              <w:tr2bl w:val="nil"/>
            </w:tcBorders>
            <w:vAlign w:val="center"/>
          </w:tcPr>
          <w:p w14:paraId="436E67CB">
            <w:pPr>
              <w:pStyle w:val="77"/>
              <w:rPr>
                <w:rFonts w:hAnsi="Times New Roman"/>
                <w:color w:val="auto"/>
                <w:szCs w:val="21"/>
              </w:rPr>
            </w:pPr>
          </w:p>
        </w:tc>
        <w:tc>
          <w:tcPr>
            <w:tcW w:w="368" w:type="pct"/>
            <w:tcBorders>
              <w:tl2br w:val="nil"/>
              <w:tr2bl w:val="nil"/>
            </w:tcBorders>
            <w:vAlign w:val="center"/>
          </w:tcPr>
          <w:p w14:paraId="464BDBA2">
            <w:pPr>
              <w:pStyle w:val="77"/>
              <w:rPr>
                <w:rFonts w:hAnsi="Times New Roman"/>
                <w:color w:val="auto"/>
                <w:szCs w:val="21"/>
              </w:rPr>
            </w:pPr>
            <w:r>
              <w:rPr>
                <w:rFonts w:hint="eastAsia" w:hAnsi="Times New Roman"/>
                <w:color w:val="auto"/>
                <w:szCs w:val="21"/>
              </w:rPr>
              <w:t>58</w:t>
            </w:r>
          </w:p>
        </w:tc>
        <w:tc>
          <w:tcPr>
            <w:tcW w:w="393" w:type="pct"/>
            <w:tcBorders>
              <w:tl2br w:val="nil"/>
              <w:tr2bl w:val="nil"/>
            </w:tcBorders>
            <w:vAlign w:val="center"/>
          </w:tcPr>
          <w:p w14:paraId="50290270">
            <w:pPr>
              <w:pStyle w:val="77"/>
              <w:rPr>
                <w:rFonts w:hAnsi="Times New Roman"/>
                <w:color w:val="auto"/>
                <w:szCs w:val="21"/>
              </w:rPr>
            </w:pPr>
            <w:r>
              <w:rPr>
                <w:rFonts w:hint="eastAsia" w:hAnsi="Times New Roman"/>
                <w:color w:val="auto"/>
                <w:szCs w:val="21"/>
              </w:rPr>
              <w:t>114</w:t>
            </w:r>
          </w:p>
        </w:tc>
        <w:tc>
          <w:tcPr>
            <w:tcW w:w="245" w:type="pct"/>
            <w:tcBorders>
              <w:tl2br w:val="nil"/>
              <w:tr2bl w:val="nil"/>
            </w:tcBorders>
            <w:vAlign w:val="center"/>
          </w:tcPr>
          <w:p w14:paraId="3165A6B0">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2813E9E8">
            <w:pPr>
              <w:pStyle w:val="77"/>
              <w:rPr>
                <w:rFonts w:hAnsi="Times New Roman"/>
                <w:bCs/>
                <w:color w:val="auto"/>
                <w:szCs w:val="21"/>
              </w:rPr>
            </w:pPr>
            <w:r>
              <w:rPr>
                <w:rFonts w:hint="eastAsia" w:hAnsi="Times New Roman"/>
                <w:bCs/>
                <w:color w:val="auto"/>
                <w:szCs w:val="21"/>
              </w:rPr>
              <w:t>2.0</w:t>
            </w:r>
          </w:p>
        </w:tc>
        <w:tc>
          <w:tcPr>
            <w:tcW w:w="296" w:type="pct"/>
            <w:tcBorders>
              <w:tl2br w:val="nil"/>
              <w:tr2bl w:val="nil"/>
            </w:tcBorders>
            <w:vAlign w:val="center"/>
          </w:tcPr>
          <w:p w14:paraId="784AC3C3">
            <w:pPr>
              <w:pStyle w:val="77"/>
              <w:rPr>
                <w:rFonts w:hAnsi="Times New Roman"/>
                <w:bCs/>
                <w:color w:val="auto"/>
                <w:szCs w:val="21"/>
              </w:rPr>
            </w:pPr>
            <w:r>
              <w:rPr>
                <w:rFonts w:hint="eastAsia" w:hAnsi="Times New Roman"/>
                <w:bCs/>
                <w:color w:val="auto"/>
                <w:szCs w:val="21"/>
              </w:rPr>
              <w:t xml:space="preserve">69 </w:t>
            </w:r>
          </w:p>
        </w:tc>
        <w:tc>
          <w:tcPr>
            <w:tcW w:w="249" w:type="pct"/>
            <w:tcBorders>
              <w:tl2br w:val="nil"/>
              <w:tr2bl w:val="nil"/>
            </w:tcBorders>
            <w:vAlign w:val="center"/>
          </w:tcPr>
          <w:p w14:paraId="25031618">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721ED0BA">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3771B655">
            <w:pPr>
              <w:pStyle w:val="77"/>
              <w:rPr>
                <w:rFonts w:hAnsi="Times New Roman"/>
                <w:bCs/>
                <w:color w:val="auto"/>
                <w:szCs w:val="21"/>
              </w:rPr>
            </w:pPr>
            <w:r>
              <w:rPr>
                <w:rFonts w:hint="eastAsia" w:hAnsi="Times New Roman"/>
                <w:bCs/>
                <w:color w:val="auto"/>
                <w:szCs w:val="21"/>
              </w:rPr>
              <w:t xml:space="preserve">49 </w:t>
            </w:r>
          </w:p>
        </w:tc>
        <w:tc>
          <w:tcPr>
            <w:tcW w:w="316" w:type="pct"/>
            <w:vMerge w:val="continue"/>
            <w:tcBorders>
              <w:tl2br w:val="nil"/>
              <w:tr2bl w:val="nil"/>
            </w:tcBorders>
            <w:vAlign w:val="center"/>
          </w:tcPr>
          <w:p w14:paraId="449C5AA2">
            <w:pPr>
              <w:pStyle w:val="77"/>
              <w:rPr>
                <w:rFonts w:hAnsi="Times New Roman"/>
                <w:bCs/>
                <w:color w:val="auto"/>
                <w:szCs w:val="21"/>
              </w:rPr>
            </w:pPr>
          </w:p>
        </w:tc>
      </w:tr>
      <w:tr w14:paraId="0895E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0BC63BD5">
            <w:pPr>
              <w:pStyle w:val="77"/>
              <w:rPr>
                <w:rFonts w:hAnsi="Times New Roman"/>
                <w:color w:val="auto"/>
                <w:szCs w:val="21"/>
              </w:rPr>
            </w:pPr>
          </w:p>
        </w:tc>
        <w:tc>
          <w:tcPr>
            <w:tcW w:w="303" w:type="pct"/>
            <w:tcBorders>
              <w:tl2br w:val="nil"/>
              <w:tr2bl w:val="nil"/>
            </w:tcBorders>
            <w:vAlign w:val="center"/>
          </w:tcPr>
          <w:p w14:paraId="4B9D57A0">
            <w:pPr>
              <w:pStyle w:val="77"/>
              <w:rPr>
                <w:rFonts w:hAnsi="Times New Roman"/>
                <w:color w:val="auto"/>
                <w:szCs w:val="21"/>
              </w:rPr>
            </w:pPr>
            <w:r>
              <w:rPr>
                <w:rFonts w:hint="eastAsia" w:hAnsi="Times New Roman"/>
                <w:color w:val="auto"/>
                <w:szCs w:val="21"/>
              </w:rPr>
              <w:t>引风机</w:t>
            </w:r>
          </w:p>
        </w:tc>
        <w:tc>
          <w:tcPr>
            <w:tcW w:w="261" w:type="pct"/>
            <w:tcBorders>
              <w:tl2br w:val="nil"/>
              <w:tr2bl w:val="nil"/>
            </w:tcBorders>
            <w:vAlign w:val="center"/>
          </w:tcPr>
          <w:p w14:paraId="2F453D6B">
            <w:pPr>
              <w:pStyle w:val="77"/>
              <w:rPr>
                <w:rFonts w:hAnsi="Times New Roman"/>
                <w:color w:val="auto"/>
                <w:szCs w:val="21"/>
              </w:rPr>
            </w:pPr>
            <w:r>
              <w:rPr>
                <w:rFonts w:hint="eastAsia" w:hAnsi="Times New Roman"/>
                <w:color w:val="auto"/>
                <w:szCs w:val="21"/>
              </w:rPr>
              <w:t>80</w:t>
            </w:r>
          </w:p>
        </w:tc>
        <w:tc>
          <w:tcPr>
            <w:tcW w:w="393" w:type="pct"/>
            <w:tcBorders>
              <w:tl2br w:val="nil"/>
              <w:tr2bl w:val="nil"/>
            </w:tcBorders>
            <w:vAlign w:val="center"/>
          </w:tcPr>
          <w:p w14:paraId="1B26F090">
            <w:pPr>
              <w:spacing w:line="240" w:lineRule="auto"/>
              <w:ind w:firstLine="0" w:firstLineChars="0"/>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63320F51">
            <w:pPr>
              <w:pStyle w:val="77"/>
              <w:rPr>
                <w:rFonts w:hAnsi="Times New Roman"/>
                <w:color w:val="auto"/>
                <w:szCs w:val="21"/>
              </w:rPr>
            </w:pPr>
            <w:r>
              <w:rPr>
                <w:rFonts w:hAnsi="Times New Roman"/>
                <w:bCs/>
                <w:color w:val="auto"/>
                <w:szCs w:val="21"/>
              </w:rPr>
              <w:t>进风口消声器、管道外壳阻尼</w:t>
            </w:r>
          </w:p>
        </w:tc>
        <w:tc>
          <w:tcPr>
            <w:tcW w:w="368" w:type="pct"/>
            <w:tcBorders>
              <w:tl2br w:val="nil"/>
              <w:tr2bl w:val="nil"/>
            </w:tcBorders>
            <w:vAlign w:val="center"/>
          </w:tcPr>
          <w:p w14:paraId="15C9DF93">
            <w:pPr>
              <w:pStyle w:val="77"/>
              <w:rPr>
                <w:rFonts w:hAnsi="Times New Roman"/>
                <w:color w:val="auto"/>
                <w:szCs w:val="21"/>
              </w:rPr>
            </w:pPr>
            <w:r>
              <w:rPr>
                <w:rFonts w:hint="eastAsia" w:hAnsi="Times New Roman"/>
                <w:color w:val="auto"/>
                <w:szCs w:val="21"/>
              </w:rPr>
              <w:t>34</w:t>
            </w:r>
          </w:p>
        </w:tc>
        <w:tc>
          <w:tcPr>
            <w:tcW w:w="393" w:type="pct"/>
            <w:tcBorders>
              <w:tl2br w:val="nil"/>
              <w:tr2bl w:val="nil"/>
            </w:tcBorders>
            <w:vAlign w:val="center"/>
          </w:tcPr>
          <w:p w14:paraId="09FC497F">
            <w:pPr>
              <w:pStyle w:val="77"/>
              <w:rPr>
                <w:rFonts w:hAnsi="Times New Roman"/>
                <w:color w:val="auto"/>
                <w:szCs w:val="21"/>
              </w:rPr>
            </w:pPr>
            <w:r>
              <w:rPr>
                <w:rFonts w:hint="eastAsia" w:hAnsi="Times New Roman"/>
                <w:color w:val="auto"/>
                <w:szCs w:val="21"/>
              </w:rPr>
              <w:t>82</w:t>
            </w:r>
          </w:p>
        </w:tc>
        <w:tc>
          <w:tcPr>
            <w:tcW w:w="245" w:type="pct"/>
            <w:tcBorders>
              <w:tl2br w:val="nil"/>
              <w:tr2bl w:val="nil"/>
            </w:tcBorders>
            <w:vAlign w:val="center"/>
          </w:tcPr>
          <w:p w14:paraId="4817F768">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668939F0">
            <w:pPr>
              <w:pStyle w:val="77"/>
              <w:rPr>
                <w:rFonts w:hAnsi="Times New Roman"/>
                <w:bCs/>
                <w:color w:val="auto"/>
                <w:szCs w:val="21"/>
              </w:rPr>
            </w:pPr>
            <w:r>
              <w:rPr>
                <w:rFonts w:hint="eastAsia" w:hAnsi="Times New Roman"/>
                <w:bCs/>
                <w:color w:val="auto"/>
                <w:szCs w:val="21"/>
              </w:rPr>
              <w:t>2.2</w:t>
            </w:r>
          </w:p>
        </w:tc>
        <w:tc>
          <w:tcPr>
            <w:tcW w:w="296" w:type="pct"/>
            <w:tcBorders>
              <w:tl2br w:val="nil"/>
              <w:tr2bl w:val="nil"/>
            </w:tcBorders>
            <w:vAlign w:val="center"/>
          </w:tcPr>
          <w:p w14:paraId="4C2D431E">
            <w:pPr>
              <w:pStyle w:val="77"/>
              <w:rPr>
                <w:rFonts w:hAnsi="Times New Roman"/>
                <w:bCs/>
                <w:color w:val="auto"/>
                <w:szCs w:val="21"/>
              </w:rPr>
            </w:pPr>
            <w:r>
              <w:rPr>
                <w:rFonts w:hint="eastAsia" w:hAnsi="Times New Roman"/>
                <w:bCs/>
                <w:color w:val="auto"/>
                <w:szCs w:val="21"/>
              </w:rPr>
              <w:t xml:space="preserve">73 </w:t>
            </w:r>
          </w:p>
        </w:tc>
        <w:tc>
          <w:tcPr>
            <w:tcW w:w="249" w:type="pct"/>
            <w:tcBorders>
              <w:tl2br w:val="nil"/>
              <w:tr2bl w:val="nil"/>
            </w:tcBorders>
            <w:vAlign w:val="center"/>
          </w:tcPr>
          <w:p w14:paraId="04672C20">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1CD15500">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07CD3763">
            <w:pPr>
              <w:pStyle w:val="77"/>
              <w:rPr>
                <w:rFonts w:hAnsi="Times New Roman"/>
                <w:bCs/>
                <w:color w:val="auto"/>
                <w:szCs w:val="21"/>
              </w:rPr>
            </w:pPr>
            <w:r>
              <w:rPr>
                <w:rFonts w:hint="eastAsia" w:hAnsi="Times New Roman"/>
                <w:bCs/>
                <w:color w:val="auto"/>
                <w:szCs w:val="21"/>
              </w:rPr>
              <w:t xml:space="preserve">53 </w:t>
            </w:r>
          </w:p>
        </w:tc>
        <w:tc>
          <w:tcPr>
            <w:tcW w:w="316" w:type="pct"/>
            <w:tcBorders>
              <w:tl2br w:val="nil"/>
              <w:tr2bl w:val="nil"/>
            </w:tcBorders>
            <w:vAlign w:val="center"/>
          </w:tcPr>
          <w:p w14:paraId="57C43EA7">
            <w:pPr>
              <w:pStyle w:val="77"/>
              <w:rPr>
                <w:rFonts w:hAnsi="Times New Roman"/>
                <w:bCs/>
                <w:color w:val="auto"/>
                <w:szCs w:val="21"/>
              </w:rPr>
            </w:pPr>
            <w:r>
              <w:rPr>
                <w:rFonts w:hAnsi="Times New Roman"/>
                <w:bCs/>
                <w:color w:val="auto"/>
                <w:szCs w:val="21"/>
              </w:rPr>
              <w:t>1m</w:t>
            </w:r>
          </w:p>
        </w:tc>
      </w:tr>
      <w:tr w14:paraId="27CB6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0306287C">
            <w:pPr>
              <w:pStyle w:val="77"/>
              <w:rPr>
                <w:rFonts w:hAnsi="Times New Roman"/>
                <w:color w:val="auto"/>
                <w:szCs w:val="21"/>
              </w:rPr>
            </w:pPr>
          </w:p>
        </w:tc>
        <w:tc>
          <w:tcPr>
            <w:tcW w:w="303" w:type="pct"/>
            <w:tcBorders>
              <w:tl2br w:val="nil"/>
              <w:tr2bl w:val="nil"/>
            </w:tcBorders>
            <w:vAlign w:val="center"/>
          </w:tcPr>
          <w:p w14:paraId="21F79D97">
            <w:pPr>
              <w:pStyle w:val="77"/>
              <w:rPr>
                <w:rFonts w:hAnsi="Times New Roman"/>
                <w:color w:val="auto"/>
                <w:szCs w:val="21"/>
              </w:rPr>
            </w:pPr>
            <w:r>
              <w:rPr>
                <w:rFonts w:hAnsi="Times New Roman"/>
                <w:color w:val="auto"/>
                <w:szCs w:val="21"/>
              </w:rPr>
              <w:t>除渣机</w:t>
            </w:r>
          </w:p>
        </w:tc>
        <w:tc>
          <w:tcPr>
            <w:tcW w:w="261" w:type="pct"/>
            <w:tcBorders>
              <w:tl2br w:val="nil"/>
              <w:tr2bl w:val="nil"/>
            </w:tcBorders>
            <w:vAlign w:val="center"/>
          </w:tcPr>
          <w:p w14:paraId="40B99BA6">
            <w:pPr>
              <w:pStyle w:val="77"/>
              <w:rPr>
                <w:rFonts w:hAnsi="Times New Roman"/>
                <w:color w:val="auto"/>
                <w:szCs w:val="21"/>
              </w:rPr>
            </w:pPr>
            <w:r>
              <w:rPr>
                <w:rFonts w:hint="eastAsia" w:hAnsi="Times New Roman"/>
                <w:color w:val="auto"/>
                <w:szCs w:val="21"/>
              </w:rPr>
              <w:t>80</w:t>
            </w:r>
          </w:p>
        </w:tc>
        <w:tc>
          <w:tcPr>
            <w:tcW w:w="393" w:type="pct"/>
            <w:tcBorders>
              <w:tl2br w:val="nil"/>
              <w:tr2bl w:val="nil"/>
            </w:tcBorders>
            <w:vAlign w:val="center"/>
          </w:tcPr>
          <w:p w14:paraId="1C5C9AEC">
            <w:pPr>
              <w:spacing w:line="240" w:lineRule="auto"/>
              <w:ind w:firstLine="0" w:firstLineChars="0"/>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36029C57">
            <w:pPr>
              <w:pStyle w:val="77"/>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隔声、减振</w:t>
            </w:r>
          </w:p>
        </w:tc>
        <w:tc>
          <w:tcPr>
            <w:tcW w:w="368" w:type="pct"/>
            <w:tcBorders>
              <w:tl2br w:val="nil"/>
              <w:tr2bl w:val="nil"/>
            </w:tcBorders>
            <w:vAlign w:val="center"/>
          </w:tcPr>
          <w:p w14:paraId="05A21F6B">
            <w:pPr>
              <w:pStyle w:val="77"/>
              <w:rPr>
                <w:rFonts w:hAnsi="Times New Roman"/>
                <w:color w:val="auto"/>
                <w:szCs w:val="21"/>
              </w:rPr>
            </w:pPr>
            <w:r>
              <w:rPr>
                <w:rFonts w:hint="eastAsia" w:hAnsi="Times New Roman"/>
                <w:color w:val="auto"/>
                <w:szCs w:val="21"/>
              </w:rPr>
              <w:t>55</w:t>
            </w:r>
          </w:p>
        </w:tc>
        <w:tc>
          <w:tcPr>
            <w:tcW w:w="393" w:type="pct"/>
            <w:tcBorders>
              <w:tl2br w:val="nil"/>
              <w:tr2bl w:val="nil"/>
            </w:tcBorders>
            <w:vAlign w:val="center"/>
          </w:tcPr>
          <w:p w14:paraId="759FA664">
            <w:pPr>
              <w:pStyle w:val="77"/>
              <w:rPr>
                <w:rFonts w:hAnsi="Times New Roman"/>
                <w:color w:val="auto"/>
                <w:szCs w:val="21"/>
              </w:rPr>
            </w:pPr>
            <w:r>
              <w:rPr>
                <w:rFonts w:hint="eastAsia" w:hAnsi="Times New Roman"/>
                <w:color w:val="auto"/>
                <w:szCs w:val="21"/>
              </w:rPr>
              <w:t>84</w:t>
            </w:r>
          </w:p>
        </w:tc>
        <w:tc>
          <w:tcPr>
            <w:tcW w:w="245" w:type="pct"/>
            <w:tcBorders>
              <w:tl2br w:val="nil"/>
              <w:tr2bl w:val="nil"/>
            </w:tcBorders>
            <w:vAlign w:val="center"/>
          </w:tcPr>
          <w:p w14:paraId="6650C3CF">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7BD845F2">
            <w:pPr>
              <w:pStyle w:val="77"/>
              <w:rPr>
                <w:rFonts w:hAnsi="Times New Roman"/>
                <w:bCs/>
                <w:color w:val="auto"/>
                <w:szCs w:val="21"/>
              </w:rPr>
            </w:pPr>
            <w:r>
              <w:rPr>
                <w:rFonts w:hint="eastAsia" w:hAnsi="Times New Roman"/>
                <w:bCs/>
                <w:color w:val="auto"/>
                <w:szCs w:val="21"/>
              </w:rPr>
              <w:t>2.6</w:t>
            </w:r>
          </w:p>
        </w:tc>
        <w:tc>
          <w:tcPr>
            <w:tcW w:w="296" w:type="pct"/>
            <w:tcBorders>
              <w:tl2br w:val="nil"/>
              <w:tr2bl w:val="nil"/>
            </w:tcBorders>
            <w:vAlign w:val="center"/>
          </w:tcPr>
          <w:p w14:paraId="11FA510B">
            <w:pPr>
              <w:pStyle w:val="77"/>
              <w:rPr>
                <w:rFonts w:hAnsi="Times New Roman"/>
                <w:bCs/>
                <w:color w:val="auto"/>
                <w:szCs w:val="21"/>
              </w:rPr>
            </w:pPr>
            <w:r>
              <w:rPr>
                <w:rFonts w:hint="eastAsia" w:hAnsi="Times New Roman"/>
                <w:bCs/>
                <w:color w:val="auto"/>
                <w:szCs w:val="21"/>
              </w:rPr>
              <w:t xml:space="preserve">72 </w:t>
            </w:r>
          </w:p>
        </w:tc>
        <w:tc>
          <w:tcPr>
            <w:tcW w:w="249" w:type="pct"/>
            <w:tcBorders>
              <w:tl2br w:val="nil"/>
              <w:tr2bl w:val="nil"/>
            </w:tcBorders>
            <w:vAlign w:val="center"/>
          </w:tcPr>
          <w:p w14:paraId="31C862AD">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55478411">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39AD9CDC">
            <w:pPr>
              <w:pStyle w:val="77"/>
              <w:rPr>
                <w:rFonts w:hAnsi="Times New Roman"/>
                <w:bCs/>
                <w:color w:val="auto"/>
                <w:szCs w:val="21"/>
              </w:rPr>
            </w:pPr>
            <w:r>
              <w:rPr>
                <w:rFonts w:hint="eastAsia" w:hAnsi="Times New Roman"/>
                <w:bCs/>
                <w:color w:val="auto"/>
                <w:szCs w:val="21"/>
              </w:rPr>
              <w:t xml:space="preserve">52 </w:t>
            </w:r>
          </w:p>
        </w:tc>
        <w:tc>
          <w:tcPr>
            <w:tcW w:w="316" w:type="pct"/>
            <w:tcBorders>
              <w:tl2br w:val="nil"/>
              <w:tr2bl w:val="nil"/>
            </w:tcBorders>
            <w:vAlign w:val="center"/>
          </w:tcPr>
          <w:p w14:paraId="4329BFD8">
            <w:pPr>
              <w:pStyle w:val="77"/>
              <w:rPr>
                <w:rFonts w:hAnsi="Times New Roman"/>
                <w:bCs/>
                <w:color w:val="auto"/>
                <w:szCs w:val="21"/>
              </w:rPr>
            </w:pPr>
            <w:r>
              <w:rPr>
                <w:rFonts w:hAnsi="Times New Roman"/>
                <w:bCs/>
                <w:color w:val="auto"/>
                <w:szCs w:val="21"/>
              </w:rPr>
              <w:t>1m</w:t>
            </w:r>
          </w:p>
        </w:tc>
      </w:tr>
      <w:tr w14:paraId="79393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shd w:val="clear" w:color="auto" w:fill="auto"/>
            <w:vAlign w:val="center"/>
          </w:tcPr>
          <w:p w14:paraId="1C4FC82C">
            <w:pPr>
              <w:pStyle w:val="77"/>
              <w:ind w:firstLine="0" w:firstLineChars="0"/>
              <w:rPr>
                <w:rFonts w:ascii="Times New Roman" w:hAnsi="Times New Roman" w:eastAsia="宋体" w:cs="Times New Roman"/>
                <w:color w:val="auto"/>
                <w:kern w:val="2"/>
                <w:sz w:val="21"/>
                <w:szCs w:val="21"/>
                <w:lang w:val="en-US" w:eastAsia="zh-CN" w:bidi="ar-SA"/>
              </w:rPr>
            </w:pPr>
          </w:p>
        </w:tc>
        <w:tc>
          <w:tcPr>
            <w:tcW w:w="303" w:type="pct"/>
            <w:tcBorders>
              <w:tl2br w:val="nil"/>
              <w:tr2bl w:val="nil"/>
            </w:tcBorders>
            <w:shd w:val="clear" w:color="auto" w:fill="auto"/>
            <w:vAlign w:val="center"/>
          </w:tcPr>
          <w:p w14:paraId="7C7FED50">
            <w:pPr>
              <w:pStyle w:val="77"/>
              <w:ind w:firstLine="0" w:firstLineChars="0"/>
              <w:rPr>
                <w:rFonts w:ascii="Times New Roman" w:hAnsi="Times New Roman" w:eastAsia="宋体" w:cs="Times New Roman"/>
                <w:color w:val="auto"/>
                <w:kern w:val="2"/>
                <w:sz w:val="21"/>
                <w:szCs w:val="21"/>
                <w:lang w:val="en-US" w:eastAsia="zh-CN" w:bidi="ar-SA"/>
              </w:rPr>
            </w:pPr>
            <w:r>
              <w:rPr>
                <w:rFonts w:hint="eastAsia" w:hAnsi="Times New Roman"/>
                <w:color w:val="auto"/>
                <w:szCs w:val="21"/>
              </w:rPr>
              <w:t>循环</w:t>
            </w:r>
            <w:r>
              <w:rPr>
                <w:rFonts w:hAnsi="Times New Roman"/>
                <w:color w:val="auto"/>
                <w:szCs w:val="21"/>
              </w:rPr>
              <w:t>水泵</w:t>
            </w:r>
          </w:p>
        </w:tc>
        <w:tc>
          <w:tcPr>
            <w:tcW w:w="261" w:type="pct"/>
            <w:tcBorders>
              <w:tl2br w:val="nil"/>
              <w:tr2bl w:val="nil"/>
            </w:tcBorders>
            <w:shd w:val="clear" w:color="auto" w:fill="auto"/>
            <w:vAlign w:val="center"/>
          </w:tcPr>
          <w:p w14:paraId="24A33A48">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7</w:t>
            </w:r>
            <w:r>
              <w:rPr>
                <w:rFonts w:hint="eastAsia" w:hAnsi="Times New Roman"/>
                <w:color w:val="auto"/>
                <w:szCs w:val="21"/>
                <w:lang w:val="en-US" w:eastAsia="zh-CN"/>
              </w:rPr>
              <w:t>5</w:t>
            </w:r>
          </w:p>
        </w:tc>
        <w:tc>
          <w:tcPr>
            <w:tcW w:w="393" w:type="pct"/>
            <w:tcBorders>
              <w:tl2br w:val="nil"/>
              <w:tr2bl w:val="nil"/>
            </w:tcBorders>
            <w:shd w:val="clear" w:color="auto" w:fill="auto"/>
            <w:vAlign w:val="center"/>
          </w:tcPr>
          <w:p w14:paraId="40185220">
            <w:pPr>
              <w:spacing w:line="240" w:lineRule="auto"/>
              <w:ind w:firstLine="0" w:firstLineChars="0"/>
              <w:rPr>
                <w:rFonts w:asciiTheme="minorHAnsi" w:hAnsiTheme="minorHAnsi" w:eastAsiaTheme="minorEastAsia" w:cstheme="minorBidi"/>
                <w:color w:val="auto"/>
                <w:kern w:val="2"/>
                <w:sz w:val="24"/>
                <w:szCs w:val="22"/>
                <w:lang w:val="en-US" w:eastAsia="zh-CN" w:bidi="ar-SA"/>
              </w:rPr>
            </w:pPr>
            <w:r>
              <w:rPr>
                <w:rFonts w:ascii="Times New Roman" w:hAnsi="Times New Roman" w:eastAsia="宋体" w:cs="Times New Roman"/>
                <w:color w:val="auto"/>
                <w:kern w:val="0"/>
                <w:sz w:val="21"/>
                <w:szCs w:val="21"/>
              </w:rPr>
              <w:t>固定点源</w:t>
            </w:r>
          </w:p>
        </w:tc>
        <w:tc>
          <w:tcPr>
            <w:tcW w:w="690" w:type="pct"/>
            <w:tcBorders>
              <w:tl2br w:val="nil"/>
              <w:tr2bl w:val="nil"/>
            </w:tcBorders>
            <w:shd w:val="clear" w:color="auto" w:fill="auto"/>
            <w:vAlign w:val="center"/>
          </w:tcPr>
          <w:p w14:paraId="07DA3646">
            <w:pPr>
              <w:pStyle w:val="77"/>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隔声、减振</w:t>
            </w:r>
          </w:p>
        </w:tc>
        <w:tc>
          <w:tcPr>
            <w:tcW w:w="368" w:type="pct"/>
            <w:tcBorders>
              <w:tl2br w:val="nil"/>
              <w:tr2bl w:val="nil"/>
            </w:tcBorders>
            <w:shd w:val="clear" w:color="auto" w:fill="auto"/>
            <w:vAlign w:val="center"/>
          </w:tcPr>
          <w:p w14:paraId="5C5FC17F">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56</w:t>
            </w:r>
          </w:p>
        </w:tc>
        <w:tc>
          <w:tcPr>
            <w:tcW w:w="393" w:type="pct"/>
            <w:tcBorders>
              <w:tl2br w:val="nil"/>
              <w:tr2bl w:val="nil"/>
            </w:tcBorders>
            <w:shd w:val="clear" w:color="auto" w:fill="auto"/>
            <w:vAlign w:val="center"/>
          </w:tcPr>
          <w:p w14:paraId="789527CC">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38</w:t>
            </w:r>
          </w:p>
        </w:tc>
        <w:tc>
          <w:tcPr>
            <w:tcW w:w="245" w:type="pct"/>
            <w:tcBorders>
              <w:tl2br w:val="nil"/>
              <w:tr2bl w:val="nil"/>
            </w:tcBorders>
            <w:shd w:val="clear" w:color="auto" w:fill="auto"/>
            <w:vAlign w:val="center"/>
          </w:tcPr>
          <w:p w14:paraId="3A75E9EA">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1.2</w:t>
            </w:r>
          </w:p>
        </w:tc>
        <w:tc>
          <w:tcPr>
            <w:tcW w:w="369" w:type="pct"/>
            <w:tcBorders>
              <w:tl2br w:val="nil"/>
              <w:tr2bl w:val="nil"/>
            </w:tcBorders>
            <w:shd w:val="clear" w:color="auto" w:fill="auto"/>
            <w:vAlign w:val="center"/>
          </w:tcPr>
          <w:p w14:paraId="2C9E43C7">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5.4</w:t>
            </w:r>
          </w:p>
        </w:tc>
        <w:tc>
          <w:tcPr>
            <w:tcW w:w="296" w:type="pct"/>
            <w:tcBorders>
              <w:tl2br w:val="nil"/>
              <w:tr2bl w:val="nil"/>
            </w:tcBorders>
            <w:shd w:val="clear" w:color="auto" w:fill="auto"/>
            <w:vAlign w:val="center"/>
          </w:tcPr>
          <w:p w14:paraId="3FF3DC73">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 xml:space="preserve">60 </w:t>
            </w:r>
          </w:p>
        </w:tc>
        <w:tc>
          <w:tcPr>
            <w:tcW w:w="249" w:type="pct"/>
            <w:tcBorders>
              <w:tl2br w:val="nil"/>
              <w:tr2bl w:val="nil"/>
            </w:tcBorders>
            <w:shd w:val="clear" w:color="auto" w:fill="auto"/>
            <w:vAlign w:val="center"/>
          </w:tcPr>
          <w:p w14:paraId="5FEB7DE2">
            <w:pPr>
              <w:pStyle w:val="77"/>
              <w:ind w:firstLine="0" w:firstLineChars="0"/>
              <w:rPr>
                <w:rFonts w:ascii="Times New Roman" w:hAnsi="Times New Roman" w:eastAsia="宋体" w:cs="Times New Roman"/>
                <w:bCs/>
                <w:color w:val="auto"/>
                <w:kern w:val="2"/>
                <w:sz w:val="21"/>
                <w:szCs w:val="21"/>
                <w:lang w:val="en-US" w:eastAsia="zh-CN" w:bidi="ar-SA"/>
              </w:rPr>
            </w:pPr>
            <w:r>
              <w:rPr>
                <w:rFonts w:hAnsi="Times New Roman"/>
                <w:bCs/>
                <w:color w:val="auto"/>
                <w:szCs w:val="21"/>
              </w:rPr>
              <w:t>连续</w:t>
            </w:r>
          </w:p>
        </w:tc>
        <w:tc>
          <w:tcPr>
            <w:tcW w:w="332" w:type="pct"/>
            <w:tcBorders>
              <w:tl2br w:val="nil"/>
              <w:tr2bl w:val="nil"/>
            </w:tcBorders>
            <w:shd w:val="clear" w:color="auto" w:fill="auto"/>
            <w:vAlign w:val="center"/>
          </w:tcPr>
          <w:p w14:paraId="02CE1D2C">
            <w:pPr>
              <w:spacing w:line="240" w:lineRule="auto"/>
              <w:ind w:firstLine="0" w:firstLineChars="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shd w:val="clear" w:color="auto" w:fill="auto"/>
            <w:vAlign w:val="center"/>
          </w:tcPr>
          <w:p w14:paraId="19A3338F">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 xml:space="preserve">40 </w:t>
            </w:r>
          </w:p>
        </w:tc>
        <w:tc>
          <w:tcPr>
            <w:tcW w:w="316" w:type="pct"/>
            <w:tcBorders>
              <w:tl2br w:val="nil"/>
              <w:tr2bl w:val="nil"/>
            </w:tcBorders>
            <w:shd w:val="clear" w:color="auto" w:fill="auto"/>
            <w:vAlign w:val="center"/>
          </w:tcPr>
          <w:p w14:paraId="6D6BFC0F">
            <w:pPr>
              <w:pStyle w:val="77"/>
              <w:ind w:firstLine="0" w:firstLineChars="0"/>
              <w:rPr>
                <w:rFonts w:ascii="Times New Roman" w:hAnsi="Times New Roman" w:eastAsia="宋体" w:cs="Times New Roman"/>
                <w:bCs/>
                <w:color w:val="auto"/>
                <w:kern w:val="2"/>
                <w:sz w:val="21"/>
                <w:szCs w:val="21"/>
                <w:lang w:val="en-US" w:eastAsia="zh-CN" w:bidi="ar-SA"/>
              </w:rPr>
            </w:pPr>
            <w:r>
              <w:rPr>
                <w:rFonts w:hAnsi="Times New Roman"/>
                <w:bCs/>
                <w:color w:val="auto"/>
                <w:szCs w:val="21"/>
              </w:rPr>
              <w:t>1m</w:t>
            </w:r>
          </w:p>
        </w:tc>
      </w:tr>
      <w:tr w14:paraId="3026E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vAlign w:val="center"/>
          </w:tcPr>
          <w:p w14:paraId="78F441EC">
            <w:pPr>
              <w:pStyle w:val="77"/>
              <w:rPr>
                <w:rFonts w:hAnsi="Times New Roman"/>
                <w:color w:val="auto"/>
                <w:szCs w:val="21"/>
              </w:rPr>
            </w:pPr>
          </w:p>
        </w:tc>
        <w:tc>
          <w:tcPr>
            <w:tcW w:w="303" w:type="pct"/>
            <w:tcBorders>
              <w:tl2br w:val="nil"/>
              <w:tr2bl w:val="nil"/>
            </w:tcBorders>
            <w:shd w:val="clear" w:color="auto" w:fill="auto"/>
            <w:vAlign w:val="center"/>
          </w:tcPr>
          <w:p w14:paraId="7142B490">
            <w:pPr>
              <w:pStyle w:val="77"/>
              <w:ind w:firstLine="0" w:firstLineChars="0"/>
              <w:rPr>
                <w:rFonts w:ascii="Times New Roman" w:hAnsi="Times New Roman" w:eastAsia="宋体" w:cs="Times New Roman"/>
                <w:color w:val="auto"/>
                <w:kern w:val="2"/>
                <w:sz w:val="21"/>
                <w:szCs w:val="21"/>
                <w:lang w:val="en-US" w:eastAsia="zh-CN" w:bidi="ar-SA"/>
              </w:rPr>
            </w:pPr>
            <w:r>
              <w:rPr>
                <w:rFonts w:hint="eastAsia" w:hAnsi="Times New Roman"/>
                <w:color w:val="auto"/>
                <w:szCs w:val="21"/>
              </w:rPr>
              <w:t>补水泵</w:t>
            </w:r>
          </w:p>
        </w:tc>
        <w:tc>
          <w:tcPr>
            <w:tcW w:w="261" w:type="pct"/>
            <w:tcBorders>
              <w:tl2br w:val="nil"/>
              <w:tr2bl w:val="nil"/>
            </w:tcBorders>
            <w:shd w:val="clear" w:color="auto" w:fill="auto"/>
            <w:vAlign w:val="center"/>
          </w:tcPr>
          <w:p w14:paraId="147F41AD">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7</w:t>
            </w:r>
            <w:r>
              <w:rPr>
                <w:rFonts w:hint="eastAsia" w:hAnsi="Times New Roman"/>
                <w:color w:val="auto"/>
                <w:szCs w:val="21"/>
                <w:lang w:val="en-US" w:eastAsia="zh-CN"/>
              </w:rPr>
              <w:t>0</w:t>
            </w:r>
          </w:p>
        </w:tc>
        <w:tc>
          <w:tcPr>
            <w:tcW w:w="393" w:type="pct"/>
            <w:tcBorders>
              <w:tl2br w:val="nil"/>
              <w:tr2bl w:val="nil"/>
            </w:tcBorders>
            <w:shd w:val="clear" w:color="auto" w:fill="auto"/>
            <w:vAlign w:val="center"/>
          </w:tcPr>
          <w:p w14:paraId="4A1E8F90">
            <w:pPr>
              <w:spacing w:line="240" w:lineRule="auto"/>
              <w:ind w:firstLine="0" w:firstLineChars="0"/>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0"/>
                <w:sz w:val="21"/>
                <w:szCs w:val="21"/>
              </w:rPr>
              <w:t>固定点源</w:t>
            </w:r>
          </w:p>
        </w:tc>
        <w:tc>
          <w:tcPr>
            <w:tcW w:w="690" w:type="pct"/>
            <w:tcBorders>
              <w:tl2br w:val="nil"/>
              <w:tr2bl w:val="nil"/>
            </w:tcBorders>
            <w:shd w:val="clear" w:color="auto" w:fill="auto"/>
            <w:vAlign w:val="center"/>
          </w:tcPr>
          <w:p w14:paraId="3F4497D3">
            <w:pPr>
              <w:pStyle w:val="77"/>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隔声、减振</w:t>
            </w:r>
          </w:p>
        </w:tc>
        <w:tc>
          <w:tcPr>
            <w:tcW w:w="368" w:type="pct"/>
            <w:tcBorders>
              <w:tl2br w:val="nil"/>
              <w:tr2bl w:val="nil"/>
            </w:tcBorders>
            <w:shd w:val="clear" w:color="auto" w:fill="auto"/>
            <w:vAlign w:val="center"/>
          </w:tcPr>
          <w:p w14:paraId="514B0CE0">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60</w:t>
            </w:r>
          </w:p>
        </w:tc>
        <w:tc>
          <w:tcPr>
            <w:tcW w:w="393" w:type="pct"/>
            <w:tcBorders>
              <w:tl2br w:val="nil"/>
              <w:tr2bl w:val="nil"/>
            </w:tcBorders>
            <w:shd w:val="clear" w:color="auto" w:fill="auto"/>
            <w:vAlign w:val="center"/>
          </w:tcPr>
          <w:p w14:paraId="51F98A56">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40</w:t>
            </w:r>
          </w:p>
        </w:tc>
        <w:tc>
          <w:tcPr>
            <w:tcW w:w="245" w:type="pct"/>
            <w:tcBorders>
              <w:tl2br w:val="nil"/>
              <w:tr2bl w:val="nil"/>
            </w:tcBorders>
            <w:shd w:val="clear" w:color="auto" w:fill="auto"/>
            <w:vAlign w:val="center"/>
          </w:tcPr>
          <w:p w14:paraId="03492CB8">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1.2</w:t>
            </w:r>
          </w:p>
        </w:tc>
        <w:tc>
          <w:tcPr>
            <w:tcW w:w="369" w:type="pct"/>
            <w:tcBorders>
              <w:tl2br w:val="nil"/>
              <w:tr2bl w:val="nil"/>
            </w:tcBorders>
            <w:shd w:val="clear" w:color="auto" w:fill="auto"/>
            <w:vAlign w:val="center"/>
          </w:tcPr>
          <w:p w14:paraId="0D832E8D">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2.4</w:t>
            </w:r>
          </w:p>
        </w:tc>
        <w:tc>
          <w:tcPr>
            <w:tcW w:w="296" w:type="pct"/>
            <w:tcBorders>
              <w:tl2br w:val="nil"/>
              <w:tr2bl w:val="nil"/>
            </w:tcBorders>
            <w:shd w:val="clear" w:color="auto" w:fill="auto"/>
            <w:vAlign w:val="center"/>
          </w:tcPr>
          <w:p w14:paraId="105D2791">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 xml:space="preserve">67 </w:t>
            </w:r>
          </w:p>
        </w:tc>
        <w:tc>
          <w:tcPr>
            <w:tcW w:w="249" w:type="pct"/>
            <w:tcBorders>
              <w:tl2br w:val="nil"/>
              <w:tr2bl w:val="nil"/>
            </w:tcBorders>
            <w:shd w:val="clear" w:color="auto" w:fill="auto"/>
            <w:vAlign w:val="center"/>
          </w:tcPr>
          <w:p w14:paraId="0BE25D9C">
            <w:pPr>
              <w:pStyle w:val="77"/>
              <w:ind w:firstLine="0" w:firstLineChars="0"/>
              <w:rPr>
                <w:rFonts w:ascii="Times New Roman" w:hAnsi="Times New Roman" w:eastAsia="宋体" w:cs="Times New Roman"/>
                <w:bCs/>
                <w:color w:val="auto"/>
                <w:kern w:val="2"/>
                <w:sz w:val="21"/>
                <w:szCs w:val="21"/>
                <w:lang w:val="en-US" w:eastAsia="zh-CN" w:bidi="ar-SA"/>
              </w:rPr>
            </w:pPr>
            <w:r>
              <w:rPr>
                <w:rFonts w:hAnsi="Times New Roman"/>
                <w:bCs/>
                <w:color w:val="auto"/>
                <w:szCs w:val="21"/>
              </w:rPr>
              <w:t>连续</w:t>
            </w:r>
          </w:p>
        </w:tc>
        <w:tc>
          <w:tcPr>
            <w:tcW w:w="332" w:type="pct"/>
            <w:tcBorders>
              <w:tl2br w:val="nil"/>
              <w:tr2bl w:val="nil"/>
            </w:tcBorders>
            <w:shd w:val="clear" w:color="auto" w:fill="auto"/>
            <w:vAlign w:val="center"/>
          </w:tcPr>
          <w:p w14:paraId="6B6EFAB3">
            <w:pPr>
              <w:spacing w:line="240" w:lineRule="auto"/>
              <w:ind w:firstLine="0" w:firstLineChars="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shd w:val="clear" w:color="auto" w:fill="auto"/>
            <w:vAlign w:val="center"/>
          </w:tcPr>
          <w:p w14:paraId="2938964A">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 xml:space="preserve">47 </w:t>
            </w:r>
          </w:p>
        </w:tc>
        <w:tc>
          <w:tcPr>
            <w:tcW w:w="316" w:type="pct"/>
            <w:tcBorders>
              <w:tl2br w:val="nil"/>
              <w:tr2bl w:val="nil"/>
            </w:tcBorders>
            <w:shd w:val="clear" w:color="auto" w:fill="auto"/>
            <w:vAlign w:val="center"/>
          </w:tcPr>
          <w:p w14:paraId="650CEADE">
            <w:pPr>
              <w:pStyle w:val="77"/>
              <w:ind w:firstLine="0" w:firstLineChars="0"/>
              <w:rPr>
                <w:rFonts w:ascii="Times New Roman" w:hAnsi="Times New Roman" w:eastAsia="宋体" w:cs="Times New Roman"/>
                <w:bCs/>
                <w:color w:val="auto"/>
                <w:kern w:val="2"/>
                <w:sz w:val="21"/>
                <w:szCs w:val="21"/>
                <w:lang w:val="en-US" w:eastAsia="zh-CN" w:bidi="ar-SA"/>
              </w:rPr>
            </w:pPr>
            <w:r>
              <w:rPr>
                <w:rFonts w:hAnsi="Times New Roman"/>
                <w:bCs/>
                <w:color w:val="auto"/>
                <w:szCs w:val="21"/>
              </w:rPr>
              <w:t>1m</w:t>
            </w:r>
          </w:p>
        </w:tc>
      </w:tr>
      <w:tr w14:paraId="2F10B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vMerge w:val="continue"/>
            <w:tcBorders>
              <w:tl2br w:val="nil"/>
              <w:tr2bl w:val="nil"/>
            </w:tcBorders>
            <w:shd w:val="clear" w:color="auto" w:fill="auto"/>
            <w:vAlign w:val="center"/>
          </w:tcPr>
          <w:p w14:paraId="0F2A158F">
            <w:pPr>
              <w:pStyle w:val="77"/>
              <w:ind w:firstLine="0" w:firstLineChars="0"/>
              <w:rPr>
                <w:rFonts w:ascii="Times New Roman" w:hAnsi="Times New Roman" w:eastAsia="宋体" w:cs="Times New Roman"/>
                <w:color w:val="auto"/>
                <w:kern w:val="2"/>
                <w:sz w:val="21"/>
                <w:szCs w:val="21"/>
                <w:lang w:val="en-US" w:eastAsia="zh-CN" w:bidi="ar-SA"/>
              </w:rPr>
            </w:pPr>
          </w:p>
        </w:tc>
        <w:tc>
          <w:tcPr>
            <w:tcW w:w="303" w:type="pct"/>
            <w:tcBorders>
              <w:tl2br w:val="nil"/>
              <w:tr2bl w:val="nil"/>
            </w:tcBorders>
            <w:shd w:val="clear" w:color="auto" w:fill="auto"/>
            <w:vAlign w:val="center"/>
          </w:tcPr>
          <w:p w14:paraId="7C43EA72">
            <w:pPr>
              <w:pStyle w:val="77"/>
              <w:ind w:firstLine="0" w:firstLineChars="0"/>
              <w:rPr>
                <w:rFonts w:ascii="Times New Roman" w:hAnsi="Times New Roman" w:eastAsia="宋体" w:cs="Times New Roman"/>
                <w:color w:val="auto"/>
                <w:kern w:val="2"/>
                <w:sz w:val="21"/>
                <w:szCs w:val="21"/>
                <w:lang w:val="en-US" w:eastAsia="zh-CN" w:bidi="ar-SA"/>
              </w:rPr>
            </w:pPr>
            <w:r>
              <w:rPr>
                <w:rFonts w:hint="eastAsia" w:hAnsi="Times New Roman"/>
                <w:color w:val="auto"/>
                <w:szCs w:val="21"/>
              </w:rPr>
              <w:t>空压机</w:t>
            </w:r>
          </w:p>
        </w:tc>
        <w:tc>
          <w:tcPr>
            <w:tcW w:w="261" w:type="pct"/>
            <w:tcBorders>
              <w:tl2br w:val="nil"/>
              <w:tr2bl w:val="nil"/>
            </w:tcBorders>
            <w:shd w:val="clear" w:color="auto" w:fill="auto"/>
            <w:vAlign w:val="center"/>
          </w:tcPr>
          <w:p w14:paraId="3A65963F">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80</w:t>
            </w:r>
          </w:p>
        </w:tc>
        <w:tc>
          <w:tcPr>
            <w:tcW w:w="393" w:type="pct"/>
            <w:tcBorders>
              <w:tl2br w:val="nil"/>
              <w:tr2bl w:val="nil"/>
            </w:tcBorders>
            <w:shd w:val="clear" w:color="auto" w:fill="auto"/>
            <w:vAlign w:val="center"/>
          </w:tcPr>
          <w:p w14:paraId="32533FD1">
            <w:pPr>
              <w:spacing w:line="240" w:lineRule="auto"/>
              <w:ind w:firstLine="0" w:firstLineChars="0"/>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0"/>
                <w:sz w:val="21"/>
                <w:szCs w:val="21"/>
              </w:rPr>
              <w:t>固定点源</w:t>
            </w:r>
          </w:p>
        </w:tc>
        <w:tc>
          <w:tcPr>
            <w:tcW w:w="690" w:type="pct"/>
            <w:tcBorders>
              <w:tl2br w:val="nil"/>
              <w:tr2bl w:val="nil"/>
            </w:tcBorders>
            <w:shd w:val="clear" w:color="auto" w:fill="auto"/>
            <w:vAlign w:val="center"/>
          </w:tcPr>
          <w:p w14:paraId="72158426">
            <w:pPr>
              <w:pStyle w:val="77"/>
              <w:ind w:firstLine="0" w:firstLineChars="0"/>
              <w:rPr>
                <w:rFonts w:ascii="Times New Roman" w:hAnsi="Times New Roman" w:eastAsia="宋体" w:cs="Times New Roman"/>
                <w:color w:val="auto"/>
                <w:kern w:val="2"/>
                <w:sz w:val="21"/>
                <w:szCs w:val="21"/>
                <w:lang w:val="en-US" w:eastAsia="zh-CN" w:bidi="ar-SA"/>
              </w:rPr>
            </w:pPr>
            <w:r>
              <w:rPr>
                <w:rFonts w:hAnsi="Times New Roman"/>
                <w:bCs/>
                <w:color w:val="auto"/>
                <w:szCs w:val="21"/>
              </w:rPr>
              <w:t>进风口消声器、厂房隔声</w:t>
            </w:r>
          </w:p>
        </w:tc>
        <w:tc>
          <w:tcPr>
            <w:tcW w:w="368" w:type="pct"/>
            <w:tcBorders>
              <w:tl2br w:val="nil"/>
              <w:tr2bl w:val="nil"/>
            </w:tcBorders>
            <w:shd w:val="clear" w:color="auto" w:fill="auto"/>
            <w:vAlign w:val="center"/>
          </w:tcPr>
          <w:p w14:paraId="3BF6FCF3">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56</w:t>
            </w:r>
          </w:p>
        </w:tc>
        <w:tc>
          <w:tcPr>
            <w:tcW w:w="393" w:type="pct"/>
            <w:tcBorders>
              <w:tl2br w:val="nil"/>
              <w:tr2bl w:val="nil"/>
            </w:tcBorders>
            <w:shd w:val="clear" w:color="auto" w:fill="auto"/>
            <w:vAlign w:val="center"/>
          </w:tcPr>
          <w:p w14:paraId="0559315E">
            <w:pPr>
              <w:pStyle w:val="77"/>
              <w:ind w:firstLine="0" w:firstLineChars="0"/>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73</w:t>
            </w:r>
          </w:p>
        </w:tc>
        <w:tc>
          <w:tcPr>
            <w:tcW w:w="245" w:type="pct"/>
            <w:tcBorders>
              <w:tl2br w:val="nil"/>
              <w:tr2bl w:val="nil"/>
            </w:tcBorders>
            <w:shd w:val="clear" w:color="auto" w:fill="auto"/>
            <w:vAlign w:val="center"/>
          </w:tcPr>
          <w:p w14:paraId="4A09C2BB">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1.2</w:t>
            </w:r>
          </w:p>
        </w:tc>
        <w:tc>
          <w:tcPr>
            <w:tcW w:w="369" w:type="pct"/>
            <w:tcBorders>
              <w:tl2br w:val="nil"/>
              <w:tr2bl w:val="nil"/>
            </w:tcBorders>
            <w:shd w:val="clear" w:color="auto" w:fill="auto"/>
            <w:vAlign w:val="center"/>
          </w:tcPr>
          <w:p w14:paraId="31942915">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2.3</w:t>
            </w:r>
          </w:p>
        </w:tc>
        <w:tc>
          <w:tcPr>
            <w:tcW w:w="296" w:type="pct"/>
            <w:tcBorders>
              <w:tl2br w:val="nil"/>
              <w:tr2bl w:val="nil"/>
            </w:tcBorders>
            <w:shd w:val="clear" w:color="auto" w:fill="auto"/>
            <w:vAlign w:val="center"/>
          </w:tcPr>
          <w:p w14:paraId="41C11E32">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 xml:space="preserve">73 </w:t>
            </w:r>
          </w:p>
        </w:tc>
        <w:tc>
          <w:tcPr>
            <w:tcW w:w="249" w:type="pct"/>
            <w:tcBorders>
              <w:tl2br w:val="nil"/>
              <w:tr2bl w:val="nil"/>
            </w:tcBorders>
            <w:shd w:val="clear" w:color="auto" w:fill="auto"/>
            <w:vAlign w:val="center"/>
          </w:tcPr>
          <w:p w14:paraId="0F89AF37">
            <w:pPr>
              <w:pStyle w:val="77"/>
              <w:ind w:firstLine="0" w:firstLineChars="0"/>
              <w:rPr>
                <w:rFonts w:ascii="Times New Roman" w:hAnsi="Times New Roman" w:eastAsia="宋体" w:cs="Times New Roman"/>
                <w:bCs/>
                <w:color w:val="auto"/>
                <w:kern w:val="2"/>
                <w:sz w:val="21"/>
                <w:szCs w:val="21"/>
                <w:lang w:val="en-US" w:eastAsia="zh-CN" w:bidi="ar-SA"/>
              </w:rPr>
            </w:pPr>
            <w:r>
              <w:rPr>
                <w:rFonts w:hAnsi="Times New Roman"/>
                <w:bCs/>
                <w:color w:val="auto"/>
                <w:szCs w:val="21"/>
              </w:rPr>
              <w:t>连续</w:t>
            </w:r>
          </w:p>
        </w:tc>
        <w:tc>
          <w:tcPr>
            <w:tcW w:w="332" w:type="pct"/>
            <w:tcBorders>
              <w:tl2br w:val="nil"/>
              <w:tr2bl w:val="nil"/>
            </w:tcBorders>
            <w:shd w:val="clear" w:color="auto" w:fill="auto"/>
            <w:vAlign w:val="center"/>
          </w:tcPr>
          <w:p w14:paraId="7EB27ABF">
            <w:pPr>
              <w:spacing w:line="240" w:lineRule="auto"/>
              <w:ind w:firstLine="0" w:firstLineChars="0"/>
              <w:jc w:val="center"/>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shd w:val="clear" w:color="auto" w:fill="auto"/>
            <w:vAlign w:val="center"/>
          </w:tcPr>
          <w:p w14:paraId="33C3281E">
            <w:pPr>
              <w:pStyle w:val="77"/>
              <w:ind w:firstLine="0" w:firstLineChars="0"/>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rPr>
              <w:t xml:space="preserve">63 </w:t>
            </w:r>
          </w:p>
        </w:tc>
        <w:tc>
          <w:tcPr>
            <w:tcW w:w="316" w:type="pct"/>
            <w:tcBorders>
              <w:tl2br w:val="nil"/>
              <w:tr2bl w:val="nil"/>
            </w:tcBorders>
            <w:shd w:val="clear" w:color="auto" w:fill="auto"/>
            <w:vAlign w:val="center"/>
          </w:tcPr>
          <w:p w14:paraId="5FCE63BB">
            <w:pPr>
              <w:pStyle w:val="77"/>
              <w:ind w:firstLine="0" w:firstLineChars="0"/>
              <w:rPr>
                <w:rFonts w:ascii="Times New Roman" w:hAnsi="Times New Roman" w:eastAsia="宋体" w:cs="Times New Roman"/>
                <w:bCs/>
                <w:color w:val="auto"/>
                <w:kern w:val="2"/>
                <w:sz w:val="21"/>
                <w:szCs w:val="21"/>
                <w:lang w:val="en-US" w:eastAsia="zh-CN" w:bidi="ar-SA"/>
              </w:rPr>
            </w:pPr>
            <w:r>
              <w:rPr>
                <w:rFonts w:hAnsi="Times New Roman"/>
                <w:bCs/>
                <w:color w:val="auto"/>
                <w:szCs w:val="21"/>
              </w:rPr>
              <w:t>1m</w:t>
            </w:r>
          </w:p>
        </w:tc>
      </w:tr>
      <w:tr w14:paraId="3ABCD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tcBorders>
              <w:tl2br w:val="nil"/>
              <w:tr2bl w:val="nil"/>
            </w:tcBorders>
            <w:vAlign w:val="center"/>
          </w:tcPr>
          <w:p w14:paraId="0F301A68">
            <w:pPr>
              <w:pStyle w:val="77"/>
              <w:rPr>
                <w:rFonts w:hAnsi="Times New Roman"/>
                <w:color w:val="auto"/>
                <w:szCs w:val="21"/>
              </w:rPr>
            </w:pPr>
            <w:r>
              <w:rPr>
                <w:rFonts w:hAnsi="Times New Roman"/>
                <w:color w:val="auto"/>
                <w:szCs w:val="21"/>
              </w:rPr>
              <w:t>脱硫</w:t>
            </w:r>
            <w:r>
              <w:rPr>
                <w:rFonts w:hint="eastAsia" w:hAnsi="Times New Roman"/>
                <w:color w:val="auto"/>
                <w:szCs w:val="21"/>
              </w:rPr>
              <w:t>系统</w:t>
            </w:r>
          </w:p>
        </w:tc>
        <w:tc>
          <w:tcPr>
            <w:tcW w:w="303" w:type="pct"/>
            <w:tcBorders>
              <w:tl2br w:val="nil"/>
              <w:tr2bl w:val="nil"/>
            </w:tcBorders>
            <w:vAlign w:val="center"/>
          </w:tcPr>
          <w:p w14:paraId="52A3EF68">
            <w:pPr>
              <w:pStyle w:val="77"/>
              <w:rPr>
                <w:rFonts w:hAnsi="Times New Roman"/>
                <w:color w:val="auto"/>
                <w:szCs w:val="21"/>
              </w:rPr>
            </w:pPr>
            <w:r>
              <w:rPr>
                <w:rFonts w:hint="eastAsia" w:hAnsi="Times New Roman"/>
                <w:color w:val="auto"/>
                <w:szCs w:val="21"/>
              </w:rPr>
              <w:t>浆液循环泵</w:t>
            </w:r>
          </w:p>
        </w:tc>
        <w:tc>
          <w:tcPr>
            <w:tcW w:w="261" w:type="pct"/>
            <w:tcBorders>
              <w:tl2br w:val="nil"/>
              <w:tr2bl w:val="nil"/>
            </w:tcBorders>
            <w:vAlign w:val="center"/>
          </w:tcPr>
          <w:p w14:paraId="126E2D8F">
            <w:pPr>
              <w:pStyle w:val="77"/>
              <w:rPr>
                <w:rFonts w:hAnsi="Times New Roman"/>
                <w:color w:val="auto"/>
                <w:szCs w:val="21"/>
              </w:rPr>
            </w:pPr>
            <w:r>
              <w:rPr>
                <w:rFonts w:hint="eastAsia" w:hAnsi="Times New Roman"/>
                <w:color w:val="auto"/>
                <w:szCs w:val="21"/>
              </w:rPr>
              <w:t>75</w:t>
            </w:r>
          </w:p>
        </w:tc>
        <w:tc>
          <w:tcPr>
            <w:tcW w:w="393" w:type="pct"/>
            <w:tcBorders>
              <w:tl2br w:val="nil"/>
              <w:tr2bl w:val="nil"/>
            </w:tcBorders>
            <w:vAlign w:val="center"/>
          </w:tcPr>
          <w:p w14:paraId="068F03FE">
            <w:pPr>
              <w:spacing w:line="240" w:lineRule="auto"/>
              <w:ind w:firstLine="0" w:firstLineChars="0"/>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5D9D685D">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Cs w:val="21"/>
                <w:lang w:val="en-US" w:eastAsia="zh-CN"/>
              </w:rPr>
              <w:t>隔声、减振</w:t>
            </w:r>
          </w:p>
        </w:tc>
        <w:tc>
          <w:tcPr>
            <w:tcW w:w="368" w:type="pct"/>
            <w:tcBorders>
              <w:tl2br w:val="nil"/>
              <w:tr2bl w:val="nil"/>
            </w:tcBorders>
            <w:vAlign w:val="center"/>
          </w:tcPr>
          <w:p w14:paraId="4BF91AF9">
            <w:pPr>
              <w:pStyle w:val="77"/>
              <w:rPr>
                <w:rFonts w:hAnsi="Times New Roman"/>
                <w:color w:val="auto"/>
                <w:szCs w:val="21"/>
              </w:rPr>
            </w:pPr>
            <w:r>
              <w:rPr>
                <w:rFonts w:hint="eastAsia" w:hAnsi="Times New Roman"/>
                <w:color w:val="auto"/>
                <w:szCs w:val="21"/>
              </w:rPr>
              <w:t>45</w:t>
            </w:r>
          </w:p>
        </w:tc>
        <w:tc>
          <w:tcPr>
            <w:tcW w:w="393" w:type="pct"/>
            <w:tcBorders>
              <w:tl2br w:val="nil"/>
              <w:tr2bl w:val="nil"/>
            </w:tcBorders>
            <w:vAlign w:val="center"/>
          </w:tcPr>
          <w:p w14:paraId="5FC5BC9D">
            <w:pPr>
              <w:pStyle w:val="77"/>
              <w:rPr>
                <w:rFonts w:hAnsi="Times New Roman"/>
                <w:color w:val="auto"/>
                <w:szCs w:val="21"/>
              </w:rPr>
            </w:pPr>
            <w:r>
              <w:rPr>
                <w:rFonts w:hint="eastAsia" w:hAnsi="Times New Roman"/>
                <w:color w:val="auto"/>
                <w:szCs w:val="21"/>
              </w:rPr>
              <w:t>116</w:t>
            </w:r>
          </w:p>
        </w:tc>
        <w:tc>
          <w:tcPr>
            <w:tcW w:w="245" w:type="pct"/>
            <w:tcBorders>
              <w:tl2br w:val="nil"/>
              <w:tr2bl w:val="nil"/>
            </w:tcBorders>
            <w:vAlign w:val="center"/>
          </w:tcPr>
          <w:p w14:paraId="7E10C09A">
            <w:pPr>
              <w:pStyle w:val="77"/>
              <w:rPr>
                <w:rFonts w:hAnsi="Times New Roman"/>
                <w:bCs/>
                <w:color w:val="auto"/>
                <w:szCs w:val="21"/>
              </w:rPr>
            </w:pPr>
            <w:r>
              <w:rPr>
                <w:rFonts w:hint="eastAsia" w:hAnsi="Times New Roman"/>
                <w:bCs/>
                <w:color w:val="auto"/>
                <w:szCs w:val="21"/>
              </w:rPr>
              <w:t>1.2</w:t>
            </w:r>
          </w:p>
        </w:tc>
        <w:tc>
          <w:tcPr>
            <w:tcW w:w="369" w:type="pct"/>
            <w:tcBorders>
              <w:tl2br w:val="nil"/>
              <w:tr2bl w:val="nil"/>
            </w:tcBorders>
            <w:vAlign w:val="center"/>
          </w:tcPr>
          <w:p w14:paraId="33040E38">
            <w:pPr>
              <w:pStyle w:val="77"/>
              <w:rPr>
                <w:rFonts w:hAnsi="Times New Roman"/>
                <w:bCs/>
                <w:color w:val="auto"/>
                <w:szCs w:val="21"/>
              </w:rPr>
            </w:pPr>
            <w:r>
              <w:rPr>
                <w:rFonts w:hint="eastAsia" w:hAnsi="Times New Roman"/>
                <w:bCs/>
                <w:color w:val="auto"/>
                <w:szCs w:val="21"/>
              </w:rPr>
              <w:t>3.7</w:t>
            </w:r>
          </w:p>
        </w:tc>
        <w:tc>
          <w:tcPr>
            <w:tcW w:w="296" w:type="pct"/>
            <w:tcBorders>
              <w:tl2br w:val="nil"/>
              <w:tr2bl w:val="nil"/>
            </w:tcBorders>
            <w:vAlign w:val="center"/>
          </w:tcPr>
          <w:p w14:paraId="43FA5E1D">
            <w:pPr>
              <w:pStyle w:val="77"/>
              <w:rPr>
                <w:rFonts w:hAnsi="Times New Roman"/>
                <w:bCs/>
                <w:color w:val="auto"/>
                <w:szCs w:val="21"/>
              </w:rPr>
            </w:pPr>
            <w:r>
              <w:rPr>
                <w:rFonts w:hint="eastAsia" w:hAnsi="Times New Roman"/>
                <w:bCs/>
                <w:color w:val="auto"/>
                <w:szCs w:val="21"/>
              </w:rPr>
              <w:t xml:space="preserve">64 </w:t>
            </w:r>
          </w:p>
        </w:tc>
        <w:tc>
          <w:tcPr>
            <w:tcW w:w="249" w:type="pct"/>
            <w:tcBorders>
              <w:tl2br w:val="nil"/>
              <w:tr2bl w:val="nil"/>
            </w:tcBorders>
            <w:vAlign w:val="center"/>
          </w:tcPr>
          <w:p w14:paraId="46B3265B">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5032CB86">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7443C936">
            <w:pPr>
              <w:pStyle w:val="77"/>
              <w:rPr>
                <w:rFonts w:hAnsi="Times New Roman"/>
                <w:bCs/>
                <w:color w:val="auto"/>
                <w:szCs w:val="21"/>
              </w:rPr>
            </w:pPr>
            <w:r>
              <w:rPr>
                <w:rFonts w:hint="eastAsia" w:hAnsi="Times New Roman"/>
                <w:bCs/>
                <w:color w:val="auto"/>
                <w:szCs w:val="21"/>
              </w:rPr>
              <w:t xml:space="preserve">44 </w:t>
            </w:r>
          </w:p>
        </w:tc>
        <w:tc>
          <w:tcPr>
            <w:tcW w:w="316" w:type="pct"/>
            <w:tcBorders>
              <w:tl2br w:val="nil"/>
              <w:tr2bl w:val="nil"/>
            </w:tcBorders>
            <w:vAlign w:val="center"/>
          </w:tcPr>
          <w:p w14:paraId="67DA3A93">
            <w:pPr>
              <w:pStyle w:val="77"/>
              <w:rPr>
                <w:rFonts w:hAnsi="Times New Roman"/>
                <w:bCs/>
                <w:color w:val="auto"/>
                <w:szCs w:val="21"/>
              </w:rPr>
            </w:pPr>
            <w:r>
              <w:rPr>
                <w:rFonts w:hAnsi="Times New Roman"/>
                <w:bCs/>
                <w:color w:val="auto"/>
                <w:szCs w:val="21"/>
              </w:rPr>
              <w:t>1m</w:t>
            </w:r>
          </w:p>
        </w:tc>
      </w:tr>
      <w:tr w14:paraId="2EE2D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 w:type="pct"/>
            <w:tcBorders>
              <w:tl2br w:val="nil"/>
              <w:tr2bl w:val="nil"/>
            </w:tcBorders>
            <w:vAlign w:val="center"/>
          </w:tcPr>
          <w:p w14:paraId="103A6DE8">
            <w:pPr>
              <w:pStyle w:val="77"/>
              <w:rPr>
                <w:rFonts w:hAnsi="Times New Roman"/>
                <w:color w:val="auto"/>
                <w:szCs w:val="21"/>
              </w:rPr>
            </w:pPr>
            <w:r>
              <w:rPr>
                <w:rFonts w:hint="eastAsia" w:hAnsi="Times New Roman"/>
                <w:color w:val="auto"/>
                <w:szCs w:val="21"/>
                <w:lang w:val="en-US" w:eastAsia="zh-CN"/>
              </w:rPr>
              <w:t>上煤</w:t>
            </w:r>
            <w:r>
              <w:rPr>
                <w:rFonts w:hAnsi="Times New Roman"/>
                <w:color w:val="auto"/>
                <w:szCs w:val="21"/>
              </w:rPr>
              <w:t>间</w:t>
            </w:r>
          </w:p>
        </w:tc>
        <w:tc>
          <w:tcPr>
            <w:tcW w:w="303" w:type="pct"/>
            <w:tcBorders>
              <w:tl2br w:val="nil"/>
              <w:tr2bl w:val="nil"/>
            </w:tcBorders>
            <w:vAlign w:val="center"/>
          </w:tcPr>
          <w:p w14:paraId="46BA4D0C">
            <w:pPr>
              <w:pStyle w:val="77"/>
              <w:rPr>
                <w:rFonts w:hAnsi="Times New Roman"/>
                <w:color w:val="auto"/>
                <w:szCs w:val="21"/>
              </w:rPr>
            </w:pPr>
            <w:r>
              <w:rPr>
                <w:rFonts w:hAnsi="Times New Roman"/>
                <w:color w:val="auto"/>
                <w:szCs w:val="21"/>
              </w:rPr>
              <w:t>碎煤机</w:t>
            </w:r>
          </w:p>
        </w:tc>
        <w:tc>
          <w:tcPr>
            <w:tcW w:w="261" w:type="pct"/>
            <w:tcBorders>
              <w:tl2br w:val="nil"/>
              <w:tr2bl w:val="nil"/>
            </w:tcBorders>
            <w:vAlign w:val="center"/>
          </w:tcPr>
          <w:p w14:paraId="3DD18C2B">
            <w:pPr>
              <w:pStyle w:val="77"/>
              <w:rPr>
                <w:rFonts w:hint="default" w:hAnsi="Times New Roman" w:eastAsia="宋体"/>
                <w:color w:val="auto"/>
                <w:szCs w:val="21"/>
                <w:lang w:val="en-US" w:eastAsia="zh-CN"/>
              </w:rPr>
            </w:pPr>
            <w:r>
              <w:rPr>
                <w:rFonts w:hint="eastAsia" w:hAnsi="Times New Roman"/>
                <w:color w:val="auto"/>
                <w:szCs w:val="21"/>
                <w:lang w:val="en-US" w:eastAsia="zh-CN"/>
              </w:rPr>
              <w:t>85</w:t>
            </w:r>
          </w:p>
        </w:tc>
        <w:tc>
          <w:tcPr>
            <w:tcW w:w="393" w:type="pct"/>
            <w:tcBorders>
              <w:tl2br w:val="nil"/>
              <w:tr2bl w:val="nil"/>
            </w:tcBorders>
            <w:vAlign w:val="center"/>
          </w:tcPr>
          <w:p w14:paraId="464544B9">
            <w:pPr>
              <w:spacing w:line="240" w:lineRule="auto"/>
              <w:ind w:firstLine="0" w:firstLineChars="0"/>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018E3B45">
            <w:pPr>
              <w:pStyle w:val="77"/>
              <w:rPr>
                <w:rFonts w:hAnsi="Times New Roman"/>
                <w:color w:val="auto"/>
                <w:szCs w:val="21"/>
              </w:rPr>
            </w:pPr>
            <w:r>
              <w:rPr>
                <w:rFonts w:hint="eastAsia" w:ascii="Times New Roman" w:hAnsi="Times New Roman" w:eastAsia="宋体" w:cs="Times New Roman"/>
                <w:color w:val="auto"/>
                <w:szCs w:val="21"/>
                <w:lang w:val="en-US" w:eastAsia="zh-CN"/>
              </w:rPr>
              <w:t>隔声、减振</w:t>
            </w:r>
          </w:p>
        </w:tc>
        <w:tc>
          <w:tcPr>
            <w:tcW w:w="368" w:type="pct"/>
            <w:tcBorders>
              <w:tl2br w:val="nil"/>
              <w:tr2bl w:val="nil"/>
            </w:tcBorders>
            <w:vAlign w:val="center"/>
          </w:tcPr>
          <w:p w14:paraId="3AD9104C">
            <w:pPr>
              <w:pStyle w:val="77"/>
              <w:rPr>
                <w:rFonts w:hAnsi="Times New Roman"/>
                <w:color w:val="auto"/>
                <w:szCs w:val="21"/>
              </w:rPr>
            </w:pPr>
            <w:r>
              <w:rPr>
                <w:rFonts w:hint="eastAsia" w:hAnsi="Times New Roman"/>
                <w:color w:val="auto"/>
                <w:szCs w:val="21"/>
              </w:rPr>
              <w:t>17</w:t>
            </w:r>
          </w:p>
        </w:tc>
        <w:tc>
          <w:tcPr>
            <w:tcW w:w="393" w:type="pct"/>
            <w:tcBorders>
              <w:tl2br w:val="nil"/>
              <w:tr2bl w:val="nil"/>
            </w:tcBorders>
            <w:vAlign w:val="center"/>
          </w:tcPr>
          <w:p w14:paraId="60A9F3D2">
            <w:pPr>
              <w:pStyle w:val="77"/>
              <w:rPr>
                <w:rFonts w:hAnsi="Times New Roman"/>
                <w:color w:val="auto"/>
                <w:szCs w:val="21"/>
              </w:rPr>
            </w:pPr>
            <w:r>
              <w:rPr>
                <w:rFonts w:hint="eastAsia" w:hAnsi="Times New Roman"/>
                <w:color w:val="auto"/>
                <w:szCs w:val="21"/>
              </w:rPr>
              <w:t>152</w:t>
            </w:r>
          </w:p>
        </w:tc>
        <w:tc>
          <w:tcPr>
            <w:tcW w:w="245" w:type="pct"/>
            <w:tcBorders>
              <w:tl2br w:val="nil"/>
              <w:tr2bl w:val="nil"/>
            </w:tcBorders>
            <w:vAlign w:val="center"/>
          </w:tcPr>
          <w:p w14:paraId="032E4F0E">
            <w:pPr>
              <w:pStyle w:val="77"/>
              <w:rPr>
                <w:rFonts w:hint="eastAsia" w:hAnsi="Times New Roman" w:eastAsia="宋体"/>
                <w:bCs/>
                <w:color w:val="auto"/>
                <w:szCs w:val="21"/>
                <w:lang w:eastAsia="zh-CN"/>
              </w:rPr>
            </w:pPr>
            <w:r>
              <w:rPr>
                <w:rFonts w:hint="eastAsia" w:hAnsi="Times New Roman"/>
                <w:bCs/>
                <w:color w:val="auto"/>
                <w:szCs w:val="21"/>
                <w:lang w:val="en-US" w:eastAsia="zh-CN"/>
              </w:rPr>
              <w:t>8</w:t>
            </w:r>
          </w:p>
        </w:tc>
        <w:tc>
          <w:tcPr>
            <w:tcW w:w="369" w:type="pct"/>
            <w:tcBorders>
              <w:tl2br w:val="nil"/>
              <w:tr2bl w:val="nil"/>
            </w:tcBorders>
            <w:vAlign w:val="center"/>
          </w:tcPr>
          <w:p w14:paraId="166AD439">
            <w:pPr>
              <w:pStyle w:val="77"/>
              <w:rPr>
                <w:rFonts w:hAnsi="Times New Roman"/>
                <w:bCs/>
                <w:color w:val="auto"/>
                <w:szCs w:val="21"/>
              </w:rPr>
            </w:pPr>
            <w:r>
              <w:rPr>
                <w:rFonts w:hint="eastAsia" w:hAnsi="Times New Roman"/>
                <w:bCs/>
                <w:color w:val="auto"/>
                <w:szCs w:val="21"/>
              </w:rPr>
              <w:t>3.8</w:t>
            </w:r>
          </w:p>
        </w:tc>
        <w:tc>
          <w:tcPr>
            <w:tcW w:w="296" w:type="pct"/>
            <w:tcBorders>
              <w:tl2br w:val="nil"/>
              <w:tr2bl w:val="nil"/>
            </w:tcBorders>
            <w:vAlign w:val="center"/>
          </w:tcPr>
          <w:p w14:paraId="3C6C76D2">
            <w:pPr>
              <w:pStyle w:val="77"/>
              <w:rPr>
                <w:rFonts w:hint="default" w:hAnsi="Times New Roman" w:eastAsia="宋体"/>
                <w:bCs/>
                <w:color w:val="auto"/>
                <w:szCs w:val="21"/>
                <w:lang w:val="en-US" w:eastAsia="zh-CN"/>
              </w:rPr>
            </w:pPr>
            <w:r>
              <w:rPr>
                <w:rFonts w:hint="eastAsia" w:hAnsi="Times New Roman"/>
                <w:bCs/>
                <w:color w:val="auto"/>
                <w:szCs w:val="21"/>
                <w:lang w:val="en-US" w:eastAsia="zh-CN"/>
              </w:rPr>
              <w:t>73</w:t>
            </w:r>
          </w:p>
        </w:tc>
        <w:tc>
          <w:tcPr>
            <w:tcW w:w="249" w:type="pct"/>
            <w:tcBorders>
              <w:tl2br w:val="nil"/>
              <w:tr2bl w:val="nil"/>
            </w:tcBorders>
            <w:vAlign w:val="center"/>
          </w:tcPr>
          <w:p w14:paraId="381CC654">
            <w:pPr>
              <w:pStyle w:val="77"/>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005B9323">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311D8A2A">
            <w:pPr>
              <w:pStyle w:val="77"/>
              <w:rPr>
                <w:rFonts w:hint="default" w:hAnsi="Times New Roman" w:eastAsia="宋体"/>
                <w:bCs/>
                <w:color w:val="auto"/>
                <w:szCs w:val="21"/>
                <w:lang w:val="en-US" w:eastAsia="zh-CN"/>
              </w:rPr>
            </w:pPr>
            <w:r>
              <w:rPr>
                <w:rFonts w:hint="eastAsia" w:hAnsi="Times New Roman"/>
                <w:bCs/>
                <w:color w:val="auto"/>
                <w:szCs w:val="21"/>
                <w:lang w:val="en-US" w:eastAsia="zh-CN"/>
              </w:rPr>
              <w:t>53</w:t>
            </w:r>
          </w:p>
        </w:tc>
        <w:tc>
          <w:tcPr>
            <w:tcW w:w="316" w:type="pct"/>
            <w:tcBorders>
              <w:tl2br w:val="nil"/>
              <w:tr2bl w:val="nil"/>
            </w:tcBorders>
            <w:vAlign w:val="center"/>
          </w:tcPr>
          <w:p w14:paraId="2D38DFB5">
            <w:pPr>
              <w:pStyle w:val="77"/>
              <w:rPr>
                <w:rFonts w:hAnsi="Times New Roman"/>
                <w:bCs/>
                <w:color w:val="auto"/>
                <w:szCs w:val="21"/>
              </w:rPr>
            </w:pPr>
            <w:r>
              <w:rPr>
                <w:rFonts w:hAnsi="Times New Roman"/>
                <w:bCs/>
                <w:color w:val="auto"/>
                <w:szCs w:val="21"/>
              </w:rPr>
              <w:t>1m</w:t>
            </w:r>
          </w:p>
        </w:tc>
      </w:tr>
    </w:tbl>
    <w:p w14:paraId="2A129C13">
      <w:pPr>
        <w:pStyle w:val="34"/>
        <w:ind w:left="0" w:leftChars="0" w:firstLine="0" w:firstLineChars="0"/>
        <w:rPr>
          <w:rFonts w:ascii="Times New Roman" w:hAnsi="Times New Roman" w:eastAsia="宋体" w:cs="Times New Roman"/>
          <w:color w:val="auto"/>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14:paraId="7913ED90">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10" w:name="_Toc27515"/>
      <w:bookmarkStart w:id="311" w:name="_Toc18934"/>
      <w:bookmarkStart w:id="312" w:name="_Toc30598"/>
      <w:r>
        <w:rPr>
          <w:rFonts w:hint="eastAsia" w:ascii="Times New Roman" w:hAnsi="Times New Roman" w:eastAsia="宋体" w:cs="Times New Roman"/>
          <w:b/>
          <w:bCs/>
          <w:color w:val="auto"/>
          <w:sz w:val="28"/>
          <w:szCs w:val="28"/>
          <w:lang w:val="en-US" w:eastAsia="zh-CN"/>
        </w:rPr>
        <w:t>4.4.4 固体废物源强</w:t>
      </w:r>
      <w:bookmarkEnd w:id="310"/>
      <w:bookmarkEnd w:id="311"/>
      <w:bookmarkEnd w:id="312"/>
    </w:p>
    <w:p w14:paraId="73DA0592">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锅炉灰渣</w:t>
      </w:r>
    </w:p>
    <w:p w14:paraId="7A55C72E">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参照《污染源源强核算技术指南 锅炉》（HJ991-2018），锅炉炉渣和布袋除尘器收集粉尘产生量按照如下公式计算：</w:t>
      </w:r>
    </w:p>
    <w:p w14:paraId="256EF119">
      <w:pPr>
        <w:snapToGrid w:val="0"/>
        <w:spacing w:line="240" w:lineRule="auto"/>
        <w:ind w:firstLine="480" w:firstLineChars="200"/>
        <w:jc w:val="center"/>
        <w:rPr>
          <w:rFonts w:ascii="Times New Roman" w:hAnsi="Times New Roman" w:eastAsia="宋体" w:cs="Times New Roman"/>
          <w:color w:val="auto"/>
          <w:szCs w:val="24"/>
        </w:rPr>
      </w:pPr>
      <w:r>
        <w:rPr>
          <w:rFonts w:ascii="Times New Roman" w:hAnsi="Times New Roman" w:eastAsia="宋体" w:cs="Times New Roman"/>
          <w:color w:val="auto"/>
          <w:position w:val="-30"/>
          <w:szCs w:val="21"/>
          <w:lang w:bidi="zh-CN"/>
        </w:rPr>
        <w:object>
          <v:shape id="_x0000_i1027" o:spt="75" type="#_x0000_t75" style="height:37.55pt;width:147.75pt;" o:ole="t" filled="f" o:preferrelative="t" stroked="f" coordsize="21600,21600">
            <v:path/>
            <v:fill on="f" focussize="0,0"/>
            <v:stroke on="f" joinstyle="miter"/>
            <v:imagedata r:id="rId68" o:title=""/>
            <o:lock v:ext="edit" aspectratio="t"/>
            <w10:wrap type="none"/>
            <w10:anchorlock/>
          </v:shape>
          <o:OLEObject Type="Embed" ProgID="Equation.3" ShapeID="_x0000_i1027" DrawAspect="Content" ObjectID="_1468075727" r:id="rId67">
            <o:LockedField>false</o:LockedField>
          </o:OLEObject>
        </w:object>
      </w:r>
    </w:p>
    <w:p w14:paraId="670DB827">
      <w:pPr>
        <w:keepNext w:val="0"/>
        <w:keepLines w:val="0"/>
        <w:pageBreakBefore w:val="0"/>
        <w:widowControl w:val="0"/>
        <w:kinsoku/>
        <w:wordWrap/>
        <w:overflowPunct/>
        <w:topLinePunct w:val="0"/>
        <w:autoSpaceDE/>
        <w:autoSpaceDN/>
        <w:bidi w:val="0"/>
        <w:adjustRightInd/>
        <w:snapToGrid w:val="0"/>
        <w:spacing w:line="500" w:lineRule="exact"/>
        <w:ind w:firstLine="480" w:firstLine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式中：E</w:t>
      </w:r>
      <w:r>
        <w:rPr>
          <w:rFonts w:hint="default" w:ascii="Times New Roman" w:hAnsi="Times New Roman" w:eastAsia="宋体" w:cs="Times New Roman"/>
          <w:color w:val="auto"/>
          <w:vertAlign w:val="subscript"/>
          <w:lang w:val="en-US" w:eastAsia="zh-CN"/>
        </w:rPr>
        <w:t>hz</w:t>
      </w:r>
      <w:r>
        <w:rPr>
          <w:rFonts w:hint="default" w:ascii="Times New Roman" w:hAnsi="Times New Roman" w:eastAsia="宋体" w:cs="Times New Roman"/>
          <w:color w:val="auto"/>
          <w:lang w:val="en-US" w:eastAsia="zh-CN"/>
        </w:rPr>
        <w:t>——核算时段内</w:t>
      </w:r>
      <w:r>
        <w:rPr>
          <w:rFonts w:hint="eastAsia" w:ascii="Times New Roman" w:hAnsi="Times New Roman" w:eastAsia="宋体" w:cs="Times New Roman"/>
          <w:color w:val="auto"/>
          <w:lang w:val="en-US" w:eastAsia="zh-CN"/>
        </w:rPr>
        <w:t>灰</w:t>
      </w:r>
      <w:r>
        <w:rPr>
          <w:rFonts w:hint="default" w:ascii="Times New Roman" w:hAnsi="Times New Roman" w:eastAsia="宋体" w:cs="Times New Roman"/>
          <w:color w:val="auto"/>
          <w:lang w:val="en-US" w:eastAsia="zh-CN"/>
        </w:rPr>
        <w:t>渣产生量，t；根据飞灰份额dfh可分别核算飞灰和炉渣产生量；</w:t>
      </w:r>
    </w:p>
    <w:p w14:paraId="337984A1">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R——核算时段内锅炉燃料耗量，</w:t>
      </w:r>
      <w:r>
        <w:rPr>
          <w:rFonts w:hint="eastAsia" w:ascii="Times New Roman" w:hAnsi="Times New Roman" w:eastAsia="宋体" w:cs="Times New Roman"/>
          <w:color w:val="auto"/>
          <w:lang w:val="en-US" w:eastAsia="zh-CN"/>
        </w:rPr>
        <w:t>取</w:t>
      </w:r>
      <w:r>
        <w:rPr>
          <w:rFonts w:hint="default" w:ascii="Times New Roman" w:hAnsi="Times New Roman" w:eastAsia="宋体" w:cs="Times New Roman"/>
          <w:color w:val="auto"/>
          <w:lang w:val="en-US" w:eastAsia="zh-CN"/>
        </w:rPr>
        <w:t>值</w:t>
      </w:r>
      <w:r>
        <w:rPr>
          <w:rFonts w:hint="eastAsia" w:ascii="Times New Roman" w:hAnsi="Times New Roman" w:eastAsia="宋体" w:cs="Times New Roman"/>
          <w:color w:val="auto"/>
          <w:lang w:val="en-US" w:eastAsia="zh-CN"/>
        </w:rPr>
        <w:t>49622.4t/a</w:t>
      </w:r>
      <w:r>
        <w:rPr>
          <w:rFonts w:hint="default" w:ascii="Times New Roman" w:hAnsi="Times New Roman" w:eastAsia="宋体" w:cs="Times New Roman"/>
          <w:color w:val="auto"/>
          <w:lang w:val="en-US" w:eastAsia="zh-CN"/>
        </w:rPr>
        <w:t>；</w:t>
      </w:r>
    </w:p>
    <w:p w14:paraId="00B1DEE2">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A</w:t>
      </w:r>
      <w:r>
        <w:rPr>
          <w:rFonts w:hint="default" w:ascii="Times New Roman" w:hAnsi="Times New Roman" w:eastAsia="宋体" w:cs="Times New Roman"/>
          <w:color w:val="auto"/>
          <w:vertAlign w:val="subscript"/>
          <w:lang w:val="en-US" w:eastAsia="zh-CN"/>
        </w:rPr>
        <w:t>ar</w:t>
      </w:r>
      <w:r>
        <w:rPr>
          <w:rFonts w:hint="default" w:ascii="Times New Roman" w:hAnsi="Times New Roman" w:eastAsia="宋体" w:cs="Times New Roman"/>
          <w:color w:val="auto"/>
          <w:lang w:val="en-US" w:eastAsia="zh-CN"/>
        </w:rPr>
        <w:t>——收到基灰分的质量分数</w:t>
      </w:r>
      <w:r>
        <w:rPr>
          <w:rFonts w:hint="eastAsia" w:ascii="Times New Roman" w:hAnsi="Times New Roman" w:eastAsia="宋体" w:cs="Times New Roman"/>
          <w:color w:val="auto"/>
          <w:lang w:val="en-US" w:eastAsia="zh-CN"/>
        </w:rPr>
        <w:t>，取</w:t>
      </w:r>
      <w:r>
        <w:rPr>
          <w:rFonts w:hint="default" w:ascii="Times New Roman" w:hAnsi="Times New Roman" w:eastAsia="宋体" w:cs="Times New Roman"/>
          <w:color w:val="auto"/>
          <w:lang w:val="en-US" w:eastAsia="zh-CN"/>
        </w:rPr>
        <w:t>值</w:t>
      </w:r>
      <w:r>
        <w:rPr>
          <w:rFonts w:hint="eastAsia" w:ascii="Times New Roman" w:hAnsi="Times New Roman" w:eastAsia="宋体" w:cs="Times New Roman"/>
          <w:color w:val="auto"/>
          <w:lang w:val="en-US" w:eastAsia="zh-CN"/>
        </w:rPr>
        <w:t>39.44%</w:t>
      </w:r>
      <w:r>
        <w:rPr>
          <w:rFonts w:hint="default" w:ascii="Times New Roman" w:hAnsi="Times New Roman" w:eastAsia="宋体" w:cs="Times New Roman"/>
          <w:color w:val="auto"/>
          <w:lang w:val="en-US" w:eastAsia="zh-CN"/>
        </w:rPr>
        <w:t>；</w:t>
      </w:r>
    </w:p>
    <w:p w14:paraId="1F3DEDC4">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q</w:t>
      </w:r>
      <w:r>
        <w:rPr>
          <w:rFonts w:hint="default" w:ascii="Times New Roman" w:hAnsi="Times New Roman" w:eastAsia="宋体" w:cs="Times New Roman"/>
          <w:color w:val="auto"/>
          <w:vertAlign w:val="subscript"/>
          <w:lang w:val="en-US" w:eastAsia="zh-CN"/>
        </w:rPr>
        <w:t>4</w:t>
      </w:r>
      <w:r>
        <w:rPr>
          <w:rFonts w:hint="default" w:ascii="Times New Roman" w:hAnsi="Times New Roman" w:eastAsia="宋体" w:cs="Times New Roman"/>
          <w:color w:val="auto"/>
          <w:lang w:val="en-US" w:eastAsia="zh-CN"/>
        </w:rPr>
        <w:t>——锅炉机械不完全燃烧热损失</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取</w:t>
      </w:r>
      <w:r>
        <w:rPr>
          <w:rFonts w:hint="default" w:ascii="Times New Roman" w:hAnsi="Times New Roman" w:eastAsia="宋体" w:cs="Times New Roman"/>
          <w:color w:val="auto"/>
          <w:lang w:val="en-US" w:eastAsia="zh-CN"/>
        </w:rPr>
        <w:t>值</w:t>
      </w:r>
      <w:r>
        <w:rPr>
          <w:rFonts w:hint="eastAsia" w:ascii="Times New Roman" w:hAnsi="Times New Roman" w:eastAsia="宋体" w:cs="Times New Roman"/>
          <w:color w:val="auto"/>
          <w:lang w:val="en-US" w:eastAsia="zh-CN"/>
        </w:rPr>
        <w:t>10</w:t>
      </w:r>
      <w:r>
        <w:rPr>
          <w:rFonts w:hint="default" w:ascii="Times New Roman" w:hAnsi="Times New Roman" w:eastAsia="宋体" w:cs="Times New Roman"/>
          <w:color w:val="auto"/>
          <w:lang w:val="en-US" w:eastAsia="zh-CN"/>
        </w:rPr>
        <w:t>；</w:t>
      </w:r>
    </w:p>
    <w:p w14:paraId="5562A748">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Q</w:t>
      </w:r>
      <w:r>
        <w:rPr>
          <w:rFonts w:hint="default" w:ascii="Times New Roman" w:hAnsi="Times New Roman" w:eastAsia="宋体" w:cs="Times New Roman"/>
          <w:color w:val="auto"/>
          <w:vertAlign w:val="subscript"/>
          <w:lang w:val="en-US" w:eastAsia="zh-CN"/>
        </w:rPr>
        <w:t>net，ar</w:t>
      </w:r>
      <w:r>
        <w:rPr>
          <w:rFonts w:hint="default" w:ascii="Times New Roman" w:hAnsi="Times New Roman" w:eastAsia="宋体" w:cs="Times New Roman"/>
          <w:color w:val="auto"/>
          <w:lang w:val="en-US" w:eastAsia="zh-CN"/>
        </w:rPr>
        <w:t>——收到基低位发热量，</w:t>
      </w:r>
      <w:r>
        <w:rPr>
          <w:rFonts w:hint="eastAsia" w:ascii="Times New Roman" w:hAnsi="Times New Roman" w:eastAsia="宋体" w:cs="Times New Roman"/>
          <w:color w:val="auto"/>
          <w:lang w:val="en-US" w:eastAsia="zh-CN"/>
        </w:rPr>
        <w:t>取</w:t>
      </w:r>
      <w:r>
        <w:rPr>
          <w:rFonts w:hint="default" w:ascii="Times New Roman" w:hAnsi="Times New Roman" w:eastAsia="宋体" w:cs="Times New Roman"/>
          <w:color w:val="auto"/>
          <w:lang w:val="en-US" w:eastAsia="zh-CN"/>
        </w:rPr>
        <w:t>值</w:t>
      </w:r>
      <w:r>
        <w:rPr>
          <w:rFonts w:hint="eastAsia" w:ascii="Times New Roman" w:hAnsi="Times New Roman" w:eastAsia="宋体" w:cs="Times New Roman"/>
          <w:color w:val="auto"/>
          <w:lang w:val="en-US" w:eastAsia="zh-CN"/>
        </w:rPr>
        <w:t>20510k</w:t>
      </w:r>
      <w:r>
        <w:rPr>
          <w:rFonts w:hint="default" w:ascii="Times New Roman" w:hAnsi="Times New Roman" w:eastAsia="宋体" w:cs="Times New Roman"/>
          <w:color w:val="auto"/>
          <w:lang w:val="en-US" w:eastAsia="zh-CN"/>
        </w:rPr>
        <w:t>J/kg。</w:t>
      </w:r>
    </w:p>
    <w:p w14:paraId="392D1106">
      <w:pPr>
        <w:keepNext w:val="0"/>
        <w:keepLines w:val="0"/>
        <w:pageBreakBefore w:val="0"/>
        <w:widowControl w:val="0"/>
        <w:kinsoku/>
        <w:wordWrap/>
        <w:overflowPunct/>
        <w:topLinePunct w:val="0"/>
        <w:autoSpaceDE/>
        <w:autoSpaceDN/>
        <w:bidi w:val="0"/>
        <w:adjustRightInd/>
        <w:snapToGrid w:val="0"/>
        <w:spacing w:line="500" w:lineRule="exact"/>
        <w:ind w:firstLine="1200" w:firstLineChars="5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d</w:t>
      </w:r>
      <w:r>
        <w:rPr>
          <w:rFonts w:hint="default" w:ascii="Times New Roman" w:hAnsi="Times New Roman" w:eastAsia="宋体" w:cs="Times New Roman"/>
          <w:color w:val="auto"/>
          <w:vertAlign w:val="subscript"/>
          <w:lang w:val="en-US" w:eastAsia="zh-CN"/>
        </w:rPr>
        <w:t>fh</w:t>
      </w:r>
      <w:r>
        <w:rPr>
          <w:rFonts w:hint="default" w:ascii="Times New Roman" w:hAnsi="Times New Roman" w:eastAsia="宋体" w:cs="Times New Roman"/>
          <w:color w:val="auto"/>
          <w:lang w:val="en-US" w:eastAsia="zh-CN"/>
        </w:rPr>
        <w:t>——锅炉烟气带出的飞灰份额，取值</w:t>
      </w:r>
      <w:r>
        <w:rPr>
          <w:rFonts w:hint="eastAsia" w:ascii="Times New Roman" w:hAnsi="Times New Roman" w:eastAsia="宋体" w:cs="Times New Roman"/>
          <w:color w:val="auto"/>
          <w:lang w:val="en-US" w:eastAsia="zh-CN"/>
        </w:rPr>
        <w:t>15%</w:t>
      </w:r>
      <w:r>
        <w:rPr>
          <w:rFonts w:hint="default" w:ascii="Times New Roman" w:hAnsi="Times New Roman" w:eastAsia="宋体" w:cs="Times New Roman"/>
          <w:color w:val="auto"/>
          <w:lang w:val="en-US" w:eastAsia="zh-CN"/>
        </w:rPr>
        <w:t>。</w:t>
      </w:r>
    </w:p>
    <w:p w14:paraId="2D1EC8C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经计算锅炉灰渣产生量为22575.962t/a。不在厂区内长期存储，在灰渣仓内暂存，外售综合利用。</w:t>
      </w:r>
    </w:p>
    <w:p w14:paraId="000B818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废布袋</w:t>
      </w:r>
    </w:p>
    <w:p w14:paraId="40ABA0A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w:t>
      </w:r>
      <w:r>
        <w:rPr>
          <w:rFonts w:hint="eastAsia" w:ascii="Times New Roman" w:hAnsi="Times New Roman" w:eastAsia="宋体" w:cs="Times New Roman"/>
          <w:color w:val="auto"/>
          <w:sz w:val="24"/>
          <w:szCs w:val="24"/>
          <w:highlight w:val="none"/>
          <w:lang w:val="en-US" w:eastAsia="zh-CN"/>
        </w:rPr>
        <w:t>建设单位</w:t>
      </w:r>
      <w:r>
        <w:rPr>
          <w:rFonts w:hint="default" w:ascii="Times New Roman" w:hAnsi="Times New Roman" w:eastAsia="宋体" w:cs="Times New Roman"/>
          <w:color w:val="auto"/>
          <w:sz w:val="24"/>
          <w:szCs w:val="24"/>
          <w:highlight w:val="none"/>
          <w:lang w:val="en-US" w:eastAsia="zh-CN"/>
        </w:rPr>
        <w:t>提供的资料可知，</w:t>
      </w:r>
      <w:r>
        <w:rPr>
          <w:rFonts w:hint="eastAsia" w:ascii="Times New Roman" w:hAnsi="Times New Roman" w:eastAsia="宋体" w:cs="Times New Roman"/>
          <w:color w:val="auto"/>
          <w:sz w:val="24"/>
          <w:szCs w:val="24"/>
          <w:highlight w:val="none"/>
          <w:lang w:val="en-US" w:eastAsia="zh-CN"/>
        </w:rPr>
        <w:t>锅炉布袋除尘器</w:t>
      </w:r>
      <w:r>
        <w:rPr>
          <w:rFonts w:hint="default" w:ascii="Times New Roman" w:hAnsi="Times New Roman" w:eastAsia="宋体" w:cs="Times New Roman"/>
          <w:color w:val="auto"/>
          <w:sz w:val="24"/>
          <w:szCs w:val="24"/>
          <w:highlight w:val="none"/>
          <w:lang w:val="en-US" w:eastAsia="zh-CN"/>
        </w:rPr>
        <w:t>中布袋</w:t>
      </w:r>
      <w:r>
        <w:rPr>
          <w:rFonts w:hint="eastAsia" w:ascii="Times New Roman" w:hAnsi="Times New Roman" w:eastAsia="宋体" w:cs="Times New Roman"/>
          <w:color w:val="auto"/>
          <w:sz w:val="24"/>
          <w:szCs w:val="24"/>
          <w:highlight w:val="none"/>
          <w:lang w:val="en-US" w:eastAsia="zh-CN"/>
        </w:rPr>
        <w:t>定期需要更换</w:t>
      </w:r>
      <w:r>
        <w:rPr>
          <w:rFonts w:hint="default" w:ascii="Times New Roman" w:hAnsi="Times New Roman" w:eastAsia="宋体" w:cs="Times New Roman"/>
          <w:color w:val="auto"/>
          <w:sz w:val="24"/>
          <w:szCs w:val="24"/>
          <w:highlight w:val="none"/>
          <w:lang w:val="en-US" w:eastAsia="zh-CN"/>
        </w:rPr>
        <w:t>，以取得更好的除尘效果，除尘器废布袋产生量约为</w:t>
      </w:r>
      <w:r>
        <w:rPr>
          <w:rFonts w:hint="eastAsia" w:ascii="Times New Roman" w:hAnsi="Times New Roman" w:eastAsia="宋体" w:cs="Times New Roman"/>
          <w:color w:val="auto"/>
          <w:sz w:val="24"/>
          <w:szCs w:val="24"/>
          <w:highlight w:val="none"/>
          <w:lang w:val="en-US" w:eastAsia="zh-CN"/>
        </w:rPr>
        <w:t>0.1</w:t>
      </w:r>
      <w:r>
        <w:rPr>
          <w:rFonts w:hint="default" w:ascii="Times New Roman" w:hAnsi="Times New Roman" w:eastAsia="宋体" w:cs="Times New Roman"/>
          <w:color w:val="auto"/>
          <w:sz w:val="24"/>
          <w:szCs w:val="24"/>
          <w:highlight w:val="none"/>
          <w:lang w:val="en-US" w:eastAsia="zh-CN"/>
        </w:rPr>
        <w:t>t/a，由设备厂家进厂定期检修时，更换回收、处置，不在厂区内堆存。</w:t>
      </w:r>
    </w:p>
    <w:p w14:paraId="6B5A33C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val="en-US" w:eastAsia="zh-CN"/>
        </w:rPr>
        <w:t>废脱硝催化剂</w:t>
      </w:r>
    </w:p>
    <w:p w14:paraId="6AB75CF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脱硝系统产生的废脱硝催化剂（寿命3年）主要成份有V</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O</w:t>
      </w:r>
      <w:r>
        <w:rPr>
          <w:rFonts w:hint="default" w:ascii="Times New Roman" w:hAnsi="Times New Roman" w:eastAsia="宋体" w:cs="Times New Roman"/>
          <w:color w:val="auto"/>
          <w:sz w:val="24"/>
          <w:szCs w:val="24"/>
          <w:highlight w:val="none"/>
          <w:vertAlign w:val="subscript"/>
          <w:lang w:val="en-US" w:eastAsia="zh-CN"/>
        </w:rPr>
        <w:t>5</w:t>
      </w:r>
      <w:r>
        <w:rPr>
          <w:rFonts w:hint="default" w:ascii="Times New Roman" w:hAnsi="Times New Roman" w:eastAsia="宋体" w:cs="Times New Roman"/>
          <w:color w:val="auto"/>
          <w:sz w:val="24"/>
          <w:szCs w:val="24"/>
          <w:highlight w:val="none"/>
          <w:lang w:val="en-US" w:eastAsia="zh-CN"/>
        </w:rPr>
        <w:t>、WO</w:t>
      </w:r>
      <w:r>
        <w:rPr>
          <w:rFonts w:hint="default" w:ascii="Times New Roman" w:hAnsi="Times New Roman" w:eastAsia="宋体" w:cs="Times New Roman"/>
          <w:color w:val="auto"/>
          <w:sz w:val="24"/>
          <w:szCs w:val="24"/>
          <w:highlight w:val="none"/>
          <w:vertAlign w:val="subscript"/>
          <w:lang w:val="en-US" w:eastAsia="zh-CN"/>
        </w:rPr>
        <w:t>3</w:t>
      </w:r>
      <w:r>
        <w:rPr>
          <w:rFonts w:hint="default" w:ascii="Times New Roman" w:hAnsi="Times New Roman" w:eastAsia="宋体" w:cs="Times New Roman"/>
          <w:color w:val="auto"/>
          <w:sz w:val="24"/>
          <w:szCs w:val="24"/>
          <w:highlight w:val="none"/>
          <w:lang w:val="en-US" w:eastAsia="zh-CN"/>
        </w:rPr>
        <w:t>和TiO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，根据</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国家危险废物名录》（202</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年版），本项目废催化剂产生量为20m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/3a，废脱硝催化剂属于危险废物（HW50废催化剂中的772-007-50烟气脱硝过程中产生的废钒钛系催化剂），厂家定期更换，不在厂区暂存。</w:t>
      </w:r>
    </w:p>
    <w:p w14:paraId="3F5D94A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脱硫副产物</w:t>
      </w:r>
      <w:r>
        <w:rPr>
          <w:rFonts w:hint="eastAsia" w:ascii="Times New Roman" w:hAnsi="Times New Roman" w:eastAsia="宋体" w:cs="Times New Roman"/>
          <w:color w:val="auto"/>
          <w:sz w:val="24"/>
          <w:szCs w:val="24"/>
          <w:highlight w:val="none"/>
          <w:lang w:val="en-US" w:eastAsia="zh-CN"/>
        </w:rPr>
        <w:t>（硫酸镁）</w:t>
      </w:r>
    </w:p>
    <w:p w14:paraId="7D2E273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本项目锅炉烟气采用</w:t>
      </w:r>
      <w:r>
        <w:rPr>
          <w:rFonts w:hint="eastAsia" w:ascii="Times New Roman" w:hAnsi="Times New Roman" w:eastAsia="宋体" w:cs="Times New Roman"/>
          <w:color w:val="auto"/>
          <w:sz w:val="24"/>
          <w:szCs w:val="24"/>
          <w:highlight w:val="none"/>
          <w:lang w:val="en-US" w:eastAsia="zh-CN"/>
        </w:rPr>
        <w:t>氧化镁</w:t>
      </w:r>
      <w:r>
        <w:rPr>
          <w:rFonts w:hint="default" w:ascii="Times New Roman" w:hAnsi="Times New Roman" w:eastAsia="宋体" w:cs="Times New Roman"/>
          <w:color w:val="auto"/>
          <w:sz w:val="24"/>
          <w:szCs w:val="24"/>
          <w:highlight w:val="none"/>
          <w:lang w:val="en-US" w:eastAsia="zh-CN"/>
        </w:rPr>
        <w:t>法脱硫工艺。脱硫副产物根据《污染源源强核算技术指南 锅炉》（HJ991-2018）中 8.1.2物料衡算法进行计算确定，计算公式如下：</w:t>
      </w:r>
    </w:p>
    <w:p w14:paraId="7EB977AA">
      <w:pPr>
        <w:snapToGrid w:val="0"/>
        <w:spacing w:line="240" w:lineRule="auto"/>
        <w:ind w:firstLine="480" w:firstLineChars="200"/>
        <w:jc w:val="center"/>
        <w:rPr>
          <w:rFonts w:hint="default" w:ascii="Times New Roman" w:hAnsi="Times New Roman" w:eastAsia="宋体" w:cs="Times New Roman"/>
          <w:color w:val="auto"/>
          <w:sz w:val="24"/>
          <w:szCs w:val="24"/>
          <w:highlight w:val="none"/>
          <w:lang w:val="en-US" w:eastAsia="zh-CN"/>
        </w:rPr>
      </w:pPr>
      <w:r>
        <w:rPr>
          <w:color w:val="auto"/>
        </w:rPr>
        <w:drawing>
          <wp:inline distT="0" distB="0" distL="114300" distR="114300">
            <wp:extent cx="1800225" cy="714375"/>
            <wp:effectExtent l="0" t="0" r="3175" b="9525"/>
            <wp:docPr id="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6"/>
                    <pic:cNvPicPr>
                      <a:picLocks noChangeAspect="1"/>
                    </pic:cNvPicPr>
                  </pic:nvPicPr>
                  <pic:blipFill>
                    <a:blip r:embed="rId69"/>
                    <a:stretch>
                      <a:fillRect/>
                    </a:stretch>
                  </pic:blipFill>
                  <pic:spPr>
                    <a:xfrm>
                      <a:off x="0" y="0"/>
                      <a:ext cx="1800225" cy="714375"/>
                    </a:xfrm>
                    <a:prstGeom prst="rect">
                      <a:avLst/>
                    </a:prstGeom>
                    <a:noFill/>
                    <a:ln>
                      <a:noFill/>
                    </a:ln>
                  </pic:spPr>
                </pic:pic>
              </a:graphicData>
            </a:graphic>
          </wp:inline>
        </w:drawing>
      </w:r>
    </w:p>
    <w:p w14:paraId="30993CE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式中：E——核算时段内脱硫副产物产生量，t；</w:t>
      </w:r>
    </w:p>
    <w:p w14:paraId="1673C221">
      <w:pPr>
        <w:pStyle w:val="165"/>
        <w:keepNext w:val="0"/>
        <w:keepLines w:val="0"/>
        <w:pageBreakBefore w:val="0"/>
        <w:widowControl w:val="0"/>
        <w:kinsoku/>
        <w:wordWrap/>
        <w:overflowPunct/>
        <w:topLinePunct w:val="0"/>
        <w:autoSpaceDE/>
        <w:autoSpaceDN/>
        <w:bidi w:val="0"/>
        <w:adjustRightInd w:val="0"/>
        <w:snapToGrid w:val="0"/>
        <w:spacing w:line="500" w:lineRule="exact"/>
        <w:ind w:firstLine="1200" w:firstLineChars="5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bscript"/>
          <w:lang w:val="en-US" w:eastAsia="zh-CN"/>
        </w:rPr>
        <w:t>F</w:t>
      </w:r>
      <w:r>
        <w:rPr>
          <w:rFonts w:hint="default" w:ascii="Times New Roman" w:hAnsi="Times New Roman" w:eastAsia="宋体" w:cs="Times New Roman"/>
          <w:color w:val="auto"/>
          <w:sz w:val="24"/>
          <w:szCs w:val="24"/>
          <w:highlight w:val="none"/>
          <w:lang w:val="en-US" w:eastAsia="zh-CN"/>
        </w:rPr>
        <w:t>——脱硫副产物摩尔质量；本项目脱硫副产物</w:t>
      </w:r>
      <w:r>
        <w:rPr>
          <w:rFonts w:hint="eastAsia" w:ascii="Times New Roman" w:hAnsi="Times New Roman" w:eastAsia="宋体" w:cs="Times New Roman"/>
          <w:color w:val="auto"/>
          <w:sz w:val="24"/>
          <w:szCs w:val="24"/>
          <w:highlight w:val="none"/>
          <w:lang w:val="en-US" w:eastAsia="zh-CN"/>
        </w:rPr>
        <w:t>为硫酸镁，</w:t>
      </w:r>
      <w:r>
        <w:rPr>
          <w:rFonts w:hint="default" w:ascii="Times New Roman" w:hAnsi="Times New Roman" w:eastAsia="宋体" w:cs="Times New Roman"/>
          <w:color w:val="auto"/>
          <w:sz w:val="24"/>
          <w:szCs w:val="24"/>
          <w:highlight w:val="none"/>
          <w:lang w:val="en-US" w:eastAsia="zh-CN"/>
        </w:rPr>
        <w:t>摩尔质量</w:t>
      </w:r>
      <w:r>
        <w:rPr>
          <w:rFonts w:hint="eastAsia" w:ascii="Times New Roman" w:hAnsi="Times New Roman" w:eastAsia="宋体" w:cs="Times New Roman"/>
          <w:color w:val="auto"/>
          <w:sz w:val="24"/>
          <w:szCs w:val="24"/>
          <w:highlight w:val="none"/>
          <w:lang w:val="en-US" w:eastAsia="zh-CN"/>
        </w:rPr>
        <w:t>取120</w:t>
      </w:r>
      <w:r>
        <w:rPr>
          <w:rFonts w:hint="default" w:ascii="Times New Roman" w:hAnsi="Times New Roman" w:eastAsia="宋体" w:cs="Times New Roman"/>
          <w:color w:val="auto"/>
          <w:sz w:val="24"/>
          <w:szCs w:val="24"/>
          <w:highlight w:val="none"/>
          <w:lang w:val="en-US" w:eastAsia="zh-CN"/>
        </w:rPr>
        <w:t>；</w:t>
      </w:r>
    </w:p>
    <w:p w14:paraId="724FF4DD">
      <w:pPr>
        <w:pStyle w:val="165"/>
        <w:keepNext w:val="0"/>
        <w:keepLines w:val="0"/>
        <w:pageBreakBefore w:val="0"/>
        <w:widowControl w:val="0"/>
        <w:kinsoku/>
        <w:wordWrap/>
        <w:overflowPunct/>
        <w:topLinePunct w:val="0"/>
        <w:autoSpaceDE/>
        <w:autoSpaceDN/>
        <w:bidi w:val="0"/>
        <w:adjustRightInd w:val="0"/>
        <w:snapToGrid w:val="0"/>
        <w:spacing w:line="500" w:lineRule="exact"/>
        <w:ind w:firstLine="1200" w:firstLineChars="5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E</w:t>
      </w:r>
      <w:r>
        <w:rPr>
          <w:rFonts w:hint="default" w:ascii="Times New Roman" w:hAnsi="Times New Roman" w:eastAsia="宋体" w:cs="Times New Roman"/>
          <w:color w:val="auto"/>
          <w:sz w:val="24"/>
          <w:szCs w:val="24"/>
          <w:highlight w:val="none"/>
          <w:vertAlign w:val="subscript"/>
          <w:lang w:val="en-US" w:eastAsia="zh-CN"/>
        </w:rPr>
        <w:t>S</w:t>
      </w:r>
      <w:r>
        <w:rPr>
          <w:rFonts w:hint="default" w:ascii="Times New Roman" w:hAnsi="Times New Roman" w:eastAsia="宋体" w:cs="Times New Roman"/>
          <w:color w:val="auto"/>
          <w:sz w:val="24"/>
          <w:szCs w:val="24"/>
          <w:highlight w:val="none"/>
          <w:lang w:val="en-US" w:eastAsia="zh-CN"/>
        </w:rPr>
        <w:t>——核算时段内二氧化硫脱除量，t</w:t>
      </w:r>
      <w:r>
        <w:rPr>
          <w:rFonts w:hint="eastAsia" w:ascii="Times New Roman" w:hAnsi="Times New Roman" w:eastAsia="宋体" w:cs="Times New Roman"/>
          <w:color w:val="auto"/>
          <w:sz w:val="24"/>
          <w:szCs w:val="24"/>
          <w:highlight w:val="none"/>
          <w:lang w:val="en-US" w:eastAsia="zh-CN"/>
        </w:rPr>
        <w:t>，取102.495</w:t>
      </w:r>
      <w:r>
        <w:rPr>
          <w:rFonts w:hint="default" w:ascii="Times New Roman" w:hAnsi="Times New Roman" w:eastAsia="宋体" w:cs="Times New Roman"/>
          <w:color w:val="auto"/>
          <w:sz w:val="24"/>
          <w:szCs w:val="24"/>
          <w:highlight w:val="none"/>
          <w:lang w:val="en-US" w:eastAsia="zh-CN"/>
        </w:rPr>
        <w:t>；</w:t>
      </w:r>
    </w:p>
    <w:p w14:paraId="3B178841">
      <w:pPr>
        <w:pStyle w:val="165"/>
        <w:keepNext w:val="0"/>
        <w:keepLines w:val="0"/>
        <w:pageBreakBefore w:val="0"/>
        <w:widowControl w:val="0"/>
        <w:kinsoku/>
        <w:wordWrap/>
        <w:overflowPunct/>
        <w:topLinePunct w:val="0"/>
        <w:autoSpaceDE/>
        <w:autoSpaceDN/>
        <w:bidi w:val="0"/>
        <w:adjustRightInd w:val="0"/>
        <w:snapToGrid w:val="0"/>
        <w:spacing w:line="500" w:lineRule="exact"/>
        <w:ind w:firstLine="1200" w:firstLineChars="5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64——二氧化硫摩尔质量；</w:t>
      </w:r>
    </w:p>
    <w:p w14:paraId="6116D09D">
      <w:pPr>
        <w:pStyle w:val="165"/>
        <w:keepNext w:val="0"/>
        <w:keepLines w:val="0"/>
        <w:pageBreakBefore w:val="0"/>
        <w:widowControl w:val="0"/>
        <w:kinsoku/>
        <w:wordWrap/>
        <w:overflowPunct/>
        <w:topLinePunct w:val="0"/>
        <w:autoSpaceDE/>
        <w:autoSpaceDN/>
        <w:bidi w:val="0"/>
        <w:adjustRightInd w:val="0"/>
        <w:snapToGrid w:val="0"/>
        <w:spacing w:line="500" w:lineRule="exact"/>
        <w:ind w:firstLine="1200" w:firstLineChars="5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C</w:t>
      </w:r>
      <w:r>
        <w:rPr>
          <w:rFonts w:hint="default" w:ascii="Times New Roman" w:hAnsi="Times New Roman" w:eastAsia="宋体" w:cs="Times New Roman"/>
          <w:color w:val="auto"/>
          <w:sz w:val="24"/>
          <w:szCs w:val="24"/>
          <w:highlight w:val="none"/>
          <w:vertAlign w:val="subscript"/>
          <w:lang w:val="en-US" w:eastAsia="zh-CN"/>
        </w:rPr>
        <w:t>s</w:t>
      </w:r>
      <w:r>
        <w:rPr>
          <w:rFonts w:hint="default" w:ascii="Times New Roman" w:hAnsi="Times New Roman" w:eastAsia="宋体" w:cs="Times New Roman"/>
          <w:color w:val="auto"/>
          <w:sz w:val="24"/>
          <w:szCs w:val="24"/>
          <w:highlight w:val="none"/>
          <w:lang w:val="en-US" w:eastAsia="zh-CN"/>
        </w:rPr>
        <w:t>——脱硫副产物含水率，%，脱硫副产物为</w:t>
      </w:r>
      <w:r>
        <w:rPr>
          <w:rFonts w:hint="eastAsia" w:ascii="Times New Roman" w:hAnsi="Times New Roman" w:eastAsia="宋体" w:cs="Times New Roman"/>
          <w:color w:val="auto"/>
          <w:sz w:val="24"/>
          <w:szCs w:val="24"/>
          <w:highlight w:val="none"/>
          <w:lang w:val="en-US" w:eastAsia="zh-CN"/>
        </w:rPr>
        <w:t>硫酸镁</w:t>
      </w:r>
      <w:r>
        <w:rPr>
          <w:rFonts w:hint="default" w:ascii="Times New Roman" w:hAnsi="Times New Roman" w:eastAsia="宋体" w:cs="Times New Roman"/>
          <w:color w:val="auto"/>
          <w:sz w:val="24"/>
          <w:szCs w:val="24"/>
          <w:highlight w:val="none"/>
          <w:lang w:val="en-US" w:eastAsia="zh-CN"/>
        </w:rPr>
        <w:t>时含水率一般≤10%，取10；</w:t>
      </w:r>
    </w:p>
    <w:p w14:paraId="29FDCEA0">
      <w:pPr>
        <w:pStyle w:val="165"/>
        <w:keepNext w:val="0"/>
        <w:keepLines w:val="0"/>
        <w:pageBreakBefore w:val="0"/>
        <w:widowControl w:val="0"/>
        <w:kinsoku/>
        <w:wordWrap/>
        <w:overflowPunct/>
        <w:topLinePunct w:val="0"/>
        <w:autoSpaceDE/>
        <w:autoSpaceDN/>
        <w:bidi w:val="0"/>
        <w:adjustRightInd w:val="0"/>
        <w:snapToGrid w:val="0"/>
        <w:spacing w:line="500" w:lineRule="exact"/>
        <w:ind w:firstLine="1200" w:firstLineChars="5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C</w:t>
      </w:r>
      <w:r>
        <w:rPr>
          <w:rFonts w:hint="default" w:ascii="Times New Roman" w:hAnsi="Times New Roman" w:eastAsia="宋体" w:cs="Times New Roman"/>
          <w:color w:val="auto"/>
          <w:sz w:val="24"/>
          <w:szCs w:val="24"/>
          <w:highlight w:val="none"/>
          <w:vertAlign w:val="subscript"/>
          <w:lang w:val="en-US" w:eastAsia="zh-CN"/>
        </w:rPr>
        <w:t>g</w:t>
      </w:r>
      <w:r>
        <w:rPr>
          <w:rFonts w:hint="default" w:ascii="Times New Roman" w:hAnsi="Times New Roman" w:eastAsia="宋体" w:cs="Times New Roman"/>
          <w:color w:val="auto"/>
          <w:sz w:val="24"/>
          <w:szCs w:val="24"/>
          <w:highlight w:val="none"/>
          <w:lang w:val="en-US" w:eastAsia="zh-CN"/>
        </w:rPr>
        <w:t>——脱硫副产物纯度，%，脱硫副产物为</w:t>
      </w:r>
      <w:r>
        <w:rPr>
          <w:rFonts w:hint="eastAsia" w:ascii="Times New Roman" w:hAnsi="Times New Roman" w:eastAsia="宋体" w:cs="Times New Roman"/>
          <w:color w:val="auto"/>
          <w:sz w:val="24"/>
          <w:szCs w:val="24"/>
          <w:highlight w:val="none"/>
          <w:lang w:val="en-US" w:eastAsia="zh-CN"/>
        </w:rPr>
        <w:t>硫酸镁</w:t>
      </w:r>
      <w:r>
        <w:rPr>
          <w:rFonts w:hint="default" w:ascii="Times New Roman" w:hAnsi="Times New Roman" w:eastAsia="宋体" w:cs="Times New Roman"/>
          <w:color w:val="auto"/>
          <w:sz w:val="24"/>
          <w:szCs w:val="24"/>
          <w:highlight w:val="none"/>
          <w:lang w:val="en-US" w:eastAsia="zh-CN"/>
        </w:rPr>
        <w:t>时纯度一般≥90%，取90；</w:t>
      </w:r>
    </w:p>
    <w:p w14:paraId="79B8EAC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经计算，本项目脱硫副产物产生量为237.257t/a。</w:t>
      </w:r>
    </w:p>
    <w:p w14:paraId="7297FB9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脱硫副产物为一般固废，不在厂区内长期存储，外售综合利用。</w:t>
      </w:r>
    </w:p>
    <w:p w14:paraId="714A758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5.废离子交换树脂</w:t>
      </w:r>
    </w:p>
    <w:p w14:paraId="291DB34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化学水处理过程中会产生废离子交换树脂，由更换厂家更换时带走回收利用，不在厂区内贮存，废离子交换树脂产生量为1t/a，不属于《国家危险废物名录》（2025年版）提到的危险废物，废离子交换树脂不在厂区贮存，交由更换厂家回收处理。</w:t>
      </w:r>
    </w:p>
    <w:p w14:paraId="6DF12C9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6.初期雨水收集池沉渣</w:t>
      </w:r>
    </w:p>
    <w:p w14:paraId="13A77CA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厂区除渣水、初期雨水裹挟沉渣排入初期雨水收集池，产生量为0.1t/a，沉渣定期清掏作为燃料入炉燃烧。</w:t>
      </w:r>
    </w:p>
    <w:p w14:paraId="7984981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7.生活垃圾</w:t>
      </w:r>
    </w:p>
    <w:p w14:paraId="32B43AB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本期工程不新增员工，不新增生活垃圾。</w:t>
      </w:r>
    </w:p>
    <w:p w14:paraId="3798AEA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8.废矿物油</w:t>
      </w:r>
    </w:p>
    <w:p w14:paraId="0436718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设备检修时会产生约0.2t/a的废矿物油，根据《国家危险废物名录（2025年版）》可知，属于危险废物（HW08废矿物油与含矿物油废物中900-214-08车辆、轮船及其它机械维修过程中产生的废发动机油、制动器油、自动变速器油、齿轮油等废润滑油），产生后暂存于危险废物贮存点，定期交由有资质单位处置。</w:t>
      </w:r>
    </w:p>
    <w:p w14:paraId="5DDACB5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090D072A">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684A71A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表4.</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eastAsia="zh-CN"/>
        </w:rPr>
        <w:t>-</w:t>
      </w:r>
      <w:r>
        <w:rPr>
          <w:rFonts w:hint="eastAsia" w:ascii="Times New Roman" w:hAnsi="Times New Roman" w:eastAsia="宋体" w:cs="Times New Roman"/>
          <w:b/>
          <w:bCs/>
          <w:color w:val="auto"/>
          <w:sz w:val="24"/>
          <w:szCs w:val="24"/>
          <w:lang w:eastAsia="zh-CN"/>
        </w:rPr>
        <w:t>6</w:t>
      </w:r>
      <w:r>
        <w:rPr>
          <w:rFonts w:hint="default" w:ascii="Times New Roman" w:hAnsi="Times New Roman" w:eastAsia="宋体" w:cs="Times New Roman"/>
          <w:b/>
          <w:bCs/>
          <w:color w:val="auto"/>
          <w:sz w:val="24"/>
          <w:szCs w:val="24"/>
          <w:lang w:eastAsia="zh-CN"/>
        </w:rPr>
        <w:t xml:space="preserve">  本项目固体废物污染物源强一览表</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56"/>
        <w:gridCol w:w="502"/>
        <w:gridCol w:w="572"/>
        <w:gridCol w:w="760"/>
        <w:gridCol w:w="1276"/>
        <w:gridCol w:w="912"/>
        <w:gridCol w:w="1109"/>
        <w:gridCol w:w="1518"/>
        <w:gridCol w:w="1111"/>
        <w:gridCol w:w="666"/>
      </w:tblGrid>
      <w:tr w14:paraId="061BFC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9" w:hRule="atLeast"/>
          <w:jc w:val="center"/>
        </w:trPr>
        <w:tc>
          <w:tcPr>
            <w:tcW w:w="461" w:type="pct"/>
            <w:vMerge w:val="restart"/>
            <w:tcBorders>
              <w:tl2br w:val="nil"/>
              <w:tr2bl w:val="nil"/>
            </w:tcBorders>
            <w:shd w:val="clear" w:color="auto" w:fill="FFFFFF"/>
            <w:vAlign w:val="center"/>
          </w:tcPr>
          <w:p w14:paraId="3E8A3B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类型</w:t>
            </w:r>
          </w:p>
        </w:tc>
        <w:tc>
          <w:tcPr>
            <w:tcW w:w="270" w:type="pct"/>
            <w:vMerge w:val="restart"/>
            <w:tcBorders>
              <w:tl2br w:val="nil"/>
              <w:tr2bl w:val="nil"/>
            </w:tcBorders>
            <w:shd w:val="clear" w:color="auto" w:fill="FFFFFF"/>
            <w:vAlign w:val="center"/>
          </w:tcPr>
          <w:p w14:paraId="5C549A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装置</w:t>
            </w:r>
          </w:p>
        </w:tc>
        <w:tc>
          <w:tcPr>
            <w:tcW w:w="308" w:type="pct"/>
            <w:vMerge w:val="restart"/>
            <w:tcBorders>
              <w:tl2br w:val="nil"/>
              <w:tr2bl w:val="nil"/>
            </w:tcBorders>
            <w:shd w:val="clear" w:color="auto" w:fill="FFFFFF"/>
            <w:vAlign w:val="center"/>
          </w:tcPr>
          <w:p w14:paraId="4E67B2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名称</w:t>
            </w:r>
          </w:p>
        </w:tc>
        <w:tc>
          <w:tcPr>
            <w:tcW w:w="409" w:type="pct"/>
            <w:vMerge w:val="restart"/>
            <w:tcBorders>
              <w:tl2br w:val="nil"/>
              <w:tr2bl w:val="nil"/>
            </w:tcBorders>
            <w:shd w:val="clear" w:color="auto" w:fill="FFFFFF"/>
            <w:vAlign w:val="center"/>
          </w:tcPr>
          <w:p w14:paraId="04D692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固体废物属性</w:t>
            </w:r>
          </w:p>
        </w:tc>
        <w:tc>
          <w:tcPr>
            <w:tcW w:w="687" w:type="pct"/>
            <w:vMerge w:val="restart"/>
            <w:tcBorders>
              <w:tl2br w:val="nil"/>
              <w:tr2bl w:val="nil"/>
            </w:tcBorders>
            <w:shd w:val="clear" w:color="auto" w:fill="FFFFFF"/>
            <w:vAlign w:val="center"/>
          </w:tcPr>
          <w:p w14:paraId="09C61E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类别代码</w:t>
            </w:r>
          </w:p>
        </w:tc>
        <w:tc>
          <w:tcPr>
            <w:tcW w:w="1088" w:type="pct"/>
            <w:gridSpan w:val="2"/>
            <w:tcBorders>
              <w:tl2br w:val="nil"/>
              <w:tr2bl w:val="nil"/>
            </w:tcBorders>
            <w:shd w:val="clear" w:color="auto" w:fill="FFFFFF"/>
            <w:vAlign w:val="center"/>
          </w:tcPr>
          <w:p w14:paraId="67A191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产生情况</w:t>
            </w:r>
          </w:p>
        </w:tc>
        <w:tc>
          <w:tcPr>
            <w:tcW w:w="1415" w:type="pct"/>
            <w:gridSpan w:val="2"/>
            <w:tcBorders>
              <w:tl2br w:val="nil"/>
              <w:tr2bl w:val="nil"/>
            </w:tcBorders>
            <w:shd w:val="clear" w:color="auto" w:fill="FFFFFF"/>
            <w:vAlign w:val="center"/>
          </w:tcPr>
          <w:p w14:paraId="40E47A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处置措施</w:t>
            </w:r>
          </w:p>
        </w:tc>
        <w:tc>
          <w:tcPr>
            <w:tcW w:w="358" w:type="pct"/>
            <w:vMerge w:val="restart"/>
            <w:tcBorders>
              <w:tl2br w:val="nil"/>
              <w:tr2bl w:val="nil"/>
            </w:tcBorders>
            <w:shd w:val="clear" w:color="auto" w:fill="FFFFFF"/>
            <w:vAlign w:val="center"/>
          </w:tcPr>
          <w:p w14:paraId="5F7970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处理排放去向</w:t>
            </w:r>
          </w:p>
        </w:tc>
      </w:tr>
      <w:tr w14:paraId="34C8A8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6" w:hRule="atLeast"/>
          <w:jc w:val="center"/>
        </w:trPr>
        <w:tc>
          <w:tcPr>
            <w:tcW w:w="461" w:type="pct"/>
            <w:vMerge w:val="continue"/>
            <w:tcBorders>
              <w:tl2br w:val="nil"/>
              <w:tr2bl w:val="nil"/>
            </w:tcBorders>
            <w:shd w:val="clear" w:color="auto" w:fill="FFFFFF"/>
            <w:vAlign w:val="center"/>
          </w:tcPr>
          <w:p w14:paraId="191AB1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270" w:type="pct"/>
            <w:vMerge w:val="continue"/>
            <w:tcBorders>
              <w:tl2br w:val="nil"/>
              <w:tr2bl w:val="nil"/>
            </w:tcBorders>
            <w:shd w:val="clear" w:color="auto" w:fill="FFFFFF"/>
            <w:vAlign w:val="center"/>
          </w:tcPr>
          <w:p w14:paraId="4BBE91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08" w:type="pct"/>
            <w:vMerge w:val="continue"/>
            <w:tcBorders>
              <w:tl2br w:val="nil"/>
              <w:tr2bl w:val="nil"/>
            </w:tcBorders>
            <w:shd w:val="clear" w:color="auto" w:fill="FFFFFF"/>
            <w:vAlign w:val="center"/>
          </w:tcPr>
          <w:p w14:paraId="7FFBC6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09" w:type="pct"/>
            <w:vMerge w:val="continue"/>
            <w:tcBorders>
              <w:tl2br w:val="nil"/>
              <w:tr2bl w:val="nil"/>
            </w:tcBorders>
            <w:shd w:val="clear" w:color="auto" w:fill="FFFFFF"/>
            <w:vAlign w:val="center"/>
          </w:tcPr>
          <w:p w14:paraId="28EC45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687" w:type="pct"/>
            <w:vMerge w:val="continue"/>
            <w:tcBorders>
              <w:tl2br w:val="nil"/>
              <w:tr2bl w:val="nil"/>
            </w:tcBorders>
            <w:shd w:val="clear" w:color="auto" w:fill="FFFFFF"/>
            <w:vAlign w:val="center"/>
          </w:tcPr>
          <w:p w14:paraId="795071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91" w:type="pct"/>
            <w:tcBorders>
              <w:tl2br w:val="nil"/>
              <w:tr2bl w:val="nil"/>
            </w:tcBorders>
            <w:shd w:val="clear" w:color="auto" w:fill="FFFFFF"/>
            <w:vAlign w:val="center"/>
          </w:tcPr>
          <w:p w14:paraId="4652AC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核算</w:t>
            </w:r>
          </w:p>
          <w:p w14:paraId="48769C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方法</w:t>
            </w:r>
          </w:p>
        </w:tc>
        <w:tc>
          <w:tcPr>
            <w:tcW w:w="597" w:type="pct"/>
            <w:tcBorders>
              <w:tl2br w:val="nil"/>
              <w:tr2bl w:val="nil"/>
            </w:tcBorders>
            <w:shd w:val="clear" w:color="auto" w:fill="FFFFFF"/>
            <w:vAlign w:val="center"/>
          </w:tcPr>
          <w:p w14:paraId="2729B7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产生量（t/a）</w:t>
            </w:r>
          </w:p>
        </w:tc>
        <w:tc>
          <w:tcPr>
            <w:tcW w:w="817" w:type="pct"/>
            <w:tcBorders>
              <w:tl2br w:val="nil"/>
              <w:tr2bl w:val="nil"/>
            </w:tcBorders>
            <w:shd w:val="clear" w:color="auto" w:fill="FFFFFF"/>
            <w:vAlign w:val="center"/>
          </w:tcPr>
          <w:p w14:paraId="1206E2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处置方式</w:t>
            </w:r>
          </w:p>
        </w:tc>
        <w:tc>
          <w:tcPr>
            <w:tcW w:w="598" w:type="pct"/>
            <w:tcBorders>
              <w:tl2br w:val="nil"/>
              <w:tr2bl w:val="nil"/>
            </w:tcBorders>
            <w:shd w:val="clear" w:color="auto" w:fill="FFFFFF"/>
            <w:vAlign w:val="center"/>
          </w:tcPr>
          <w:p w14:paraId="555837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处置量（t/a）</w:t>
            </w:r>
          </w:p>
        </w:tc>
        <w:tc>
          <w:tcPr>
            <w:tcW w:w="358" w:type="pct"/>
            <w:vMerge w:val="continue"/>
            <w:tcBorders>
              <w:tl2br w:val="nil"/>
              <w:tr2bl w:val="nil"/>
            </w:tcBorders>
            <w:shd w:val="clear" w:color="auto" w:fill="FFFFFF"/>
            <w:vAlign w:val="center"/>
          </w:tcPr>
          <w:p w14:paraId="28DB70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06EF8C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6" w:hRule="atLeast"/>
          <w:jc w:val="center"/>
        </w:trPr>
        <w:tc>
          <w:tcPr>
            <w:tcW w:w="461" w:type="pct"/>
            <w:vMerge w:val="restart"/>
            <w:tcBorders>
              <w:tl2br w:val="nil"/>
              <w:tr2bl w:val="nil"/>
            </w:tcBorders>
            <w:shd w:val="clear" w:color="auto" w:fill="FFFFFF"/>
            <w:vAlign w:val="center"/>
          </w:tcPr>
          <w:p w14:paraId="7C2946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2台42MW燃煤热水锅炉</w:t>
            </w:r>
          </w:p>
        </w:tc>
        <w:tc>
          <w:tcPr>
            <w:tcW w:w="270" w:type="pct"/>
            <w:vMerge w:val="restart"/>
            <w:tcBorders>
              <w:tl2br w:val="nil"/>
              <w:tr2bl w:val="nil"/>
            </w:tcBorders>
            <w:shd w:val="clear" w:color="auto" w:fill="FFFFFF"/>
            <w:vAlign w:val="center"/>
          </w:tcPr>
          <w:p w14:paraId="7C2C89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锅炉</w:t>
            </w:r>
          </w:p>
        </w:tc>
        <w:tc>
          <w:tcPr>
            <w:tcW w:w="308" w:type="pct"/>
            <w:tcBorders>
              <w:tl2br w:val="nil"/>
              <w:tr2bl w:val="nil"/>
            </w:tcBorders>
            <w:shd w:val="clear" w:color="auto" w:fill="FFFFFF"/>
            <w:vAlign w:val="center"/>
          </w:tcPr>
          <w:p w14:paraId="04C950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灰渣</w:t>
            </w:r>
          </w:p>
        </w:tc>
        <w:tc>
          <w:tcPr>
            <w:tcW w:w="409" w:type="pct"/>
            <w:tcBorders>
              <w:tl2br w:val="nil"/>
              <w:tr2bl w:val="nil"/>
            </w:tcBorders>
            <w:shd w:val="clear" w:color="auto" w:fill="FFFFFF"/>
            <w:vAlign w:val="center"/>
          </w:tcPr>
          <w:p w14:paraId="12EAD3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一般固体废物</w:t>
            </w:r>
          </w:p>
        </w:tc>
        <w:tc>
          <w:tcPr>
            <w:tcW w:w="687" w:type="pct"/>
            <w:tcBorders>
              <w:tl2br w:val="nil"/>
              <w:tr2bl w:val="nil"/>
            </w:tcBorders>
            <w:shd w:val="clear" w:color="auto" w:fill="FFFFFF"/>
            <w:vAlign w:val="center"/>
          </w:tcPr>
          <w:p w14:paraId="278646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SW03</w:t>
            </w:r>
          </w:p>
          <w:p w14:paraId="330566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900-001-03</w:t>
            </w:r>
          </w:p>
        </w:tc>
        <w:tc>
          <w:tcPr>
            <w:tcW w:w="491" w:type="pct"/>
            <w:tcBorders>
              <w:tl2br w:val="nil"/>
              <w:tr2bl w:val="nil"/>
            </w:tcBorders>
            <w:shd w:val="clear" w:color="auto" w:fill="FFFFFF"/>
            <w:vAlign w:val="center"/>
          </w:tcPr>
          <w:p w14:paraId="7CF3CB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物料衡算法</w:t>
            </w:r>
          </w:p>
        </w:tc>
        <w:tc>
          <w:tcPr>
            <w:tcW w:w="597" w:type="pct"/>
            <w:tcBorders>
              <w:tl2br w:val="nil"/>
              <w:tr2bl w:val="nil"/>
            </w:tcBorders>
            <w:shd w:val="clear" w:color="auto" w:fill="FFFFFF"/>
            <w:vAlign w:val="center"/>
          </w:tcPr>
          <w:p w14:paraId="0B5517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22575.962</w:t>
            </w:r>
          </w:p>
        </w:tc>
        <w:tc>
          <w:tcPr>
            <w:tcW w:w="817" w:type="pct"/>
            <w:tcBorders>
              <w:tl2br w:val="nil"/>
              <w:tr2bl w:val="nil"/>
            </w:tcBorders>
            <w:shd w:val="clear" w:color="auto" w:fill="FFFFFF"/>
            <w:vAlign w:val="center"/>
          </w:tcPr>
          <w:p w14:paraId="0CC7E9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不在厂区内长期存储，随产随运，仅少量在灰渣仓内暂存，外售综合利用</w:t>
            </w:r>
          </w:p>
        </w:tc>
        <w:tc>
          <w:tcPr>
            <w:tcW w:w="598" w:type="pct"/>
            <w:tcBorders>
              <w:tl2br w:val="nil"/>
              <w:tr2bl w:val="nil"/>
            </w:tcBorders>
            <w:shd w:val="clear" w:color="auto" w:fill="FFFFFF"/>
            <w:vAlign w:val="center"/>
          </w:tcPr>
          <w:p w14:paraId="1CEF12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22575.962</w:t>
            </w:r>
          </w:p>
        </w:tc>
        <w:tc>
          <w:tcPr>
            <w:tcW w:w="358" w:type="pct"/>
            <w:vMerge w:val="restart"/>
            <w:tcBorders>
              <w:tl2br w:val="nil"/>
              <w:tr2bl w:val="nil"/>
            </w:tcBorders>
            <w:shd w:val="clear" w:color="auto" w:fill="FFFFFF"/>
            <w:vAlign w:val="center"/>
          </w:tcPr>
          <w:p w14:paraId="33669F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外售综合利用</w:t>
            </w:r>
          </w:p>
        </w:tc>
      </w:tr>
      <w:tr w14:paraId="4560D9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24" w:hRule="atLeast"/>
          <w:jc w:val="center"/>
        </w:trPr>
        <w:tc>
          <w:tcPr>
            <w:tcW w:w="461" w:type="pct"/>
            <w:vMerge w:val="continue"/>
            <w:tcBorders>
              <w:tl2br w:val="nil"/>
              <w:tr2bl w:val="nil"/>
            </w:tcBorders>
            <w:shd w:val="clear" w:color="auto" w:fill="FFFFFF"/>
            <w:vAlign w:val="center"/>
          </w:tcPr>
          <w:p w14:paraId="6DFD55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270" w:type="pct"/>
            <w:vMerge w:val="continue"/>
            <w:tcBorders>
              <w:tl2br w:val="nil"/>
              <w:tr2bl w:val="nil"/>
            </w:tcBorders>
            <w:shd w:val="clear" w:color="auto" w:fill="FFFFFF"/>
            <w:vAlign w:val="center"/>
          </w:tcPr>
          <w:p w14:paraId="53727C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08" w:type="pct"/>
            <w:tcBorders>
              <w:tl2br w:val="nil"/>
              <w:tr2bl w:val="nil"/>
            </w:tcBorders>
            <w:shd w:val="clear" w:color="auto" w:fill="FFFFFF"/>
            <w:vAlign w:val="center"/>
          </w:tcPr>
          <w:p w14:paraId="65D38A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脱硫副产物</w:t>
            </w:r>
          </w:p>
        </w:tc>
        <w:tc>
          <w:tcPr>
            <w:tcW w:w="409" w:type="pct"/>
            <w:tcBorders>
              <w:tl2br w:val="nil"/>
              <w:tr2bl w:val="nil"/>
            </w:tcBorders>
            <w:shd w:val="clear" w:color="auto" w:fill="FFFFFF"/>
            <w:vAlign w:val="center"/>
          </w:tcPr>
          <w:p w14:paraId="1ED1D2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一般固体废物</w:t>
            </w:r>
          </w:p>
        </w:tc>
        <w:tc>
          <w:tcPr>
            <w:tcW w:w="687" w:type="pct"/>
            <w:tcBorders>
              <w:tl2br w:val="nil"/>
              <w:tr2bl w:val="nil"/>
            </w:tcBorders>
            <w:shd w:val="clear" w:color="auto" w:fill="FFFFFF"/>
            <w:vAlign w:val="center"/>
          </w:tcPr>
          <w:p w14:paraId="15D506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SW06</w:t>
            </w:r>
          </w:p>
          <w:p w14:paraId="693847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900-099-06</w:t>
            </w:r>
          </w:p>
        </w:tc>
        <w:tc>
          <w:tcPr>
            <w:tcW w:w="491" w:type="pct"/>
            <w:tcBorders>
              <w:tl2br w:val="nil"/>
              <w:tr2bl w:val="nil"/>
            </w:tcBorders>
            <w:shd w:val="clear" w:color="auto" w:fill="FFFFFF"/>
            <w:vAlign w:val="center"/>
          </w:tcPr>
          <w:p w14:paraId="5D7E47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物料衡算法</w:t>
            </w:r>
          </w:p>
        </w:tc>
        <w:tc>
          <w:tcPr>
            <w:tcW w:w="597" w:type="pct"/>
            <w:tcBorders>
              <w:tl2br w:val="nil"/>
              <w:tr2bl w:val="nil"/>
            </w:tcBorders>
            <w:shd w:val="clear" w:color="auto" w:fill="FFFFFF"/>
            <w:vAlign w:val="center"/>
          </w:tcPr>
          <w:p w14:paraId="3BB124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237.257</w:t>
            </w:r>
          </w:p>
        </w:tc>
        <w:tc>
          <w:tcPr>
            <w:tcW w:w="817" w:type="pct"/>
            <w:tcBorders>
              <w:tl2br w:val="nil"/>
              <w:tr2bl w:val="nil"/>
            </w:tcBorders>
            <w:shd w:val="clear" w:color="auto" w:fill="FFFFFF"/>
            <w:vAlign w:val="center"/>
          </w:tcPr>
          <w:p w14:paraId="080703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不在厂区内长期存储，在脱硫间内暂存，外售综合利用</w:t>
            </w:r>
          </w:p>
        </w:tc>
        <w:tc>
          <w:tcPr>
            <w:tcW w:w="598" w:type="pct"/>
            <w:tcBorders>
              <w:tl2br w:val="nil"/>
              <w:tr2bl w:val="nil"/>
            </w:tcBorders>
            <w:shd w:val="clear" w:color="auto" w:fill="FFFFFF"/>
            <w:vAlign w:val="center"/>
          </w:tcPr>
          <w:p w14:paraId="5FA592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237.257</w:t>
            </w:r>
          </w:p>
        </w:tc>
        <w:tc>
          <w:tcPr>
            <w:tcW w:w="358" w:type="pct"/>
            <w:vMerge w:val="continue"/>
            <w:tcBorders>
              <w:tl2br w:val="nil"/>
              <w:tr2bl w:val="nil"/>
            </w:tcBorders>
            <w:shd w:val="clear" w:color="auto" w:fill="FFFFFF"/>
            <w:vAlign w:val="center"/>
          </w:tcPr>
          <w:p w14:paraId="73FA02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1F64DB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51" w:hRule="atLeast"/>
          <w:jc w:val="center"/>
        </w:trPr>
        <w:tc>
          <w:tcPr>
            <w:tcW w:w="461" w:type="pct"/>
            <w:vMerge w:val="continue"/>
            <w:tcBorders>
              <w:tl2br w:val="nil"/>
              <w:tr2bl w:val="nil"/>
            </w:tcBorders>
            <w:shd w:val="clear" w:color="auto" w:fill="FFFFFF"/>
            <w:vAlign w:val="center"/>
          </w:tcPr>
          <w:p w14:paraId="137288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270" w:type="pct"/>
            <w:tcBorders>
              <w:tl2br w:val="nil"/>
              <w:tr2bl w:val="nil"/>
            </w:tcBorders>
            <w:shd w:val="clear" w:color="auto" w:fill="FFFFFF"/>
            <w:vAlign w:val="center"/>
          </w:tcPr>
          <w:p w14:paraId="5553C4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除尘系统</w:t>
            </w:r>
          </w:p>
        </w:tc>
        <w:tc>
          <w:tcPr>
            <w:tcW w:w="308" w:type="pct"/>
            <w:tcBorders>
              <w:tl2br w:val="nil"/>
              <w:tr2bl w:val="nil"/>
            </w:tcBorders>
            <w:shd w:val="clear" w:color="auto" w:fill="FFFFFF"/>
            <w:vAlign w:val="center"/>
          </w:tcPr>
          <w:p w14:paraId="54A4D8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废布袋</w:t>
            </w:r>
          </w:p>
        </w:tc>
        <w:tc>
          <w:tcPr>
            <w:tcW w:w="409" w:type="pct"/>
            <w:tcBorders>
              <w:tl2br w:val="nil"/>
              <w:tr2bl w:val="nil"/>
            </w:tcBorders>
            <w:shd w:val="clear" w:color="auto" w:fill="FFFFFF"/>
            <w:vAlign w:val="center"/>
          </w:tcPr>
          <w:p w14:paraId="732227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一般固体废物</w:t>
            </w:r>
          </w:p>
        </w:tc>
        <w:tc>
          <w:tcPr>
            <w:tcW w:w="687" w:type="pct"/>
            <w:tcBorders>
              <w:tl2br w:val="nil"/>
              <w:tr2bl w:val="nil"/>
            </w:tcBorders>
            <w:shd w:val="clear" w:color="auto" w:fill="FFFFFF"/>
            <w:vAlign w:val="center"/>
          </w:tcPr>
          <w:p w14:paraId="096539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SW59</w:t>
            </w:r>
          </w:p>
          <w:p w14:paraId="5381E7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900</w:t>
            </w: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99</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59</w:t>
            </w:r>
          </w:p>
        </w:tc>
        <w:tc>
          <w:tcPr>
            <w:tcW w:w="491" w:type="pct"/>
            <w:tcBorders>
              <w:tl2br w:val="nil"/>
              <w:tr2bl w:val="nil"/>
            </w:tcBorders>
            <w:shd w:val="clear" w:color="auto" w:fill="FFFFFF"/>
            <w:vAlign w:val="center"/>
          </w:tcPr>
          <w:p w14:paraId="7BE1A8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类比法</w:t>
            </w:r>
          </w:p>
        </w:tc>
        <w:tc>
          <w:tcPr>
            <w:tcW w:w="597" w:type="pct"/>
            <w:tcBorders>
              <w:tl2br w:val="nil"/>
              <w:tr2bl w:val="nil"/>
            </w:tcBorders>
            <w:shd w:val="clear" w:color="auto" w:fill="FFFFFF"/>
            <w:vAlign w:val="center"/>
          </w:tcPr>
          <w:p w14:paraId="4093D1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w:t>
            </w:r>
          </w:p>
        </w:tc>
        <w:tc>
          <w:tcPr>
            <w:tcW w:w="817" w:type="pct"/>
            <w:tcBorders>
              <w:tl2br w:val="nil"/>
              <w:tr2bl w:val="nil"/>
            </w:tcBorders>
            <w:shd w:val="clear" w:color="auto" w:fill="FFFFFF"/>
            <w:vAlign w:val="center"/>
          </w:tcPr>
          <w:p w14:paraId="6E5D9C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更换时厂家回收，不在厂区内暂存</w:t>
            </w:r>
          </w:p>
        </w:tc>
        <w:tc>
          <w:tcPr>
            <w:tcW w:w="598" w:type="pct"/>
            <w:tcBorders>
              <w:tl2br w:val="nil"/>
              <w:tr2bl w:val="nil"/>
            </w:tcBorders>
            <w:shd w:val="clear" w:color="auto" w:fill="FFFFFF"/>
            <w:vAlign w:val="center"/>
          </w:tcPr>
          <w:p w14:paraId="347B04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w:t>
            </w:r>
          </w:p>
        </w:tc>
        <w:tc>
          <w:tcPr>
            <w:tcW w:w="358" w:type="pct"/>
            <w:tcBorders>
              <w:tl2br w:val="nil"/>
              <w:tr2bl w:val="nil"/>
            </w:tcBorders>
            <w:shd w:val="clear" w:color="auto" w:fill="FFFFFF"/>
            <w:vAlign w:val="center"/>
          </w:tcPr>
          <w:p w14:paraId="0CAA40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由厂家回收</w:t>
            </w:r>
          </w:p>
        </w:tc>
      </w:tr>
      <w:tr w14:paraId="11A2E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24" w:hRule="atLeast"/>
          <w:jc w:val="center"/>
        </w:trPr>
        <w:tc>
          <w:tcPr>
            <w:tcW w:w="461" w:type="pct"/>
            <w:tcBorders>
              <w:tl2br w:val="nil"/>
              <w:tr2bl w:val="nil"/>
            </w:tcBorders>
            <w:shd w:val="clear" w:color="auto" w:fill="FFFFFF"/>
            <w:vAlign w:val="center"/>
          </w:tcPr>
          <w:p w14:paraId="4AD038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软化水处理</w:t>
            </w:r>
          </w:p>
        </w:tc>
        <w:tc>
          <w:tcPr>
            <w:tcW w:w="270" w:type="pct"/>
            <w:tcBorders>
              <w:tl2br w:val="nil"/>
              <w:tr2bl w:val="nil"/>
            </w:tcBorders>
            <w:shd w:val="clear" w:color="auto" w:fill="FFFFFF"/>
            <w:vAlign w:val="center"/>
          </w:tcPr>
          <w:p w14:paraId="5456F8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水处理系统</w:t>
            </w:r>
          </w:p>
        </w:tc>
        <w:tc>
          <w:tcPr>
            <w:tcW w:w="308" w:type="pct"/>
            <w:tcBorders>
              <w:tl2br w:val="nil"/>
              <w:tr2bl w:val="nil"/>
            </w:tcBorders>
            <w:shd w:val="clear" w:color="auto" w:fill="FFFFFF"/>
            <w:vAlign w:val="center"/>
          </w:tcPr>
          <w:p w14:paraId="3893BF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废离子交换树脂</w:t>
            </w:r>
          </w:p>
        </w:tc>
        <w:tc>
          <w:tcPr>
            <w:tcW w:w="409" w:type="pct"/>
            <w:tcBorders>
              <w:tl2br w:val="nil"/>
              <w:tr2bl w:val="nil"/>
            </w:tcBorders>
            <w:shd w:val="clear" w:color="auto" w:fill="FFFFFF"/>
            <w:vAlign w:val="center"/>
          </w:tcPr>
          <w:p w14:paraId="4CC06B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一般固体废物</w:t>
            </w:r>
          </w:p>
        </w:tc>
        <w:tc>
          <w:tcPr>
            <w:tcW w:w="687" w:type="pct"/>
            <w:tcBorders>
              <w:tl2br w:val="nil"/>
              <w:tr2bl w:val="nil"/>
            </w:tcBorders>
            <w:shd w:val="clear" w:color="auto" w:fill="FFFFFF"/>
            <w:vAlign w:val="center"/>
          </w:tcPr>
          <w:p w14:paraId="252796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SW59</w:t>
            </w:r>
          </w:p>
          <w:p w14:paraId="297DDE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900-008-59</w:t>
            </w:r>
          </w:p>
        </w:tc>
        <w:tc>
          <w:tcPr>
            <w:tcW w:w="491" w:type="pct"/>
            <w:tcBorders>
              <w:tl2br w:val="nil"/>
              <w:tr2bl w:val="nil"/>
            </w:tcBorders>
            <w:shd w:val="clear" w:color="auto" w:fill="FFFFFF"/>
            <w:vAlign w:val="center"/>
          </w:tcPr>
          <w:p w14:paraId="5DA10C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类比法</w:t>
            </w:r>
          </w:p>
        </w:tc>
        <w:tc>
          <w:tcPr>
            <w:tcW w:w="597" w:type="pct"/>
            <w:tcBorders>
              <w:tl2br w:val="nil"/>
              <w:tr2bl w:val="nil"/>
            </w:tcBorders>
            <w:shd w:val="clear" w:color="auto" w:fill="FFFFFF"/>
            <w:vAlign w:val="center"/>
          </w:tcPr>
          <w:p w14:paraId="24DDC4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817" w:type="pct"/>
            <w:tcBorders>
              <w:tl2br w:val="nil"/>
              <w:tr2bl w:val="nil"/>
            </w:tcBorders>
            <w:shd w:val="clear" w:color="auto" w:fill="FFFFFF"/>
            <w:vAlign w:val="center"/>
          </w:tcPr>
          <w:p w14:paraId="5D8DE2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更换时厂家回收，不在厂区内贮存</w:t>
            </w:r>
          </w:p>
        </w:tc>
        <w:tc>
          <w:tcPr>
            <w:tcW w:w="598" w:type="pct"/>
            <w:tcBorders>
              <w:tl2br w:val="nil"/>
              <w:tr2bl w:val="nil"/>
            </w:tcBorders>
            <w:shd w:val="clear" w:color="auto" w:fill="FFFFFF"/>
            <w:vAlign w:val="center"/>
          </w:tcPr>
          <w:p w14:paraId="48971A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358" w:type="pct"/>
            <w:tcBorders>
              <w:tl2br w:val="nil"/>
              <w:tr2bl w:val="nil"/>
            </w:tcBorders>
            <w:shd w:val="clear" w:color="auto" w:fill="FFFFFF"/>
            <w:vAlign w:val="center"/>
          </w:tcPr>
          <w:p w14:paraId="38212A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由厂家回收</w:t>
            </w:r>
          </w:p>
        </w:tc>
      </w:tr>
      <w:tr w14:paraId="0701E0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24" w:hRule="atLeast"/>
          <w:jc w:val="center"/>
        </w:trPr>
        <w:tc>
          <w:tcPr>
            <w:tcW w:w="461" w:type="pct"/>
            <w:tcBorders>
              <w:tl2br w:val="nil"/>
              <w:tr2bl w:val="nil"/>
            </w:tcBorders>
            <w:shd w:val="clear" w:color="auto" w:fill="FFFFFF"/>
            <w:vAlign w:val="center"/>
          </w:tcPr>
          <w:p w14:paraId="58099C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初期雨水收集池</w:t>
            </w:r>
          </w:p>
        </w:tc>
        <w:tc>
          <w:tcPr>
            <w:tcW w:w="270" w:type="pct"/>
            <w:tcBorders>
              <w:tl2br w:val="nil"/>
              <w:tr2bl w:val="nil"/>
            </w:tcBorders>
            <w:shd w:val="clear" w:color="auto" w:fill="FFFFFF"/>
            <w:vAlign w:val="center"/>
          </w:tcPr>
          <w:p w14:paraId="49C9EC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初期雨水收集池</w:t>
            </w:r>
          </w:p>
        </w:tc>
        <w:tc>
          <w:tcPr>
            <w:tcW w:w="308" w:type="pct"/>
            <w:tcBorders>
              <w:tl2br w:val="nil"/>
              <w:tr2bl w:val="nil"/>
            </w:tcBorders>
            <w:shd w:val="clear" w:color="auto" w:fill="FFFFFF"/>
            <w:vAlign w:val="center"/>
          </w:tcPr>
          <w:p w14:paraId="3CE052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沉渣</w:t>
            </w:r>
          </w:p>
        </w:tc>
        <w:tc>
          <w:tcPr>
            <w:tcW w:w="409" w:type="pct"/>
            <w:tcBorders>
              <w:tl2br w:val="nil"/>
              <w:tr2bl w:val="nil"/>
            </w:tcBorders>
            <w:shd w:val="clear" w:color="auto" w:fill="FFFFFF"/>
            <w:vAlign w:val="center"/>
          </w:tcPr>
          <w:p w14:paraId="77EC3D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一般固体废物</w:t>
            </w:r>
          </w:p>
        </w:tc>
        <w:tc>
          <w:tcPr>
            <w:tcW w:w="687" w:type="pct"/>
            <w:tcBorders>
              <w:tl2br w:val="nil"/>
              <w:tr2bl w:val="nil"/>
            </w:tcBorders>
            <w:shd w:val="clear" w:color="auto" w:fill="FFFFFF"/>
            <w:vAlign w:val="center"/>
          </w:tcPr>
          <w:p w14:paraId="56F0B1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SW59</w:t>
            </w:r>
          </w:p>
          <w:p w14:paraId="3B6945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900-099-59</w:t>
            </w:r>
          </w:p>
        </w:tc>
        <w:tc>
          <w:tcPr>
            <w:tcW w:w="491" w:type="pct"/>
            <w:tcBorders>
              <w:tl2br w:val="nil"/>
              <w:tr2bl w:val="nil"/>
            </w:tcBorders>
            <w:shd w:val="clear" w:color="auto" w:fill="FFFFFF"/>
            <w:vAlign w:val="center"/>
          </w:tcPr>
          <w:p w14:paraId="0D059A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类比法</w:t>
            </w:r>
          </w:p>
        </w:tc>
        <w:tc>
          <w:tcPr>
            <w:tcW w:w="597" w:type="pct"/>
            <w:tcBorders>
              <w:tl2br w:val="nil"/>
              <w:tr2bl w:val="nil"/>
            </w:tcBorders>
            <w:shd w:val="clear" w:color="auto" w:fill="FFFFFF"/>
            <w:vAlign w:val="center"/>
          </w:tcPr>
          <w:p w14:paraId="2352C9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0.1</w:t>
            </w:r>
          </w:p>
        </w:tc>
        <w:tc>
          <w:tcPr>
            <w:tcW w:w="817" w:type="pct"/>
            <w:tcBorders>
              <w:tl2br w:val="nil"/>
              <w:tr2bl w:val="nil"/>
            </w:tcBorders>
            <w:shd w:val="clear" w:color="auto" w:fill="FFFFFF"/>
            <w:vAlign w:val="center"/>
          </w:tcPr>
          <w:p w14:paraId="427BD2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集中收集回用</w:t>
            </w:r>
          </w:p>
        </w:tc>
        <w:tc>
          <w:tcPr>
            <w:tcW w:w="598" w:type="pct"/>
            <w:tcBorders>
              <w:tl2br w:val="nil"/>
              <w:tr2bl w:val="nil"/>
            </w:tcBorders>
            <w:shd w:val="clear" w:color="auto" w:fill="FFFFFF"/>
            <w:vAlign w:val="center"/>
          </w:tcPr>
          <w:p w14:paraId="65047C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0.1</w:t>
            </w:r>
          </w:p>
        </w:tc>
        <w:tc>
          <w:tcPr>
            <w:tcW w:w="358" w:type="pct"/>
            <w:tcBorders>
              <w:tl2br w:val="nil"/>
              <w:tr2bl w:val="nil"/>
            </w:tcBorders>
            <w:shd w:val="clear" w:color="auto" w:fill="FFFFFF"/>
            <w:vAlign w:val="center"/>
          </w:tcPr>
          <w:p w14:paraId="04F9BA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作为燃料入炉燃烧</w:t>
            </w:r>
          </w:p>
        </w:tc>
      </w:tr>
      <w:tr w14:paraId="66C692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82" w:hRule="atLeast"/>
          <w:jc w:val="center"/>
        </w:trPr>
        <w:tc>
          <w:tcPr>
            <w:tcW w:w="461" w:type="pct"/>
            <w:tcBorders>
              <w:tl2br w:val="nil"/>
              <w:tr2bl w:val="nil"/>
            </w:tcBorders>
            <w:shd w:val="clear" w:color="auto" w:fill="FFFFFF"/>
            <w:vAlign w:val="center"/>
          </w:tcPr>
          <w:p w14:paraId="4F0F74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车辆、机械维修过程</w:t>
            </w:r>
          </w:p>
        </w:tc>
        <w:tc>
          <w:tcPr>
            <w:tcW w:w="270" w:type="pct"/>
            <w:tcBorders>
              <w:tl2br w:val="nil"/>
              <w:tr2bl w:val="nil"/>
            </w:tcBorders>
            <w:shd w:val="clear" w:color="auto" w:fill="FFFFFF"/>
            <w:vAlign w:val="center"/>
          </w:tcPr>
          <w:p w14:paraId="4C360D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危废贮存点</w:t>
            </w:r>
          </w:p>
        </w:tc>
        <w:tc>
          <w:tcPr>
            <w:tcW w:w="308" w:type="pct"/>
            <w:tcBorders>
              <w:tl2br w:val="nil"/>
              <w:tr2bl w:val="nil"/>
            </w:tcBorders>
            <w:shd w:val="clear" w:color="auto" w:fill="FFFFFF"/>
            <w:vAlign w:val="center"/>
          </w:tcPr>
          <w:p w14:paraId="25CBAF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废矿物油</w:t>
            </w:r>
          </w:p>
        </w:tc>
        <w:tc>
          <w:tcPr>
            <w:tcW w:w="409" w:type="pct"/>
            <w:tcBorders>
              <w:tl2br w:val="nil"/>
              <w:tr2bl w:val="nil"/>
            </w:tcBorders>
            <w:shd w:val="clear" w:color="auto" w:fill="FFFFFF"/>
            <w:vAlign w:val="center"/>
          </w:tcPr>
          <w:p w14:paraId="388397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危险废物</w:t>
            </w:r>
          </w:p>
        </w:tc>
        <w:tc>
          <w:tcPr>
            <w:tcW w:w="687" w:type="pct"/>
            <w:tcBorders>
              <w:tl2br w:val="nil"/>
              <w:tr2bl w:val="nil"/>
            </w:tcBorders>
            <w:shd w:val="clear" w:color="auto" w:fill="FFFFFF"/>
            <w:vAlign w:val="center"/>
          </w:tcPr>
          <w:p w14:paraId="29392B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HW08</w:t>
            </w:r>
          </w:p>
          <w:p w14:paraId="553EA6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900-214-08</w:t>
            </w:r>
          </w:p>
        </w:tc>
        <w:tc>
          <w:tcPr>
            <w:tcW w:w="491" w:type="pct"/>
            <w:tcBorders>
              <w:tl2br w:val="nil"/>
              <w:tr2bl w:val="nil"/>
            </w:tcBorders>
            <w:shd w:val="clear" w:color="auto" w:fill="FFFFFF"/>
            <w:vAlign w:val="center"/>
          </w:tcPr>
          <w:p w14:paraId="2FB7F4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类比法</w:t>
            </w:r>
          </w:p>
        </w:tc>
        <w:tc>
          <w:tcPr>
            <w:tcW w:w="597" w:type="pct"/>
            <w:tcBorders>
              <w:tl2br w:val="nil"/>
              <w:tr2bl w:val="nil"/>
            </w:tcBorders>
            <w:shd w:val="clear" w:color="auto" w:fill="FFFFFF"/>
            <w:vAlign w:val="center"/>
          </w:tcPr>
          <w:p w14:paraId="0B5B0C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0.2</w:t>
            </w:r>
          </w:p>
        </w:tc>
        <w:tc>
          <w:tcPr>
            <w:tcW w:w="817" w:type="pct"/>
            <w:tcBorders>
              <w:tl2br w:val="nil"/>
              <w:tr2bl w:val="nil"/>
            </w:tcBorders>
            <w:shd w:val="clear" w:color="auto" w:fill="FFFFFF"/>
            <w:vAlign w:val="center"/>
          </w:tcPr>
          <w:p w14:paraId="74C08B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GB" w:eastAsia="zh-CN"/>
              </w:rPr>
              <w:t>危废</w:t>
            </w:r>
            <w:r>
              <w:rPr>
                <w:rFonts w:hint="eastAsia" w:ascii="Times New Roman" w:hAnsi="Times New Roman" w:cs="Times New Roman"/>
                <w:color w:val="auto"/>
                <w:sz w:val="21"/>
                <w:szCs w:val="21"/>
                <w:highlight w:val="none"/>
                <w:lang w:val="en-US" w:eastAsia="zh-CN"/>
              </w:rPr>
              <w:t>贮存点</w:t>
            </w:r>
            <w:r>
              <w:rPr>
                <w:rFonts w:hint="default" w:ascii="Times New Roman" w:hAnsi="Times New Roman" w:cs="Times New Roman"/>
                <w:color w:val="auto"/>
                <w:sz w:val="21"/>
                <w:szCs w:val="21"/>
                <w:highlight w:val="none"/>
                <w:lang w:val="en-US" w:eastAsia="zh-CN"/>
              </w:rPr>
              <w:t>暂存后委托有危废处理资质的单位</w:t>
            </w:r>
            <w:r>
              <w:rPr>
                <w:rFonts w:hint="default" w:ascii="Times New Roman" w:hAnsi="Times New Roman" w:cs="Times New Roman"/>
                <w:color w:val="auto"/>
                <w:sz w:val="21"/>
                <w:szCs w:val="21"/>
                <w:highlight w:val="none"/>
                <w:lang w:val="en-GB" w:eastAsia="zh-CN"/>
              </w:rPr>
              <w:t>统一处理</w:t>
            </w:r>
          </w:p>
        </w:tc>
        <w:tc>
          <w:tcPr>
            <w:tcW w:w="598" w:type="pct"/>
            <w:tcBorders>
              <w:tl2br w:val="nil"/>
              <w:tr2bl w:val="nil"/>
            </w:tcBorders>
            <w:shd w:val="clear" w:color="auto" w:fill="FFFFFF"/>
            <w:vAlign w:val="center"/>
          </w:tcPr>
          <w:p w14:paraId="633A25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0.2</w:t>
            </w:r>
          </w:p>
        </w:tc>
        <w:tc>
          <w:tcPr>
            <w:tcW w:w="358" w:type="pct"/>
            <w:tcBorders>
              <w:tl2br w:val="nil"/>
              <w:tr2bl w:val="nil"/>
            </w:tcBorders>
            <w:shd w:val="clear" w:color="auto" w:fill="FFFFFF"/>
            <w:vAlign w:val="center"/>
          </w:tcPr>
          <w:p w14:paraId="4F9AFF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委托有资质单位</w:t>
            </w:r>
            <w:r>
              <w:rPr>
                <w:rFonts w:hint="default" w:ascii="Times New Roman" w:hAnsi="Times New Roman" w:cs="Times New Roman"/>
                <w:color w:val="auto"/>
                <w:sz w:val="21"/>
                <w:szCs w:val="21"/>
                <w:highlight w:val="none"/>
                <w:lang w:val="en-US" w:eastAsia="zh-CN"/>
              </w:rPr>
              <w:t>处置</w:t>
            </w:r>
          </w:p>
        </w:tc>
      </w:tr>
      <w:tr w14:paraId="075D3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33" w:hRule="atLeast"/>
          <w:jc w:val="center"/>
        </w:trPr>
        <w:tc>
          <w:tcPr>
            <w:tcW w:w="461" w:type="pct"/>
            <w:tcBorders>
              <w:tl2br w:val="nil"/>
              <w:tr2bl w:val="nil"/>
            </w:tcBorders>
            <w:shd w:val="clear" w:color="auto" w:fill="FFFFFF"/>
            <w:vAlign w:val="center"/>
          </w:tcPr>
          <w:p w14:paraId="2B0457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脱硝系统</w:t>
            </w:r>
          </w:p>
        </w:tc>
        <w:tc>
          <w:tcPr>
            <w:tcW w:w="270" w:type="pct"/>
            <w:tcBorders>
              <w:tl2br w:val="nil"/>
              <w:tr2bl w:val="nil"/>
            </w:tcBorders>
            <w:shd w:val="clear" w:color="auto" w:fill="FFFFFF"/>
            <w:vAlign w:val="center"/>
          </w:tcPr>
          <w:p w14:paraId="17FBA4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脱硝系统</w:t>
            </w:r>
          </w:p>
        </w:tc>
        <w:tc>
          <w:tcPr>
            <w:tcW w:w="308" w:type="pct"/>
            <w:tcBorders>
              <w:tl2br w:val="nil"/>
              <w:tr2bl w:val="nil"/>
            </w:tcBorders>
            <w:shd w:val="clear" w:color="auto" w:fill="FFFFFF"/>
            <w:vAlign w:val="center"/>
          </w:tcPr>
          <w:p w14:paraId="0A2CA8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废催化剂</w:t>
            </w:r>
          </w:p>
        </w:tc>
        <w:tc>
          <w:tcPr>
            <w:tcW w:w="409" w:type="pct"/>
            <w:tcBorders>
              <w:tl2br w:val="nil"/>
              <w:tr2bl w:val="nil"/>
            </w:tcBorders>
            <w:shd w:val="clear" w:color="auto" w:fill="FFFFFF"/>
            <w:vAlign w:val="center"/>
          </w:tcPr>
          <w:p w14:paraId="6DF263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危险废物</w:t>
            </w:r>
          </w:p>
        </w:tc>
        <w:tc>
          <w:tcPr>
            <w:tcW w:w="687" w:type="pct"/>
            <w:tcBorders>
              <w:tl2br w:val="nil"/>
              <w:tr2bl w:val="nil"/>
            </w:tcBorders>
            <w:shd w:val="clear" w:color="auto" w:fill="FFFFFF"/>
            <w:vAlign w:val="center"/>
          </w:tcPr>
          <w:p w14:paraId="3FA7A8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HW50</w:t>
            </w:r>
          </w:p>
          <w:p w14:paraId="721CA0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772-007-50</w:t>
            </w:r>
          </w:p>
        </w:tc>
        <w:tc>
          <w:tcPr>
            <w:tcW w:w="491" w:type="pct"/>
            <w:tcBorders>
              <w:tl2br w:val="nil"/>
              <w:tr2bl w:val="nil"/>
            </w:tcBorders>
            <w:shd w:val="clear" w:color="auto" w:fill="FFFFFF"/>
            <w:vAlign w:val="center"/>
          </w:tcPr>
          <w:p w14:paraId="4CCCBD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类比法</w:t>
            </w:r>
          </w:p>
        </w:tc>
        <w:tc>
          <w:tcPr>
            <w:tcW w:w="597" w:type="pct"/>
            <w:tcBorders>
              <w:tl2br w:val="nil"/>
              <w:tr2bl w:val="nil"/>
            </w:tcBorders>
            <w:shd w:val="clear" w:color="auto" w:fill="FFFFFF"/>
            <w:vAlign w:val="center"/>
          </w:tcPr>
          <w:p w14:paraId="722071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/3a</w:t>
            </w:r>
          </w:p>
        </w:tc>
        <w:tc>
          <w:tcPr>
            <w:tcW w:w="817" w:type="pct"/>
            <w:tcBorders>
              <w:tl2br w:val="nil"/>
              <w:tr2bl w:val="nil"/>
            </w:tcBorders>
            <w:shd w:val="clear" w:color="auto" w:fill="FFFFFF"/>
            <w:vAlign w:val="center"/>
          </w:tcPr>
          <w:p w14:paraId="547CD9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厂家定期更换，委托有资质单位拉运、处置，不在厂区暂存</w:t>
            </w:r>
          </w:p>
        </w:tc>
        <w:tc>
          <w:tcPr>
            <w:tcW w:w="598" w:type="pct"/>
            <w:tcBorders>
              <w:tl2br w:val="nil"/>
              <w:tr2bl w:val="nil"/>
            </w:tcBorders>
            <w:shd w:val="clear" w:color="auto" w:fill="FFFFFF"/>
            <w:vAlign w:val="center"/>
          </w:tcPr>
          <w:p w14:paraId="57E54E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/3a</w:t>
            </w:r>
          </w:p>
        </w:tc>
        <w:tc>
          <w:tcPr>
            <w:tcW w:w="358" w:type="pct"/>
            <w:tcBorders>
              <w:tl2br w:val="nil"/>
              <w:tr2bl w:val="nil"/>
            </w:tcBorders>
            <w:shd w:val="clear" w:color="auto" w:fill="FFFFFF"/>
            <w:vAlign w:val="center"/>
          </w:tcPr>
          <w:p w14:paraId="44FCFA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委托有资质单位处置</w:t>
            </w:r>
          </w:p>
        </w:tc>
      </w:tr>
    </w:tbl>
    <w:p w14:paraId="1A8AB459">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表4.</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eastAsia="zh-CN"/>
        </w:rPr>
        <w:t>-</w:t>
      </w:r>
      <w:r>
        <w:rPr>
          <w:rFonts w:hint="eastAsia" w:ascii="Times New Roman" w:hAnsi="Times New Roman" w:eastAsia="宋体" w:cs="Times New Roman"/>
          <w:b/>
          <w:bCs/>
          <w:color w:val="auto"/>
          <w:sz w:val="24"/>
          <w:szCs w:val="24"/>
          <w:lang w:eastAsia="zh-CN"/>
        </w:rPr>
        <w:t>7</w:t>
      </w:r>
      <w:r>
        <w:rPr>
          <w:rFonts w:hint="default" w:ascii="Times New Roman" w:hAnsi="Times New Roman" w:eastAsia="宋体" w:cs="Times New Roman"/>
          <w:b/>
          <w:bCs/>
          <w:color w:val="auto"/>
          <w:sz w:val="24"/>
          <w:szCs w:val="24"/>
          <w:lang w:eastAsia="zh-CN"/>
        </w:rPr>
        <w:t xml:space="preserve">  本项目全厂危险废物产生量及处置情况表</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658"/>
        <w:gridCol w:w="1137"/>
        <w:gridCol w:w="1880"/>
        <w:gridCol w:w="955"/>
        <w:gridCol w:w="786"/>
        <w:gridCol w:w="426"/>
        <w:gridCol w:w="708"/>
        <w:gridCol w:w="574"/>
        <w:gridCol w:w="819"/>
        <w:gridCol w:w="912"/>
      </w:tblGrid>
      <w:tr w14:paraId="49788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229" w:type="pct"/>
            <w:tcBorders>
              <w:tl2br w:val="nil"/>
              <w:tr2bl w:val="nil"/>
            </w:tcBorders>
            <w:vAlign w:val="center"/>
          </w:tcPr>
          <w:p w14:paraId="54A5A3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序号</w:t>
            </w:r>
          </w:p>
        </w:tc>
        <w:tc>
          <w:tcPr>
            <w:tcW w:w="354" w:type="pct"/>
            <w:tcBorders>
              <w:tl2br w:val="nil"/>
              <w:tr2bl w:val="nil"/>
            </w:tcBorders>
            <w:vAlign w:val="center"/>
          </w:tcPr>
          <w:p w14:paraId="2C75FB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危险废物名称</w:t>
            </w:r>
          </w:p>
        </w:tc>
        <w:tc>
          <w:tcPr>
            <w:tcW w:w="612" w:type="pct"/>
            <w:tcBorders>
              <w:tl2br w:val="nil"/>
              <w:tr2bl w:val="nil"/>
            </w:tcBorders>
            <w:vAlign w:val="center"/>
          </w:tcPr>
          <w:p w14:paraId="58BC6C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危险废物类别</w:t>
            </w:r>
          </w:p>
        </w:tc>
        <w:tc>
          <w:tcPr>
            <w:tcW w:w="1012" w:type="pct"/>
            <w:tcBorders>
              <w:tl2br w:val="nil"/>
              <w:tr2bl w:val="nil"/>
            </w:tcBorders>
            <w:vAlign w:val="center"/>
          </w:tcPr>
          <w:p w14:paraId="4F0690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危险废物代码</w:t>
            </w:r>
          </w:p>
        </w:tc>
        <w:tc>
          <w:tcPr>
            <w:tcW w:w="514" w:type="pct"/>
            <w:tcBorders>
              <w:tl2br w:val="nil"/>
              <w:tr2bl w:val="nil"/>
            </w:tcBorders>
            <w:vAlign w:val="center"/>
          </w:tcPr>
          <w:p w14:paraId="68DE6F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产生量（</w:t>
            </w:r>
            <w:r>
              <w:rPr>
                <w:rFonts w:hint="default" w:ascii="Times New Roman" w:hAnsi="Times New Roman" w:cs="Times New Roman"/>
                <w:color w:val="auto"/>
                <w:sz w:val="21"/>
                <w:szCs w:val="21"/>
                <w:highlight w:val="none"/>
                <w:lang w:val="en-US" w:eastAsia="zh-CN"/>
              </w:rPr>
              <w:t>t</w:t>
            </w:r>
            <w:r>
              <w:rPr>
                <w:rFonts w:hint="default" w:ascii="Times New Roman" w:hAnsi="Times New Roman" w:cs="Times New Roman"/>
                <w:color w:val="auto"/>
                <w:sz w:val="21"/>
                <w:szCs w:val="21"/>
                <w:highlight w:val="none"/>
                <w:lang w:val="en-GB" w:eastAsia="zh-CN"/>
              </w:rPr>
              <w:t>/</w:t>
            </w:r>
            <w:r>
              <w:rPr>
                <w:rFonts w:hint="default" w:ascii="Times New Roman" w:hAnsi="Times New Roman" w:cs="Times New Roman"/>
                <w:color w:val="auto"/>
                <w:sz w:val="21"/>
                <w:szCs w:val="21"/>
                <w:highlight w:val="none"/>
                <w:lang w:val="en-US" w:eastAsia="zh-CN"/>
              </w:rPr>
              <w:t>a</w:t>
            </w:r>
            <w:r>
              <w:rPr>
                <w:rFonts w:hint="default" w:ascii="Times New Roman" w:hAnsi="Times New Roman" w:cs="Times New Roman"/>
                <w:color w:val="auto"/>
                <w:sz w:val="21"/>
                <w:szCs w:val="21"/>
                <w:highlight w:val="none"/>
                <w:lang w:val="en-GB" w:eastAsia="zh-CN"/>
              </w:rPr>
              <w:t>）</w:t>
            </w:r>
          </w:p>
        </w:tc>
        <w:tc>
          <w:tcPr>
            <w:tcW w:w="423" w:type="pct"/>
            <w:tcBorders>
              <w:tl2br w:val="nil"/>
              <w:tr2bl w:val="nil"/>
            </w:tcBorders>
            <w:vAlign w:val="center"/>
          </w:tcPr>
          <w:p w14:paraId="7C891F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产生</w:t>
            </w:r>
          </w:p>
          <w:p w14:paraId="23CC76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工序</w:t>
            </w:r>
          </w:p>
        </w:tc>
        <w:tc>
          <w:tcPr>
            <w:tcW w:w="229" w:type="pct"/>
            <w:tcBorders>
              <w:tl2br w:val="nil"/>
              <w:tr2bl w:val="nil"/>
            </w:tcBorders>
            <w:vAlign w:val="center"/>
          </w:tcPr>
          <w:p w14:paraId="795315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形态</w:t>
            </w:r>
          </w:p>
        </w:tc>
        <w:tc>
          <w:tcPr>
            <w:tcW w:w="381" w:type="pct"/>
            <w:tcBorders>
              <w:tl2br w:val="nil"/>
              <w:tr2bl w:val="nil"/>
            </w:tcBorders>
            <w:vAlign w:val="center"/>
          </w:tcPr>
          <w:p w14:paraId="6E9F1F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主要</w:t>
            </w:r>
          </w:p>
          <w:p w14:paraId="3BD224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成分</w:t>
            </w:r>
          </w:p>
        </w:tc>
        <w:tc>
          <w:tcPr>
            <w:tcW w:w="309" w:type="pct"/>
            <w:tcBorders>
              <w:tl2br w:val="nil"/>
              <w:tr2bl w:val="nil"/>
            </w:tcBorders>
            <w:vAlign w:val="center"/>
          </w:tcPr>
          <w:p w14:paraId="485676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产废</w:t>
            </w:r>
          </w:p>
          <w:p w14:paraId="59A6C0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周期</w:t>
            </w:r>
          </w:p>
        </w:tc>
        <w:tc>
          <w:tcPr>
            <w:tcW w:w="441" w:type="pct"/>
            <w:tcBorders>
              <w:tl2br w:val="nil"/>
              <w:tr2bl w:val="nil"/>
            </w:tcBorders>
            <w:vAlign w:val="center"/>
          </w:tcPr>
          <w:p w14:paraId="7E8F35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危险</w:t>
            </w:r>
          </w:p>
          <w:p w14:paraId="737937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特性</w:t>
            </w:r>
          </w:p>
        </w:tc>
        <w:tc>
          <w:tcPr>
            <w:tcW w:w="491" w:type="pct"/>
            <w:tcBorders>
              <w:tl2br w:val="nil"/>
              <w:tr2bl w:val="nil"/>
            </w:tcBorders>
            <w:vAlign w:val="center"/>
          </w:tcPr>
          <w:p w14:paraId="02BB5B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GB" w:eastAsia="zh-CN"/>
              </w:rPr>
              <w:t>污染防治措施</w:t>
            </w:r>
          </w:p>
        </w:tc>
      </w:tr>
      <w:tr w14:paraId="1978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2" w:hRule="atLeast"/>
          <w:jc w:val="center"/>
        </w:trPr>
        <w:tc>
          <w:tcPr>
            <w:tcW w:w="229" w:type="pct"/>
            <w:tcBorders>
              <w:tl2br w:val="nil"/>
              <w:tr2bl w:val="nil"/>
            </w:tcBorders>
            <w:vAlign w:val="center"/>
          </w:tcPr>
          <w:p w14:paraId="23EB16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354" w:type="pct"/>
            <w:tcBorders>
              <w:tl2br w:val="nil"/>
              <w:tr2bl w:val="nil"/>
            </w:tcBorders>
            <w:vAlign w:val="center"/>
          </w:tcPr>
          <w:p w14:paraId="308D67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废催化剂</w:t>
            </w:r>
          </w:p>
        </w:tc>
        <w:tc>
          <w:tcPr>
            <w:tcW w:w="612" w:type="pct"/>
            <w:tcBorders>
              <w:tl2br w:val="nil"/>
              <w:tr2bl w:val="nil"/>
            </w:tcBorders>
            <w:vAlign w:val="center"/>
          </w:tcPr>
          <w:p w14:paraId="173B1F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HW50废催化剂</w:t>
            </w:r>
          </w:p>
        </w:tc>
        <w:tc>
          <w:tcPr>
            <w:tcW w:w="1012" w:type="pct"/>
            <w:tcBorders>
              <w:tl2br w:val="nil"/>
              <w:tr2bl w:val="nil"/>
            </w:tcBorders>
            <w:vAlign w:val="center"/>
          </w:tcPr>
          <w:p w14:paraId="6EEC27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环境治理业772-007-50烟气脱硝过程中产生的废钒钛系催化剂</w:t>
            </w:r>
          </w:p>
        </w:tc>
        <w:tc>
          <w:tcPr>
            <w:tcW w:w="514" w:type="pct"/>
            <w:tcBorders>
              <w:tl2br w:val="nil"/>
              <w:tr2bl w:val="nil"/>
            </w:tcBorders>
            <w:vAlign w:val="center"/>
          </w:tcPr>
          <w:p w14:paraId="2AA269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/3a</w:t>
            </w:r>
          </w:p>
        </w:tc>
        <w:tc>
          <w:tcPr>
            <w:tcW w:w="423" w:type="pct"/>
            <w:tcBorders>
              <w:tl2br w:val="nil"/>
              <w:tr2bl w:val="nil"/>
            </w:tcBorders>
            <w:vAlign w:val="center"/>
          </w:tcPr>
          <w:p w14:paraId="5D3CFA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脱硝系统</w:t>
            </w:r>
          </w:p>
        </w:tc>
        <w:tc>
          <w:tcPr>
            <w:tcW w:w="229" w:type="pct"/>
            <w:tcBorders>
              <w:tl2br w:val="nil"/>
              <w:tr2bl w:val="nil"/>
            </w:tcBorders>
            <w:vAlign w:val="center"/>
          </w:tcPr>
          <w:p w14:paraId="544227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固态</w:t>
            </w:r>
          </w:p>
        </w:tc>
        <w:tc>
          <w:tcPr>
            <w:tcW w:w="381" w:type="pct"/>
            <w:tcBorders>
              <w:tl2br w:val="nil"/>
              <w:tr2bl w:val="nil"/>
            </w:tcBorders>
            <w:vAlign w:val="center"/>
          </w:tcPr>
          <w:p w14:paraId="222810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钒钛重金属</w:t>
            </w:r>
          </w:p>
        </w:tc>
        <w:tc>
          <w:tcPr>
            <w:tcW w:w="309" w:type="pct"/>
            <w:tcBorders>
              <w:tl2br w:val="nil"/>
              <w:tr2bl w:val="nil"/>
            </w:tcBorders>
            <w:vAlign w:val="center"/>
          </w:tcPr>
          <w:p w14:paraId="310E26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3a</w:t>
            </w:r>
          </w:p>
        </w:tc>
        <w:tc>
          <w:tcPr>
            <w:tcW w:w="441" w:type="pct"/>
            <w:tcBorders>
              <w:tl2br w:val="nil"/>
              <w:tr2bl w:val="nil"/>
            </w:tcBorders>
            <w:vAlign w:val="center"/>
          </w:tcPr>
          <w:p w14:paraId="60D4B9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毒性</w:t>
            </w:r>
          </w:p>
        </w:tc>
        <w:tc>
          <w:tcPr>
            <w:tcW w:w="491" w:type="pct"/>
            <w:tcBorders>
              <w:tl2br w:val="nil"/>
              <w:tr2bl w:val="nil"/>
            </w:tcBorders>
            <w:vAlign w:val="center"/>
          </w:tcPr>
          <w:p w14:paraId="27280D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厂家定期更换，委托有资质单位拉运、处置，不在厂区暂存</w:t>
            </w:r>
          </w:p>
        </w:tc>
      </w:tr>
      <w:tr w14:paraId="0B048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0" w:hRule="atLeast"/>
          <w:jc w:val="center"/>
        </w:trPr>
        <w:tc>
          <w:tcPr>
            <w:tcW w:w="229" w:type="pct"/>
            <w:tcBorders>
              <w:tl2br w:val="nil"/>
              <w:tr2bl w:val="nil"/>
            </w:tcBorders>
            <w:vAlign w:val="center"/>
          </w:tcPr>
          <w:p w14:paraId="7EDF4D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bookmarkStart w:id="313" w:name="_Toc8371"/>
            <w:r>
              <w:rPr>
                <w:rFonts w:hint="eastAsia" w:ascii="Times New Roman" w:hAnsi="Times New Roman" w:cs="Times New Roman"/>
                <w:color w:val="auto"/>
                <w:sz w:val="21"/>
                <w:szCs w:val="21"/>
                <w:highlight w:val="none"/>
                <w:lang w:val="en-US" w:eastAsia="zh-CN"/>
              </w:rPr>
              <w:t>2</w:t>
            </w:r>
          </w:p>
        </w:tc>
        <w:tc>
          <w:tcPr>
            <w:tcW w:w="354" w:type="pct"/>
            <w:tcBorders>
              <w:tl2br w:val="nil"/>
              <w:tr2bl w:val="nil"/>
            </w:tcBorders>
            <w:shd w:val="clear" w:color="auto" w:fill="auto"/>
            <w:vAlign w:val="center"/>
          </w:tcPr>
          <w:p w14:paraId="18A10C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废矿物油</w:t>
            </w:r>
          </w:p>
        </w:tc>
        <w:tc>
          <w:tcPr>
            <w:tcW w:w="612" w:type="pct"/>
            <w:tcBorders>
              <w:tl2br w:val="nil"/>
              <w:tr2bl w:val="nil"/>
            </w:tcBorders>
            <w:shd w:val="clear" w:color="auto" w:fill="auto"/>
            <w:vAlign w:val="center"/>
          </w:tcPr>
          <w:p w14:paraId="32C6B7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HW08</w:t>
            </w:r>
          </w:p>
          <w:p w14:paraId="15D620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废矿物油与含矿物油废物</w:t>
            </w:r>
          </w:p>
        </w:tc>
        <w:tc>
          <w:tcPr>
            <w:tcW w:w="1012" w:type="pct"/>
            <w:tcBorders>
              <w:tl2br w:val="nil"/>
              <w:tr2bl w:val="nil"/>
            </w:tcBorders>
            <w:shd w:val="clear" w:color="auto" w:fill="auto"/>
            <w:vAlign w:val="center"/>
          </w:tcPr>
          <w:p w14:paraId="283F07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GB" w:eastAsia="zh-CN"/>
              </w:rPr>
              <w:t>非特定行业</w:t>
            </w:r>
            <w:r>
              <w:rPr>
                <w:rFonts w:hint="default" w:ascii="Times New Roman" w:hAnsi="Times New Roman" w:cs="Times New Roman"/>
                <w:color w:val="auto"/>
                <w:sz w:val="21"/>
                <w:szCs w:val="21"/>
                <w:highlight w:val="none"/>
                <w:lang w:val="en-US" w:eastAsia="zh-CN"/>
              </w:rPr>
              <w:t>900-214-08车辆、轮船及其他机械维修过程中产生的废发动机油、制动器油、自动变速器油、齿轮油等废润滑油</w:t>
            </w:r>
          </w:p>
        </w:tc>
        <w:tc>
          <w:tcPr>
            <w:tcW w:w="514" w:type="pct"/>
            <w:tcBorders>
              <w:tl2br w:val="nil"/>
              <w:tr2bl w:val="nil"/>
            </w:tcBorders>
            <w:shd w:val="clear" w:color="auto" w:fill="auto"/>
            <w:vAlign w:val="center"/>
          </w:tcPr>
          <w:p w14:paraId="0AFB8C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0.2</w:t>
            </w:r>
          </w:p>
        </w:tc>
        <w:tc>
          <w:tcPr>
            <w:tcW w:w="423" w:type="pct"/>
            <w:tcBorders>
              <w:tl2br w:val="nil"/>
              <w:tr2bl w:val="nil"/>
            </w:tcBorders>
            <w:shd w:val="clear" w:color="auto" w:fill="auto"/>
            <w:vAlign w:val="center"/>
          </w:tcPr>
          <w:p w14:paraId="7C1FEC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车辆、机械维修过程</w:t>
            </w:r>
          </w:p>
        </w:tc>
        <w:tc>
          <w:tcPr>
            <w:tcW w:w="229" w:type="pct"/>
            <w:tcBorders>
              <w:tl2br w:val="nil"/>
              <w:tr2bl w:val="nil"/>
            </w:tcBorders>
            <w:shd w:val="clear" w:color="auto" w:fill="auto"/>
            <w:vAlign w:val="center"/>
          </w:tcPr>
          <w:p w14:paraId="738246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液态</w:t>
            </w:r>
          </w:p>
        </w:tc>
        <w:tc>
          <w:tcPr>
            <w:tcW w:w="381" w:type="pct"/>
            <w:tcBorders>
              <w:tl2br w:val="nil"/>
              <w:tr2bl w:val="nil"/>
            </w:tcBorders>
            <w:shd w:val="clear" w:color="auto" w:fill="auto"/>
            <w:vAlign w:val="center"/>
          </w:tcPr>
          <w:p w14:paraId="3049C3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矿物油</w:t>
            </w:r>
          </w:p>
        </w:tc>
        <w:tc>
          <w:tcPr>
            <w:tcW w:w="309" w:type="pct"/>
            <w:tcBorders>
              <w:tl2br w:val="nil"/>
              <w:tr2bl w:val="nil"/>
            </w:tcBorders>
            <w:shd w:val="clear" w:color="auto" w:fill="auto"/>
            <w:vAlign w:val="center"/>
          </w:tcPr>
          <w:p w14:paraId="25D1AD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1a</w:t>
            </w:r>
          </w:p>
        </w:tc>
        <w:tc>
          <w:tcPr>
            <w:tcW w:w="441" w:type="pct"/>
            <w:tcBorders>
              <w:tl2br w:val="nil"/>
              <w:tr2bl w:val="nil"/>
            </w:tcBorders>
            <w:shd w:val="clear" w:color="auto" w:fill="auto"/>
            <w:vAlign w:val="center"/>
          </w:tcPr>
          <w:p w14:paraId="00C90F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毒性</w:t>
            </w:r>
          </w:p>
          <w:p w14:paraId="5574DF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易燃性</w:t>
            </w:r>
          </w:p>
        </w:tc>
        <w:tc>
          <w:tcPr>
            <w:tcW w:w="491" w:type="pct"/>
            <w:tcBorders>
              <w:tl2br w:val="nil"/>
              <w:tr2bl w:val="nil"/>
            </w:tcBorders>
            <w:vAlign w:val="center"/>
          </w:tcPr>
          <w:p w14:paraId="616B25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GB" w:eastAsia="zh-CN"/>
              </w:rPr>
              <w:t>危废</w:t>
            </w:r>
            <w:r>
              <w:rPr>
                <w:rFonts w:hint="eastAsia" w:ascii="Times New Roman" w:hAnsi="Times New Roman" w:cs="Times New Roman"/>
                <w:color w:val="auto"/>
                <w:sz w:val="21"/>
                <w:szCs w:val="21"/>
                <w:highlight w:val="none"/>
                <w:lang w:val="en-GB" w:eastAsia="zh-CN"/>
              </w:rPr>
              <w:t>贮存点</w:t>
            </w:r>
            <w:r>
              <w:rPr>
                <w:rFonts w:hint="default" w:ascii="Times New Roman" w:hAnsi="Times New Roman" w:cs="Times New Roman"/>
                <w:color w:val="auto"/>
                <w:sz w:val="21"/>
                <w:szCs w:val="21"/>
                <w:highlight w:val="none"/>
                <w:lang w:val="en-US" w:eastAsia="zh-CN"/>
              </w:rPr>
              <w:t>暂存后委托有危废处理资质的单位</w:t>
            </w:r>
            <w:r>
              <w:rPr>
                <w:rFonts w:hint="default" w:ascii="Times New Roman" w:hAnsi="Times New Roman" w:cs="Times New Roman"/>
                <w:color w:val="auto"/>
                <w:sz w:val="21"/>
                <w:szCs w:val="21"/>
                <w:highlight w:val="none"/>
                <w:lang w:val="en-GB" w:eastAsia="zh-CN"/>
              </w:rPr>
              <w:t>统一处理</w:t>
            </w:r>
          </w:p>
        </w:tc>
      </w:tr>
    </w:tbl>
    <w:p w14:paraId="329E4585">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lang w:val="en-US" w:eastAsia="zh-CN"/>
        </w:rPr>
      </w:pPr>
      <w:bookmarkStart w:id="314" w:name="_Toc31446"/>
      <w:bookmarkStart w:id="315" w:name="_Toc9789"/>
      <w:r>
        <w:rPr>
          <w:rFonts w:hint="eastAsia" w:ascii="Times New Roman" w:hAnsi="Times New Roman" w:eastAsia="宋体" w:cs="Times New Roman"/>
          <w:b/>
          <w:bCs/>
          <w:color w:val="auto"/>
          <w:lang w:val="en-US" w:eastAsia="zh-CN"/>
        </w:rPr>
        <w:t xml:space="preserve">4.5 </w:t>
      </w:r>
      <w:r>
        <w:rPr>
          <w:rFonts w:hint="default" w:ascii="Times New Roman" w:hAnsi="Times New Roman" w:eastAsia="宋体" w:cs="Times New Roman"/>
          <w:b/>
          <w:bCs/>
          <w:color w:val="auto"/>
          <w:lang w:val="en-US" w:eastAsia="zh-CN"/>
        </w:rPr>
        <w:t>区域污染物排放总量变化情况</w:t>
      </w:r>
      <w:bookmarkEnd w:id="314"/>
      <w:bookmarkEnd w:id="315"/>
    </w:p>
    <w:p w14:paraId="4789D363">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bookmarkStart w:id="316" w:name="_Toc4025"/>
      <w:r>
        <w:rPr>
          <w:rFonts w:hint="default" w:ascii="Times New Roman" w:hAnsi="Times New Roman" w:eastAsia="宋体"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5</w:t>
      </w:r>
      <w:r>
        <w:rPr>
          <w:rFonts w:hint="default" w:ascii="Times New Roman" w:hAnsi="Times New Roman" w:eastAsia="宋体" w:cs="Times New Roman"/>
          <w:b/>
          <w:bCs/>
          <w:color w:val="auto"/>
          <w:sz w:val="28"/>
          <w:szCs w:val="28"/>
          <w:lang w:val="en-US" w:eastAsia="zh-CN"/>
        </w:rPr>
        <w:t>.1 大气预测排放量</w:t>
      </w:r>
      <w:bookmarkEnd w:id="316"/>
    </w:p>
    <w:p w14:paraId="3BBFCD6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w:t>
      </w:r>
      <w:r>
        <w:rPr>
          <w:rFonts w:hint="eastAsia" w:ascii="Times New Roman" w:hAnsi="Times New Roman" w:eastAsia="宋体" w:cs="Times New Roman"/>
          <w:color w:val="auto"/>
          <w:sz w:val="24"/>
          <w:szCs w:val="24"/>
          <w:highlight w:val="none"/>
          <w:lang w:val="en-US" w:eastAsia="zh-CN"/>
        </w:rPr>
        <w:t>《污染源源强核算技术指南 锅炉》（HJ991-2018），</w:t>
      </w:r>
      <w:r>
        <w:rPr>
          <w:rFonts w:hint="default" w:ascii="Times New Roman" w:hAnsi="Times New Roman" w:eastAsia="宋体" w:cs="Times New Roman"/>
          <w:color w:val="auto"/>
          <w:sz w:val="24"/>
          <w:szCs w:val="24"/>
          <w:highlight w:val="none"/>
          <w:lang w:val="en-US" w:eastAsia="zh-CN"/>
        </w:rPr>
        <w:t>计算污染物排放情况，本项目</w:t>
      </w:r>
      <w:r>
        <w:rPr>
          <w:rFonts w:hint="eastAsia" w:ascii="Times New Roman" w:hAnsi="Times New Roman" w:eastAsia="宋体" w:cs="Times New Roman"/>
          <w:color w:val="auto"/>
          <w:sz w:val="24"/>
          <w:szCs w:val="24"/>
          <w:highlight w:val="none"/>
          <w:lang w:val="en-US" w:eastAsia="zh-CN"/>
        </w:rPr>
        <w:t>2台42MW燃煤热水锅炉</w:t>
      </w:r>
      <w:r>
        <w:rPr>
          <w:rFonts w:hint="default" w:ascii="Times New Roman" w:hAnsi="Times New Roman" w:eastAsia="宋体" w:cs="Times New Roman"/>
          <w:color w:val="auto"/>
          <w:sz w:val="24"/>
          <w:szCs w:val="24"/>
          <w:highlight w:val="none"/>
          <w:lang w:val="en-US" w:eastAsia="zh-CN"/>
        </w:rPr>
        <w:t>烟尘预测排放量</w:t>
      </w:r>
      <w:r>
        <w:rPr>
          <w:rFonts w:hint="eastAsia" w:ascii="Times New Roman" w:hAnsi="Times New Roman" w:eastAsia="宋体" w:cs="Times New Roman"/>
          <w:color w:val="auto"/>
          <w:sz w:val="24"/>
          <w:szCs w:val="24"/>
          <w:highlight w:val="none"/>
          <w:lang w:val="en-US" w:eastAsia="zh-CN"/>
        </w:rPr>
        <w:t>6.990</w:t>
      </w:r>
      <w:r>
        <w:rPr>
          <w:rFonts w:hint="default" w:ascii="Times New Roman" w:hAnsi="Times New Roman" w:eastAsia="宋体" w:cs="Times New Roman"/>
          <w:color w:val="auto"/>
          <w:sz w:val="24"/>
          <w:szCs w:val="24"/>
          <w:highlight w:val="none"/>
          <w:lang w:val="en-US" w:eastAsia="zh-CN"/>
        </w:rPr>
        <w:t>t/a；SO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预测排放量</w:t>
      </w:r>
      <w:r>
        <w:rPr>
          <w:rFonts w:hint="eastAsia" w:ascii="Times New Roman" w:hAnsi="Times New Roman" w:eastAsia="宋体" w:cs="Times New Roman"/>
          <w:color w:val="auto"/>
          <w:sz w:val="24"/>
          <w:szCs w:val="24"/>
          <w:highlight w:val="none"/>
          <w:lang w:val="en-US" w:eastAsia="zh-CN"/>
        </w:rPr>
        <w:t>11.388</w:t>
      </w:r>
      <w:r>
        <w:rPr>
          <w:rFonts w:hint="default" w:ascii="Times New Roman" w:hAnsi="Times New Roman" w:eastAsia="宋体" w:cs="Times New Roman"/>
          <w:color w:val="auto"/>
          <w:sz w:val="24"/>
          <w:szCs w:val="24"/>
          <w:highlight w:val="none"/>
          <w:lang w:val="en-US" w:eastAsia="zh-CN"/>
        </w:rPr>
        <w:t>t/a；NO</w:t>
      </w:r>
      <w:r>
        <w:rPr>
          <w:rFonts w:hint="eastAsia" w:ascii="Times New Roman" w:hAnsi="Times New Roman" w:eastAsia="宋体" w:cs="Times New Roman"/>
          <w:color w:val="auto"/>
          <w:sz w:val="24"/>
          <w:szCs w:val="24"/>
          <w:highlight w:val="none"/>
          <w:vertAlign w:val="subscript"/>
          <w:lang w:val="en-US" w:eastAsia="zh-CN"/>
        </w:rPr>
        <w:t>x</w:t>
      </w:r>
      <w:r>
        <w:rPr>
          <w:rFonts w:hint="default" w:ascii="Times New Roman" w:hAnsi="Times New Roman" w:eastAsia="宋体" w:cs="Times New Roman"/>
          <w:color w:val="auto"/>
          <w:sz w:val="24"/>
          <w:szCs w:val="24"/>
          <w:highlight w:val="none"/>
          <w:lang w:val="en-US" w:eastAsia="zh-CN"/>
        </w:rPr>
        <w:t>预测排放量</w:t>
      </w:r>
      <w:r>
        <w:rPr>
          <w:rFonts w:hint="eastAsia" w:ascii="Times New Roman" w:hAnsi="Times New Roman" w:eastAsia="宋体" w:cs="Times New Roman"/>
          <w:color w:val="auto"/>
          <w:sz w:val="24"/>
          <w:szCs w:val="24"/>
          <w:highlight w:val="none"/>
          <w:lang w:val="en-US" w:eastAsia="zh-CN"/>
        </w:rPr>
        <w:t>54.422</w:t>
      </w:r>
      <w:r>
        <w:rPr>
          <w:rFonts w:hint="default" w:ascii="Times New Roman" w:hAnsi="Times New Roman" w:eastAsia="宋体" w:cs="Times New Roman"/>
          <w:color w:val="auto"/>
          <w:sz w:val="24"/>
          <w:szCs w:val="24"/>
          <w:highlight w:val="none"/>
          <w:lang w:val="en-US" w:eastAsia="zh-CN"/>
        </w:rPr>
        <w:t>t/a；Hg预测排放量为</w:t>
      </w:r>
      <w:r>
        <w:rPr>
          <w:rFonts w:hint="eastAsia" w:ascii="Times New Roman" w:hAnsi="Times New Roman" w:eastAsia="宋体" w:cs="Times New Roman"/>
          <w:color w:val="auto"/>
          <w:sz w:val="24"/>
          <w:szCs w:val="24"/>
          <w:highlight w:val="none"/>
          <w:lang w:val="en-US" w:eastAsia="zh-CN"/>
        </w:rPr>
        <w:t>0.0014</w:t>
      </w:r>
      <w:r>
        <w:rPr>
          <w:rFonts w:hint="default" w:ascii="Times New Roman" w:hAnsi="Times New Roman" w:eastAsia="宋体" w:cs="Times New Roman"/>
          <w:color w:val="auto"/>
          <w:sz w:val="24"/>
          <w:szCs w:val="24"/>
          <w:highlight w:val="none"/>
          <w:lang w:val="en-US" w:eastAsia="zh-CN"/>
        </w:rPr>
        <w:t>t/a。</w:t>
      </w:r>
    </w:p>
    <w:p w14:paraId="7D576D9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bookmarkStart w:id="317" w:name="_Toc10202"/>
      <w:r>
        <w:rPr>
          <w:rFonts w:hint="default" w:ascii="Times New Roman" w:hAnsi="Times New Roman" w:eastAsia="宋体"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5</w:t>
      </w:r>
      <w:r>
        <w:rPr>
          <w:rFonts w:hint="default" w:ascii="Times New Roman" w:hAnsi="Times New Roman" w:eastAsia="宋体" w:cs="Times New Roman"/>
          <w:b/>
          <w:bCs/>
          <w:color w:val="auto"/>
          <w:sz w:val="28"/>
          <w:szCs w:val="28"/>
          <w:lang w:val="en-US" w:eastAsia="zh-CN"/>
        </w:rPr>
        <w:t>.2 大气核定排放量</w:t>
      </w:r>
      <w:bookmarkEnd w:id="317"/>
    </w:p>
    <w:p w14:paraId="2179351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1、计算公式</w:t>
      </w:r>
    </w:p>
    <w:p w14:paraId="4232AC6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依据《污染源源强核算技术指南 锅炉》（HJ991-2018），基准烟气量核算方法采用理论公式计算法</w:t>
      </w:r>
      <w:r>
        <w:rPr>
          <w:rFonts w:hint="eastAsia" w:ascii="Times New Roman" w:hAnsi="Times New Roman" w:eastAsia="宋体" w:cs="Times New Roman"/>
          <w:color w:val="auto"/>
          <w:sz w:val="24"/>
          <w:szCs w:val="24"/>
          <w:highlight w:val="none"/>
          <w:lang w:val="en-US" w:eastAsia="zh-CN"/>
        </w:rPr>
        <w:t>见前文源强分析</w:t>
      </w:r>
    </w:p>
    <w:p w14:paraId="531077D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本项目锅炉为燃煤锅炉，则V</w:t>
      </w:r>
      <w:r>
        <w:rPr>
          <w:rFonts w:hint="default" w:ascii="Times New Roman" w:hAnsi="Times New Roman" w:eastAsia="宋体" w:cs="Times New Roman"/>
          <w:color w:val="auto"/>
          <w:sz w:val="24"/>
          <w:szCs w:val="24"/>
          <w:highlight w:val="none"/>
          <w:vertAlign w:val="subscript"/>
          <w:lang w:val="en-US" w:eastAsia="zh-CN"/>
        </w:rPr>
        <w:t>0</w:t>
      </w:r>
      <w:r>
        <w:rPr>
          <w:rFonts w:hint="default" w:ascii="Times New Roman" w:hAnsi="Times New Roman" w:eastAsia="宋体" w:cs="Times New Roman"/>
          <w:color w:val="auto"/>
          <w:sz w:val="24"/>
          <w:szCs w:val="24"/>
          <w:highlight w:val="none"/>
          <w:lang w:val="en-US" w:eastAsia="zh-CN"/>
        </w:rPr>
        <w:t>为</w:t>
      </w:r>
      <w:r>
        <w:rPr>
          <w:rFonts w:hint="eastAsia" w:ascii="Times New Roman" w:hAnsi="Times New Roman" w:eastAsia="宋体" w:cs="Times New Roman"/>
          <w:color w:val="auto"/>
          <w:sz w:val="24"/>
          <w:szCs w:val="24"/>
          <w:highlight w:val="none"/>
          <w:lang w:val="en-US" w:eastAsia="zh-CN"/>
        </w:rPr>
        <w:t>3.625m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/kg</w:t>
      </w:r>
      <w:r>
        <w:rPr>
          <w:rFonts w:hint="default" w:ascii="Times New Roman" w:hAnsi="Times New Roman" w:eastAsia="宋体" w:cs="Times New Roman"/>
          <w:color w:val="auto"/>
          <w:sz w:val="24"/>
          <w:szCs w:val="24"/>
          <w:highlight w:val="none"/>
          <w:lang w:val="en-US" w:eastAsia="zh-CN"/>
        </w:rPr>
        <w:t>，V</w:t>
      </w:r>
      <w:r>
        <w:rPr>
          <w:rFonts w:hint="default" w:ascii="Times New Roman" w:hAnsi="Times New Roman" w:eastAsia="宋体" w:cs="Times New Roman"/>
          <w:color w:val="auto"/>
          <w:sz w:val="24"/>
          <w:szCs w:val="24"/>
          <w:highlight w:val="none"/>
          <w:vertAlign w:val="subscript"/>
          <w:lang w:val="en-US" w:eastAsia="zh-CN"/>
        </w:rPr>
        <w:t>g</w:t>
      </w:r>
      <w:r>
        <w:rPr>
          <w:rFonts w:hint="default" w:ascii="Times New Roman" w:hAnsi="Times New Roman" w:eastAsia="宋体" w:cs="Times New Roman"/>
          <w:color w:val="auto"/>
          <w:sz w:val="24"/>
          <w:szCs w:val="24"/>
          <w:highlight w:val="none"/>
          <w:lang w:val="en-US" w:eastAsia="zh-CN"/>
        </w:rPr>
        <w:t>为</w:t>
      </w:r>
      <w:r>
        <w:rPr>
          <w:rFonts w:hint="eastAsia" w:ascii="Times New Roman" w:hAnsi="Times New Roman" w:eastAsia="宋体" w:cs="Times New Roman"/>
          <w:color w:val="auto"/>
          <w:sz w:val="24"/>
          <w:szCs w:val="24"/>
          <w:highlight w:val="none"/>
          <w:lang w:val="en-US" w:eastAsia="zh-CN"/>
        </w:rPr>
        <w:t>6.267</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/kg，V</w:t>
      </w:r>
      <w:r>
        <w:rPr>
          <w:rFonts w:hint="default" w:ascii="Times New Roman" w:hAnsi="Times New Roman" w:eastAsia="宋体" w:cs="Times New Roman"/>
          <w:color w:val="auto"/>
          <w:sz w:val="24"/>
          <w:szCs w:val="24"/>
          <w:highlight w:val="none"/>
          <w:vertAlign w:val="subscript"/>
          <w:lang w:val="en-US" w:eastAsia="zh-CN"/>
        </w:rPr>
        <w:t>s</w:t>
      </w:r>
      <w:r>
        <w:rPr>
          <w:rFonts w:hint="default" w:ascii="Times New Roman" w:hAnsi="Times New Roman" w:eastAsia="宋体" w:cs="Times New Roman"/>
          <w:color w:val="auto"/>
          <w:sz w:val="24"/>
          <w:szCs w:val="24"/>
          <w:highlight w:val="none"/>
          <w:lang w:val="en-US" w:eastAsia="zh-CN"/>
        </w:rPr>
        <w:t>为</w:t>
      </w:r>
      <w:r>
        <w:rPr>
          <w:rFonts w:hint="eastAsia" w:ascii="Times New Roman" w:hAnsi="Times New Roman" w:eastAsia="宋体" w:cs="Times New Roman"/>
          <w:color w:val="auto"/>
          <w:sz w:val="24"/>
          <w:szCs w:val="24"/>
          <w:highlight w:val="none"/>
          <w:lang w:val="en-US" w:eastAsia="zh-CN"/>
        </w:rPr>
        <w:t>6.807m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/kg</w:t>
      </w:r>
      <w:r>
        <w:rPr>
          <w:rFonts w:hint="default" w:ascii="Times New Roman" w:hAnsi="Times New Roman" w:eastAsia="宋体" w:cs="Times New Roman"/>
          <w:color w:val="auto"/>
          <w:sz w:val="24"/>
          <w:szCs w:val="24"/>
          <w:highlight w:val="none"/>
          <w:lang w:val="en-US" w:eastAsia="zh-CN"/>
        </w:rPr>
        <w:t>。</w:t>
      </w:r>
    </w:p>
    <w:p w14:paraId="4DE2506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本项目燃煤量为</w:t>
      </w:r>
      <w:r>
        <w:rPr>
          <w:rFonts w:hint="eastAsia" w:ascii="Times New Roman" w:hAnsi="Times New Roman" w:eastAsia="宋体" w:cs="Times New Roman"/>
          <w:color w:val="auto"/>
          <w:sz w:val="24"/>
          <w:szCs w:val="24"/>
          <w:highlight w:val="none"/>
          <w:lang w:val="en-US" w:eastAsia="zh-CN"/>
        </w:rPr>
        <w:t>17.23t/h</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年利用小时数2880h，</w:t>
      </w:r>
      <w:r>
        <w:rPr>
          <w:rFonts w:hint="default" w:ascii="Times New Roman" w:hAnsi="Times New Roman" w:eastAsia="宋体" w:cs="Times New Roman"/>
          <w:color w:val="auto"/>
          <w:sz w:val="24"/>
          <w:szCs w:val="24"/>
          <w:highlight w:val="none"/>
          <w:lang w:val="en-US" w:eastAsia="zh-CN"/>
        </w:rPr>
        <w:t>则干烟气量为</w:t>
      </w:r>
      <w:r>
        <w:rPr>
          <w:rFonts w:hint="eastAsia" w:ascii="Times New Roman" w:hAnsi="Times New Roman" w:eastAsia="宋体" w:cs="Times New Roman"/>
          <w:color w:val="auto"/>
          <w:sz w:val="24"/>
          <w:szCs w:val="24"/>
          <w:highlight w:val="none"/>
          <w:lang w:val="en-US" w:eastAsia="zh-CN"/>
        </w:rPr>
        <w:t>107980.41</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/h，湿烟气量为</w:t>
      </w:r>
      <w:r>
        <w:rPr>
          <w:rFonts w:hint="eastAsia" w:ascii="Times New Roman" w:hAnsi="Times New Roman" w:eastAsia="宋体" w:cs="Times New Roman"/>
          <w:color w:val="auto"/>
          <w:sz w:val="24"/>
          <w:szCs w:val="24"/>
          <w:highlight w:val="none"/>
          <w:lang w:val="en-US" w:eastAsia="zh-CN"/>
        </w:rPr>
        <w:t>117284.61</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/h。</w:t>
      </w:r>
    </w:p>
    <w:p w14:paraId="659C250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（2）年许可排放量</w:t>
      </w:r>
    </w:p>
    <w:p w14:paraId="7C92C18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本项目锅炉的废气污染物各污染物排放量核算情况如下：</w:t>
      </w:r>
    </w:p>
    <w:p w14:paraId="79497CF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颗粒物许可排放量：E</w:t>
      </w:r>
      <w:r>
        <w:rPr>
          <w:rFonts w:hint="eastAsia" w:ascii="Times New Roman" w:hAnsi="Times New Roman" w:eastAsia="宋体" w:cs="Times New Roman"/>
          <w:color w:val="auto"/>
          <w:sz w:val="24"/>
          <w:szCs w:val="24"/>
          <w:highlight w:val="none"/>
          <w:vertAlign w:val="subscript"/>
          <w:lang w:val="en-US" w:eastAsia="zh-CN"/>
        </w:rPr>
        <w:t>颗粒物</w:t>
      </w:r>
      <w:r>
        <w:rPr>
          <w:rFonts w:hint="eastAsia" w:ascii="Times New Roman" w:hAnsi="Times New Roman" w:eastAsia="宋体" w:cs="Times New Roman"/>
          <w:color w:val="auto"/>
          <w:sz w:val="24"/>
          <w:szCs w:val="24"/>
          <w:highlight w:val="none"/>
          <w:lang w:val="en-US" w:eastAsia="zh-CN"/>
        </w:rPr>
        <w:t>=50×107980.41×1×2880×10</w:t>
      </w:r>
      <w:r>
        <w:rPr>
          <w:rFonts w:hint="eastAsia" w:ascii="Times New Roman" w:hAnsi="Times New Roman" w:eastAsia="宋体" w:cs="Times New Roman"/>
          <w:color w:val="auto"/>
          <w:sz w:val="24"/>
          <w:szCs w:val="24"/>
          <w:highlight w:val="none"/>
          <w:vertAlign w:val="superscript"/>
          <w:lang w:val="en-US" w:eastAsia="zh-CN"/>
        </w:rPr>
        <w:t>-9</w:t>
      </w:r>
      <w:r>
        <w:rPr>
          <w:rFonts w:hint="eastAsia" w:ascii="Times New Roman" w:hAnsi="Times New Roman" w:eastAsia="宋体" w:cs="Times New Roman"/>
          <w:color w:val="auto"/>
          <w:sz w:val="24"/>
          <w:szCs w:val="24"/>
          <w:highlight w:val="none"/>
          <w:lang w:val="en-US" w:eastAsia="zh-CN"/>
        </w:rPr>
        <w:t>=15.55t/a</w:t>
      </w:r>
    </w:p>
    <w:p w14:paraId="602756A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SO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许可排放量：E</w:t>
      </w:r>
      <w:r>
        <w:rPr>
          <w:rFonts w:hint="eastAsia" w:ascii="Times New Roman" w:hAnsi="Times New Roman" w:eastAsia="宋体" w:cs="Times New Roman"/>
          <w:color w:val="auto"/>
          <w:sz w:val="24"/>
          <w:szCs w:val="24"/>
          <w:highlight w:val="none"/>
          <w:vertAlign w:val="subscript"/>
          <w:lang w:val="en-US" w:eastAsia="zh-CN"/>
        </w:rPr>
        <w:t>SO2</w:t>
      </w:r>
      <w:r>
        <w:rPr>
          <w:rFonts w:hint="eastAsia" w:ascii="Times New Roman" w:hAnsi="Times New Roman" w:eastAsia="宋体" w:cs="Times New Roman"/>
          <w:color w:val="auto"/>
          <w:sz w:val="24"/>
          <w:szCs w:val="24"/>
          <w:highlight w:val="none"/>
          <w:lang w:val="en-US" w:eastAsia="zh-CN"/>
        </w:rPr>
        <w:t>=300×107980.41×0.8×2880×10</w:t>
      </w:r>
      <w:r>
        <w:rPr>
          <w:rFonts w:hint="eastAsia" w:ascii="Times New Roman" w:hAnsi="Times New Roman" w:eastAsia="宋体" w:cs="Times New Roman"/>
          <w:color w:val="auto"/>
          <w:sz w:val="24"/>
          <w:szCs w:val="24"/>
          <w:highlight w:val="none"/>
          <w:vertAlign w:val="superscript"/>
          <w:lang w:val="en-US" w:eastAsia="zh-CN"/>
        </w:rPr>
        <w:t>-9</w:t>
      </w:r>
      <w:r>
        <w:rPr>
          <w:rFonts w:hint="eastAsia" w:ascii="Times New Roman" w:hAnsi="Times New Roman" w:eastAsia="宋体" w:cs="Times New Roman"/>
          <w:color w:val="auto"/>
          <w:sz w:val="24"/>
          <w:szCs w:val="24"/>
          <w:highlight w:val="none"/>
          <w:lang w:val="en-US" w:eastAsia="zh-CN"/>
        </w:rPr>
        <w:t>=74.64t/a</w:t>
      </w:r>
    </w:p>
    <w:p w14:paraId="67DC829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NO</w:t>
      </w:r>
      <w:r>
        <w:rPr>
          <w:rFonts w:hint="eastAsia" w:ascii="Times New Roman" w:hAnsi="Times New Roman" w:eastAsia="宋体" w:cs="Times New Roman"/>
          <w:color w:val="auto"/>
          <w:sz w:val="24"/>
          <w:szCs w:val="24"/>
          <w:highlight w:val="none"/>
          <w:vertAlign w:val="subscript"/>
          <w:lang w:val="en-US" w:eastAsia="zh-CN"/>
        </w:rPr>
        <w:t>x</w:t>
      </w:r>
      <w:r>
        <w:rPr>
          <w:rFonts w:hint="eastAsia" w:ascii="Times New Roman" w:hAnsi="Times New Roman" w:eastAsia="宋体" w:cs="Times New Roman"/>
          <w:color w:val="auto"/>
          <w:sz w:val="24"/>
          <w:szCs w:val="24"/>
          <w:highlight w:val="none"/>
          <w:lang w:val="en-US" w:eastAsia="zh-CN"/>
        </w:rPr>
        <w:t>许可排放量：E</w:t>
      </w:r>
      <w:r>
        <w:rPr>
          <w:rFonts w:hint="eastAsia" w:ascii="Times New Roman" w:hAnsi="Times New Roman" w:eastAsia="宋体" w:cs="Times New Roman"/>
          <w:color w:val="auto"/>
          <w:sz w:val="24"/>
          <w:szCs w:val="24"/>
          <w:highlight w:val="none"/>
          <w:vertAlign w:val="subscript"/>
          <w:lang w:val="en-US" w:eastAsia="zh-CN"/>
        </w:rPr>
        <w:t>NOx</w:t>
      </w:r>
      <w:r>
        <w:rPr>
          <w:rFonts w:hint="eastAsia" w:ascii="Times New Roman" w:hAnsi="Times New Roman" w:eastAsia="宋体" w:cs="Times New Roman"/>
          <w:color w:val="auto"/>
          <w:sz w:val="24"/>
          <w:szCs w:val="24"/>
          <w:highlight w:val="none"/>
          <w:lang w:val="en-US" w:eastAsia="zh-CN"/>
        </w:rPr>
        <w:t>=300×107980.41×1×2880×10</w:t>
      </w:r>
      <w:r>
        <w:rPr>
          <w:rFonts w:hint="eastAsia" w:ascii="Times New Roman" w:hAnsi="Times New Roman" w:eastAsia="宋体" w:cs="Times New Roman"/>
          <w:color w:val="auto"/>
          <w:sz w:val="24"/>
          <w:szCs w:val="24"/>
          <w:highlight w:val="none"/>
          <w:vertAlign w:val="superscript"/>
          <w:lang w:val="en-US" w:eastAsia="zh-CN"/>
        </w:rPr>
        <w:t>-9</w:t>
      </w:r>
      <w:r>
        <w:rPr>
          <w:rFonts w:hint="eastAsia" w:ascii="Times New Roman" w:hAnsi="Times New Roman" w:eastAsia="宋体" w:cs="Times New Roman"/>
          <w:color w:val="auto"/>
          <w:sz w:val="24"/>
          <w:szCs w:val="24"/>
          <w:highlight w:val="none"/>
          <w:lang w:val="en-US" w:eastAsia="zh-CN"/>
        </w:rPr>
        <w:t>=93.30t/a</w:t>
      </w:r>
    </w:p>
    <w:p w14:paraId="59599F7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各污染物排放量核算情况如下表：</w:t>
      </w:r>
    </w:p>
    <w:p w14:paraId="63F01BF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4.5-1</w:t>
      </w:r>
      <w:r>
        <w:rPr>
          <w:rFonts w:hint="default"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eastAsia="zh-CN"/>
        </w:rPr>
        <w:t>本项目锅炉</w:t>
      </w:r>
      <w:r>
        <w:rPr>
          <w:rFonts w:hint="default" w:ascii="Times New Roman" w:hAnsi="Times New Roman" w:eastAsia="宋体" w:cs="Times New Roman"/>
          <w:b/>
          <w:bCs/>
          <w:color w:val="auto"/>
          <w:sz w:val="24"/>
          <w:szCs w:val="24"/>
          <w:lang w:eastAsia="zh-CN"/>
        </w:rPr>
        <w:t>年许可排放量核算表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21"/>
        <w:gridCol w:w="2321"/>
        <w:gridCol w:w="2323"/>
        <w:gridCol w:w="2323"/>
      </w:tblGrid>
      <w:tr w14:paraId="49655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tcBorders>
              <w:tl2br w:val="nil"/>
              <w:tr2bl w:val="nil"/>
            </w:tcBorders>
            <w:vAlign w:val="center"/>
          </w:tcPr>
          <w:p w14:paraId="68BCAF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项目</w:t>
            </w:r>
          </w:p>
        </w:tc>
        <w:tc>
          <w:tcPr>
            <w:tcW w:w="1249" w:type="pct"/>
            <w:tcBorders>
              <w:tl2br w:val="nil"/>
              <w:tr2bl w:val="nil"/>
            </w:tcBorders>
            <w:vAlign w:val="center"/>
          </w:tcPr>
          <w:p w14:paraId="5D2442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颗粒物排放量（t/a）</w:t>
            </w:r>
          </w:p>
        </w:tc>
        <w:tc>
          <w:tcPr>
            <w:tcW w:w="1250" w:type="pct"/>
            <w:tcBorders>
              <w:tl2br w:val="nil"/>
              <w:tr2bl w:val="nil"/>
            </w:tcBorders>
            <w:vAlign w:val="center"/>
          </w:tcPr>
          <w:p w14:paraId="724FC5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SO</w:t>
            </w:r>
            <w:r>
              <w:rPr>
                <w:rFonts w:hint="default" w:ascii="Times New Roman" w:hAnsi="Times New Roman" w:cs="Times New Roman"/>
                <w:color w:val="auto"/>
                <w:sz w:val="21"/>
                <w:szCs w:val="21"/>
                <w:highlight w:val="none"/>
                <w:vertAlign w:val="subscript"/>
                <w:lang w:val="en-US" w:eastAsia="zh-CN"/>
              </w:rPr>
              <w:t>2</w:t>
            </w:r>
            <w:r>
              <w:rPr>
                <w:rFonts w:hint="default" w:ascii="Times New Roman" w:hAnsi="Times New Roman" w:cs="Times New Roman"/>
                <w:color w:val="auto"/>
                <w:sz w:val="21"/>
                <w:szCs w:val="21"/>
                <w:highlight w:val="none"/>
                <w:lang w:val="en-US" w:eastAsia="zh-CN"/>
              </w:rPr>
              <w:t>排放量（t/a）</w:t>
            </w:r>
          </w:p>
        </w:tc>
        <w:tc>
          <w:tcPr>
            <w:tcW w:w="1250" w:type="pct"/>
            <w:tcBorders>
              <w:tl2br w:val="nil"/>
              <w:tr2bl w:val="nil"/>
            </w:tcBorders>
            <w:vAlign w:val="center"/>
          </w:tcPr>
          <w:p w14:paraId="172746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NO</w:t>
            </w:r>
            <w:r>
              <w:rPr>
                <w:rFonts w:hint="eastAsia" w:ascii="Times New Roman" w:hAnsi="Times New Roman" w:cs="Times New Roman"/>
                <w:color w:val="auto"/>
                <w:sz w:val="21"/>
                <w:szCs w:val="21"/>
                <w:highlight w:val="none"/>
                <w:vertAlign w:val="subscript"/>
                <w:lang w:val="en-US" w:eastAsia="zh-CN"/>
              </w:rPr>
              <w:t>x</w:t>
            </w:r>
            <w:r>
              <w:rPr>
                <w:rFonts w:hint="default" w:ascii="Times New Roman" w:hAnsi="Times New Roman" w:cs="Times New Roman"/>
                <w:color w:val="auto"/>
                <w:sz w:val="21"/>
                <w:szCs w:val="21"/>
                <w:highlight w:val="none"/>
                <w:lang w:val="en-US" w:eastAsia="zh-CN"/>
              </w:rPr>
              <w:t>排放量（t/a）</w:t>
            </w:r>
          </w:p>
        </w:tc>
      </w:tr>
      <w:tr w14:paraId="215D8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tcBorders>
              <w:tl2br w:val="nil"/>
              <w:tr2bl w:val="nil"/>
            </w:tcBorders>
            <w:vAlign w:val="center"/>
          </w:tcPr>
          <w:p w14:paraId="0361A8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总量指标</w:t>
            </w:r>
          </w:p>
        </w:tc>
        <w:tc>
          <w:tcPr>
            <w:tcW w:w="1249" w:type="pct"/>
            <w:tcBorders>
              <w:tl2br w:val="nil"/>
              <w:tr2bl w:val="nil"/>
            </w:tcBorders>
            <w:vAlign w:val="center"/>
          </w:tcPr>
          <w:p w14:paraId="1278CA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15.55</w:t>
            </w:r>
          </w:p>
        </w:tc>
        <w:tc>
          <w:tcPr>
            <w:tcW w:w="1250" w:type="pct"/>
            <w:tcBorders>
              <w:tl2br w:val="nil"/>
              <w:tr2bl w:val="nil"/>
            </w:tcBorders>
            <w:vAlign w:val="center"/>
          </w:tcPr>
          <w:p w14:paraId="55EA38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74.64</w:t>
            </w:r>
          </w:p>
        </w:tc>
        <w:tc>
          <w:tcPr>
            <w:tcW w:w="1250" w:type="pct"/>
            <w:tcBorders>
              <w:tl2br w:val="nil"/>
              <w:tr2bl w:val="nil"/>
            </w:tcBorders>
            <w:vAlign w:val="center"/>
          </w:tcPr>
          <w:p w14:paraId="523230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93.30</w:t>
            </w:r>
          </w:p>
        </w:tc>
      </w:tr>
    </w:tbl>
    <w:p w14:paraId="609F93F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bookmarkStart w:id="318" w:name="_Toc8840"/>
      <w:r>
        <w:rPr>
          <w:rFonts w:hint="default" w:ascii="Times New Roman" w:hAnsi="Times New Roman" w:eastAsia="宋体"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5</w:t>
      </w:r>
      <w:r>
        <w:rPr>
          <w:rFonts w:hint="default" w:ascii="Times New Roman" w:hAnsi="Times New Roman" w:eastAsia="宋体" w:cs="Times New Roman"/>
          <w:b/>
          <w:bCs/>
          <w:color w:val="auto"/>
          <w:sz w:val="28"/>
          <w:szCs w:val="28"/>
          <w:lang w:val="en-US" w:eastAsia="zh-CN"/>
        </w:rPr>
        <w:t>.</w:t>
      </w:r>
      <w:r>
        <w:rPr>
          <w:rFonts w:hint="eastAsia" w:ascii="Times New Roman" w:hAnsi="Times New Roman" w:cs="Times New Roman"/>
          <w:b/>
          <w:bCs/>
          <w:color w:val="auto"/>
          <w:sz w:val="28"/>
          <w:szCs w:val="28"/>
          <w:lang w:val="en-US" w:eastAsia="zh-CN"/>
        </w:rPr>
        <w:t>3</w:t>
      </w:r>
      <w:r>
        <w:rPr>
          <w:rFonts w:hint="default" w:ascii="Times New Roman" w:hAnsi="Times New Roman" w:eastAsia="宋体" w:cs="Times New Roman"/>
          <w:b/>
          <w:bCs/>
          <w:color w:val="auto"/>
          <w:sz w:val="28"/>
          <w:szCs w:val="28"/>
          <w:lang w:val="en-US" w:eastAsia="zh-CN"/>
        </w:rPr>
        <w:t xml:space="preserve"> </w:t>
      </w:r>
      <w:r>
        <w:rPr>
          <w:rFonts w:hint="eastAsia" w:ascii="Times New Roman" w:hAnsi="Times New Roman" w:eastAsia="宋体" w:cs="Times New Roman"/>
          <w:b/>
          <w:bCs/>
          <w:color w:val="auto"/>
          <w:sz w:val="28"/>
          <w:szCs w:val="28"/>
          <w:lang w:val="en-US" w:eastAsia="zh-CN"/>
        </w:rPr>
        <w:t>现有许可排放量</w:t>
      </w:r>
      <w:bookmarkEnd w:id="318"/>
    </w:p>
    <w:p w14:paraId="6877A7C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依据运营单位黑龙江省八五二农场横林供热供水管理站</w:t>
      </w:r>
      <w:r>
        <w:rPr>
          <w:rFonts w:hint="eastAsia" w:ascii="Times New Roman" w:hAnsi="Times New Roman" w:eastAsia="宋体" w:cs="Times New Roman"/>
          <w:color w:val="auto"/>
          <w:sz w:val="24"/>
          <w:szCs w:val="24"/>
          <w:highlight w:val="none"/>
          <w:lang w:val="zh-CN" w:eastAsia="zh-CN"/>
        </w:rPr>
        <w:t>排污许可证，证书编号912</w:t>
      </w:r>
      <w:r>
        <w:rPr>
          <w:rFonts w:hint="eastAsia" w:ascii="Times New Roman" w:hAnsi="Times New Roman" w:eastAsia="宋体" w:cs="Times New Roman"/>
          <w:color w:val="auto"/>
          <w:sz w:val="24"/>
          <w:szCs w:val="24"/>
          <w:highlight w:val="none"/>
          <w:lang w:val="en-US" w:eastAsia="zh-CN"/>
        </w:rPr>
        <w:t>33002695209889W001V</w:t>
      </w:r>
      <w:r>
        <w:rPr>
          <w:rFonts w:hint="eastAsia" w:ascii="Times New Roman" w:hAnsi="Times New Roman" w:eastAsia="宋体" w:cs="Times New Roman"/>
          <w:color w:val="auto"/>
          <w:sz w:val="24"/>
          <w:szCs w:val="24"/>
          <w:highlight w:val="none"/>
          <w:lang w:val="zh-CN" w:eastAsia="zh-CN"/>
        </w:rPr>
        <w:t>，</w:t>
      </w:r>
      <w:r>
        <w:rPr>
          <w:rFonts w:hint="eastAsia" w:ascii="Times New Roman" w:hAnsi="Times New Roman" w:eastAsia="宋体" w:cs="Times New Roman"/>
          <w:color w:val="auto"/>
          <w:sz w:val="24"/>
          <w:szCs w:val="24"/>
          <w:highlight w:val="none"/>
          <w:lang w:val="en-US" w:eastAsia="zh-CN"/>
        </w:rPr>
        <w:t>有效期自2025年08月06日至2030年08月05日</w:t>
      </w:r>
      <w:r>
        <w:rPr>
          <w:rFonts w:hint="default" w:ascii="Times New Roman" w:hAnsi="Times New Roman" w:eastAsia="宋体" w:cs="Times New Roman"/>
          <w:color w:val="auto"/>
          <w:sz w:val="24"/>
          <w:szCs w:val="24"/>
          <w:highlight w:val="none"/>
          <w:lang w:val="en-US" w:eastAsia="zh-CN"/>
        </w:rPr>
        <w:t>总量要求：有组织排放颗粒物</w:t>
      </w:r>
      <w:r>
        <w:rPr>
          <w:rFonts w:hint="eastAsia" w:ascii="Times New Roman" w:hAnsi="Times New Roman" w:eastAsia="宋体" w:cs="Times New Roman"/>
          <w:color w:val="auto"/>
          <w:sz w:val="24"/>
          <w:szCs w:val="24"/>
          <w:highlight w:val="none"/>
          <w:lang w:val="en-US" w:eastAsia="zh-CN"/>
        </w:rPr>
        <w:t>25.09</w:t>
      </w:r>
      <w:r>
        <w:rPr>
          <w:rFonts w:hint="default" w:ascii="Times New Roman" w:hAnsi="Times New Roman" w:eastAsia="宋体" w:cs="Times New Roman"/>
          <w:color w:val="auto"/>
          <w:sz w:val="24"/>
          <w:szCs w:val="24"/>
          <w:highlight w:val="none"/>
          <w:lang w:val="en-US" w:eastAsia="zh-CN"/>
        </w:rPr>
        <w:t>t/a、二氧化硫</w:t>
      </w:r>
      <w:r>
        <w:rPr>
          <w:rFonts w:hint="eastAsia" w:ascii="Times New Roman" w:hAnsi="Times New Roman" w:eastAsia="宋体" w:cs="Times New Roman"/>
          <w:color w:val="auto"/>
          <w:sz w:val="24"/>
          <w:szCs w:val="24"/>
          <w:highlight w:val="none"/>
          <w:lang w:val="en-US" w:eastAsia="zh-CN"/>
        </w:rPr>
        <w:t>100.36</w:t>
      </w:r>
      <w:r>
        <w:rPr>
          <w:rFonts w:hint="default" w:ascii="Times New Roman" w:hAnsi="Times New Roman" w:eastAsia="宋体" w:cs="Times New Roman"/>
          <w:color w:val="auto"/>
          <w:sz w:val="24"/>
          <w:szCs w:val="24"/>
          <w:highlight w:val="none"/>
          <w:lang w:val="en-US" w:eastAsia="zh-CN"/>
        </w:rPr>
        <w:t>t/a、氮氧化物</w:t>
      </w:r>
      <w:r>
        <w:rPr>
          <w:rFonts w:hint="eastAsia" w:ascii="Times New Roman" w:hAnsi="Times New Roman" w:eastAsia="宋体" w:cs="Times New Roman"/>
          <w:color w:val="auto"/>
          <w:sz w:val="24"/>
          <w:szCs w:val="24"/>
          <w:highlight w:val="none"/>
          <w:lang w:val="en-US" w:eastAsia="zh-CN"/>
        </w:rPr>
        <w:t>125.45</w:t>
      </w:r>
      <w:r>
        <w:rPr>
          <w:rFonts w:hint="default" w:ascii="Times New Roman" w:hAnsi="Times New Roman" w:eastAsia="宋体" w:cs="Times New Roman"/>
          <w:color w:val="auto"/>
          <w:sz w:val="24"/>
          <w:szCs w:val="24"/>
          <w:highlight w:val="none"/>
          <w:lang w:val="en-US" w:eastAsia="zh-CN"/>
        </w:rPr>
        <w:t>t/a。</w:t>
      </w:r>
    </w:p>
    <w:p w14:paraId="328A633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default" w:ascii="Times New Roman" w:hAnsi="Times New Roman" w:eastAsia="宋体" w:cs="Times New Roman"/>
          <w:b/>
          <w:bCs/>
          <w:color w:val="auto"/>
          <w:sz w:val="28"/>
          <w:szCs w:val="28"/>
          <w:lang w:val="en-US" w:eastAsia="zh-CN"/>
        </w:rPr>
      </w:pPr>
      <w:bookmarkStart w:id="319" w:name="_Toc21250"/>
      <w:r>
        <w:rPr>
          <w:rFonts w:hint="default" w:ascii="Times New Roman" w:hAnsi="Times New Roman" w:eastAsia="宋体"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5</w:t>
      </w:r>
      <w:r>
        <w:rPr>
          <w:rFonts w:hint="default" w:ascii="Times New Roman" w:hAnsi="Times New Roman" w:eastAsia="宋体" w:cs="Times New Roman"/>
          <w:b/>
          <w:bCs/>
          <w:color w:val="auto"/>
          <w:sz w:val="28"/>
          <w:szCs w:val="28"/>
          <w:lang w:val="en-US" w:eastAsia="zh-CN"/>
        </w:rPr>
        <w:t>.</w:t>
      </w:r>
      <w:r>
        <w:rPr>
          <w:rFonts w:hint="eastAsia" w:ascii="Times New Roman" w:hAnsi="Times New Roman" w:eastAsia="宋体" w:cs="Times New Roman"/>
          <w:b/>
          <w:bCs/>
          <w:color w:val="auto"/>
          <w:sz w:val="28"/>
          <w:szCs w:val="28"/>
          <w:lang w:val="en-US" w:eastAsia="zh-CN"/>
        </w:rPr>
        <w:t>4</w:t>
      </w:r>
      <w:r>
        <w:rPr>
          <w:rFonts w:hint="default" w:ascii="Times New Roman" w:hAnsi="Times New Roman" w:eastAsia="宋体" w:cs="Times New Roman"/>
          <w:b/>
          <w:bCs/>
          <w:color w:val="auto"/>
          <w:sz w:val="28"/>
          <w:szCs w:val="28"/>
          <w:lang w:val="en-US" w:eastAsia="zh-CN"/>
        </w:rPr>
        <w:t xml:space="preserve"> </w:t>
      </w:r>
      <w:r>
        <w:rPr>
          <w:rFonts w:hint="eastAsia" w:ascii="Times New Roman" w:hAnsi="Times New Roman" w:eastAsia="宋体" w:cs="Times New Roman"/>
          <w:b/>
          <w:bCs/>
          <w:color w:val="auto"/>
          <w:sz w:val="28"/>
          <w:szCs w:val="28"/>
          <w:lang w:val="en-US" w:eastAsia="zh-CN"/>
        </w:rPr>
        <w:t>全厂污染物排放量变化情况</w:t>
      </w:r>
      <w:bookmarkEnd w:id="319"/>
    </w:p>
    <w:p w14:paraId="31D29E2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2025年建设单位对污染防治措施进行升级，以超低排放管理进行调试，运行并不稳定，调试期根据排污许可要求，执行标准仍为《锅炉大气污染物排放标准》（GB13271-2014）表1在用锅炉大气污染物排放浓度限值要求。且根据现状调查及气象资料情况，本次评价以2024年为基准年进行评价。</w:t>
      </w:r>
    </w:p>
    <w:p w14:paraId="3EFBF01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本项目投产后全厂</w:t>
      </w:r>
      <w:r>
        <w:rPr>
          <w:rFonts w:hint="eastAsia" w:ascii="Times New Roman" w:hAnsi="Times New Roman" w:eastAsia="宋体" w:cs="Times New Roman"/>
          <w:color w:val="auto"/>
          <w:sz w:val="24"/>
          <w:szCs w:val="24"/>
          <w:highlight w:val="none"/>
          <w:lang w:val="en-US" w:eastAsia="zh-CN"/>
        </w:rPr>
        <w:t>“三本账”</w:t>
      </w:r>
      <w:r>
        <w:rPr>
          <w:rFonts w:hint="default" w:ascii="Times New Roman" w:hAnsi="Times New Roman" w:eastAsia="宋体" w:cs="Times New Roman"/>
          <w:color w:val="auto"/>
          <w:sz w:val="24"/>
          <w:szCs w:val="24"/>
          <w:highlight w:val="none"/>
          <w:lang w:val="en-US" w:eastAsia="zh-CN"/>
        </w:rPr>
        <w:t>见表4</w:t>
      </w:r>
      <w:r>
        <w:rPr>
          <w:rFonts w:hint="eastAsia" w:ascii="Times New Roman" w:hAnsi="Times New Roman" w:eastAsia="宋体" w:cs="Times New Roman"/>
          <w:color w:val="auto"/>
          <w:sz w:val="24"/>
          <w:szCs w:val="24"/>
          <w:highlight w:val="none"/>
          <w:lang w:val="en-US" w:eastAsia="zh-CN"/>
        </w:rPr>
        <w:t>.5-2</w:t>
      </w:r>
      <w:r>
        <w:rPr>
          <w:rFonts w:hint="default" w:ascii="Times New Roman" w:hAnsi="Times New Roman" w:eastAsia="宋体" w:cs="Times New Roman"/>
          <w:color w:val="auto"/>
          <w:sz w:val="24"/>
          <w:szCs w:val="24"/>
          <w:highlight w:val="none"/>
          <w:lang w:val="en-US" w:eastAsia="zh-CN"/>
        </w:rPr>
        <w:t>。</w:t>
      </w:r>
    </w:p>
    <w:p w14:paraId="394E0AC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4B1C752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表4</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eastAsia="zh-CN"/>
        </w:rPr>
        <w:t xml:space="preserve">  本项目投产后全厂</w:t>
      </w:r>
      <w:r>
        <w:rPr>
          <w:rFonts w:hint="default" w:ascii="Times New Roman" w:hAnsi="Times New Roman" w:eastAsia="宋体" w:cs="Times New Roman"/>
          <w:b/>
          <w:bCs/>
          <w:color w:val="auto"/>
          <w:sz w:val="24"/>
          <w:szCs w:val="24"/>
          <w:lang w:val="en-US" w:eastAsia="zh-CN"/>
        </w:rPr>
        <w:t>“三本账”</w:t>
      </w:r>
    </w:p>
    <w:tbl>
      <w:tblPr>
        <w:tblStyle w:val="40"/>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38"/>
        <w:gridCol w:w="1750"/>
        <w:gridCol w:w="1750"/>
        <w:gridCol w:w="1789"/>
        <w:gridCol w:w="1603"/>
        <w:gridCol w:w="1352"/>
      </w:tblGrid>
      <w:tr w14:paraId="6398C6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2" w:hRule="atLeast"/>
        </w:trPr>
        <w:tc>
          <w:tcPr>
            <w:tcW w:w="559" w:type="pct"/>
            <w:tcBorders>
              <w:tl2br w:val="nil"/>
              <w:tr2bl w:val="nil"/>
            </w:tcBorders>
            <w:noWrap w:val="0"/>
            <w:vAlign w:val="center"/>
          </w:tcPr>
          <w:p w14:paraId="541921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污染物名称</w:t>
            </w:r>
          </w:p>
        </w:tc>
        <w:tc>
          <w:tcPr>
            <w:tcW w:w="942" w:type="pct"/>
            <w:tcBorders>
              <w:tl2br w:val="nil"/>
              <w:tr2bl w:val="nil"/>
            </w:tcBorders>
            <w:noWrap w:val="0"/>
            <w:vAlign w:val="center"/>
          </w:tcPr>
          <w:p w14:paraId="482427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现有工程</w:t>
            </w:r>
            <w:r>
              <w:rPr>
                <w:rFonts w:hint="eastAsia" w:ascii="Times New Roman" w:hAnsi="Times New Roman" w:cs="Times New Roman"/>
                <w:color w:val="auto"/>
                <w:sz w:val="21"/>
                <w:szCs w:val="21"/>
                <w:highlight w:val="none"/>
                <w:lang w:val="en-US" w:eastAsia="zh-CN"/>
              </w:rPr>
              <w:t>实际</w:t>
            </w:r>
            <w:r>
              <w:rPr>
                <w:rFonts w:hint="default" w:ascii="Times New Roman" w:hAnsi="Times New Roman" w:cs="Times New Roman"/>
                <w:color w:val="auto"/>
                <w:sz w:val="21"/>
                <w:szCs w:val="21"/>
                <w:highlight w:val="none"/>
                <w:lang w:val="en-US" w:eastAsia="zh-CN"/>
              </w:rPr>
              <w:t>排放量</w:t>
            </w:r>
          </w:p>
        </w:tc>
        <w:tc>
          <w:tcPr>
            <w:tcW w:w="942" w:type="pct"/>
            <w:tcBorders>
              <w:tl2br w:val="nil"/>
              <w:tr2bl w:val="nil"/>
            </w:tcBorders>
            <w:noWrap w:val="0"/>
            <w:vAlign w:val="center"/>
          </w:tcPr>
          <w:p w14:paraId="1BF984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现有工程核定排放量</w:t>
            </w:r>
            <w:r>
              <w:rPr>
                <w:rFonts w:hint="default" w:ascii="Times New Roman" w:hAnsi="Times New Roman" w:cs="Times New Roman"/>
                <w:color w:val="auto"/>
                <w:sz w:val="21"/>
                <w:szCs w:val="21"/>
                <w:highlight w:val="none"/>
                <w:lang w:val="en-US" w:eastAsia="zh-CN"/>
              </w:rPr>
              <w:t>（t/a）</w:t>
            </w:r>
          </w:p>
        </w:tc>
        <w:tc>
          <w:tcPr>
            <w:tcW w:w="963" w:type="pct"/>
            <w:tcBorders>
              <w:tl2br w:val="nil"/>
              <w:tr2bl w:val="nil"/>
            </w:tcBorders>
            <w:noWrap w:val="0"/>
            <w:vAlign w:val="center"/>
          </w:tcPr>
          <w:p w14:paraId="49DFBF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本工程排放量</w:t>
            </w:r>
            <w:r>
              <w:rPr>
                <w:rFonts w:hint="default" w:ascii="Times New Roman" w:hAnsi="Times New Roman" w:cs="Times New Roman"/>
                <w:color w:val="auto"/>
                <w:sz w:val="21"/>
                <w:szCs w:val="21"/>
                <w:highlight w:val="none"/>
                <w:lang w:val="en-US" w:eastAsia="zh-CN"/>
              </w:rPr>
              <w:t>（t/a）</w:t>
            </w:r>
          </w:p>
        </w:tc>
        <w:tc>
          <w:tcPr>
            <w:tcW w:w="863" w:type="pct"/>
            <w:tcBorders>
              <w:tl2br w:val="nil"/>
              <w:tr2bl w:val="nil"/>
            </w:tcBorders>
            <w:noWrap w:val="0"/>
            <w:vAlign w:val="center"/>
          </w:tcPr>
          <w:p w14:paraId="63F285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“以新带老”削减量</w:t>
            </w:r>
          </w:p>
        </w:tc>
        <w:tc>
          <w:tcPr>
            <w:tcW w:w="728" w:type="pct"/>
            <w:tcBorders>
              <w:tl2br w:val="nil"/>
              <w:tr2bl w:val="nil"/>
            </w:tcBorders>
            <w:noWrap w:val="0"/>
            <w:vAlign w:val="center"/>
          </w:tcPr>
          <w:p w14:paraId="72C8A1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变化量（</w:t>
            </w:r>
            <w:r>
              <w:rPr>
                <w:rFonts w:hint="default" w:ascii="Times New Roman" w:hAnsi="Times New Roman" w:cs="Times New Roman"/>
                <w:color w:val="auto"/>
                <w:sz w:val="21"/>
                <w:szCs w:val="21"/>
                <w:highlight w:val="none"/>
                <w:lang w:val="en-US" w:eastAsia="zh-CN"/>
              </w:rPr>
              <w:t>t/a）</w:t>
            </w:r>
          </w:p>
        </w:tc>
      </w:tr>
      <w:tr w14:paraId="4098D7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4" w:hRule="atLeast"/>
        </w:trPr>
        <w:tc>
          <w:tcPr>
            <w:tcW w:w="559" w:type="pct"/>
            <w:tcBorders>
              <w:tl2br w:val="nil"/>
              <w:tr2bl w:val="nil"/>
            </w:tcBorders>
            <w:noWrap w:val="0"/>
            <w:vAlign w:val="center"/>
          </w:tcPr>
          <w:p w14:paraId="7CF45D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942" w:type="pct"/>
            <w:tcBorders>
              <w:tl2br w:val="nil"/>
              <w:tr2bl w:val="nil"/>
            </w:tcBorders>
            <w:noWrap w:val="0"/>
            <w:vAlign w:val="center"/>
          </w:tcPr>
          <w:p w14:paraId="5A56A6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6.15495</w:t>
            </w:r>
          </w:p>
        </w:tc>
        <w:tc>
          <w:tcPr>
            <w:tcW w:w="942" w:type="pct"/>
            <w:tcBorders>
              <w:tl2br w:val="nil"/>
              <w:tr2bl w:val="nil"/>
            </w:tcBorders>
            <w:noWrap w:val="0"/>
            <w:vAlign w:val="center"/>
          </w:tcPr>
          <w:p w14:paraId="3AE31A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25.09</w:t>
            </w:r>
          </w:p>
        </w:tc>
        <w:tc>
          <w:tcPr>
            <w:tcW w:w="963" w:type="pct"/>
            <w:tcBorders>
              <w:tl2br w:val="nil"/>
              <w:tr2bl w:val="nil"/>
            </w:tcBorders>
            <w:noWrap w:val="0"/>
            <w:vAlign w:val="center"/>
          </w:tcPr>
          <w:p w14:paraId="459484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6.990</w:t>
            </w:r>
          </w:p>
        </w:tc>
        <w:tc>
          <w:tcPr>
            <w:tcW w:w="863" w:type="pct"/>
            <w:tcBorders>
              <w:tl2br w:val="nil"/>
              <w:tr2bl w:val="nil"/>
            </w:tcBorders>
            <w:shd w:val="clear" w:color="auto" w:fill="auto"/>
            <w:noWrap w:val="0"/>
            <w:vAlign w:val="center"/>
          </w:tcPr>
          <w:p w14:paraId="600845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6.15495</w:t>
            </w:r>
          </w:p>
        </w:tc>
        <w:tc>
          <w:tcPr>
            <w:tcW w:w="728" w:type="pct"/>
            <w:tcBorders>
              <w:tl2br w:val="nil"/>
              <w:tr2bl w:val="nil"/>
            </w:tcBorders>
            <w:noWrap w:val="0"/>
            <w:vAlign w:val="center"/>
          </w:tcPr>
          <w:p w14:paraId="0BD35B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+0.83505</w:t>
            </w:r>
          </w:p>
        </w:tc>
      </w:tr>
      <w:tr w14:paraId="0FD574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4" w:hRule="atLeast"/>
        </w:trPr>
        <w:tc>
          <w:tcPr>
            <w:tcW w:w="559" w:type="pct"/>
            <w:tcBorders>
              <w:tl2br w:val="nil"/>
              <w:tr2bl w:val="nil"/>
            </w:tcBorders>
            <w:noWrap w:val="0"/>
            <w:vAlign w:val="center"/>
          </w:tcPr>
          <w:p w14:paraId="7E9A3C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SO</w:t>
            </w:r>
            <w:r>
              <w:rPr>
                <w:rFonts w:hint="default" w:ascii="Times New Roman" w:hAnsi="Times New Roman" w:cs="Times New Roman"/>
                <w:color w:val="auto"/>
                <w:sz w:val="21"/>
                <w:szCs w:val="21"/>
                <w:highlight w:val="none"/>
                <w:vertAlign w:val="subscript"/>
                <w:lang w:val="en-US" w:eastAsia="zh-CN"/>
              </w:rPr>
              <w:t>2</w:t>
            </w:r>
          </w:p>
        </w:tc>
        <w:tc>
          <w:tcPr>
            <w:tcW w:w="942" w:type="pct"/>
            <w:tcBorders>
              <w:tl2br w:val="nil"/>
              <w:tr2bl w:val="nil"/>
            </w:tcBorders>
            <w:noWrap w:val="0"/>
            <w:vAlign w:val="center"/>
          </w:tcPr>
          <w:p w14:paraId="42D527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52.07398</w:t>
            </w:r>
          </w:p>
        </w:tc>
        <w:tc>
          <w:tcPr>
            <w:tcW w:w="942" w:type="pct"/>
            <w:tcBorders>
              <w:tl2br w:val="nil"/>
              <w:tr2bl w:val="nil"/>
            </w:tcBorders>
            <w:noWrap w:val="0"/>
            <w:vAlign w:val="center"/>
          </w:tcPr>
          <w:p w14:paraId="57D36B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100.36</w:t>
            </w:r>
          </w:p>
        </w:tc>
        <w:tc>
          <w:tcPr>
            <w:tcW w:w="963" w:type="pct"/>
            <w:tcBorders>
              <w:tl2br w:val="nil"/>
              <w:tr2bl w:val="nil"/>
            </w:tcBorders>
            <w:noWrap w:val="0"/>
            <w:vAlign w:val="center"/>
          </w:tcPr>
          <w:p w14:paraId="17584D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11.388</w:t>
            </w:r>
          </w:p>
        </w:tc>
        <w:tc>
          <w:tcPr>
            <w:tcW w:w="863" w:type="pct"/>
            <w:tcBorders>
              <w:tl2br w:val="nil"/>
              <w:tr2bl w:val="nil"/>
            </w:tcBorders>
            <w:shd w:val="clear" w:color="auto" w:fill="auto"/>
            <w:noWrap w:val="0"/>
            <w:vAlign w:val="center"/>
          </w:tcPr>
          <w:p w14:paraId="231313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52.07398</w:t>
            </w:r>
          </w:p>
        </w:tc>
        <w:tc>
          <w:tcPr>
            <w:tcW w:w="728" w:type="pct"/>
            <w:tcBorders>
              <w:tl2br w:val="nil"/>
              <w:tr2bl w:val="nil"/>
            </w:tcBorders>
            <w:noWrap w:val="0"/>
            <w:vAlign w:val="center"/>
          </w:tcPr>
          <w:p w14:paraId="639268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-40.68598</w:t>
            </w:r>
          </w:p>
        </w:tc>
      </w:tr>
      <w:tr w14:paraId="40B348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0" w:hRule="atLeast"/>
        </w:trPr>
        <w:tc>
          <w:tcPr>
            <w:tcW w:w="559" w:type="pct"/>
            <w:tcBorders>
              <w:tl2br w:val="nil"/>
              <w:tr2bl w:val="nil"/>
            </w:tcBorders>
            <w:noWrap w:val="0"/>
            <w:vAlign w:val="center"/>
          </w:tcPr>
          <w:p w14:paraId="2E9F69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NO</w:t>
            </w:r>
            <w:r>
              <w:rPr>
                <w:rFonts w:hint="default" w:ascii="Times New Roman" w:hAnsi="Times New Roman" w:cs="Times New Roman"/>
                <w:color w:val="auto"/>
                <w:sz w:val="21"/>
                <w:szCs w:val="21"/>
                <w:highlight w:val="none"/>
                <w:vertAlign w:val="subscript"/>
                <w:lang w:val="en-US" w:eastAsia="zh-CN"/>
              </w:rPr>
              <w:t>x</w:t>
            </w:r>
          </w:p>
        </w:tc>
        <w:tc>
          <w:tcPr>
            <w:tcW w:w="942" w:type="pct"/>
            <w:tcBorders>
              <w:tl2br w:val="nil"/>
              <w:tr2bl w:val="nil"/>
            </w:tcBorders>
            <w:noWrap w:val="0"/>
            <w:vAlign w:val="center"/>
          </w:tcPr>
          <w:p w14:paraId="766DEC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73.13853</w:t>
            </w:r>
          </w:p>
        </w:tc>
        <w:tc>
          <w:tcPr>
            <w:tcW w:w="942" w:type="pct"/>
            <w:tcBorders>
              <w:tl2br w:val="nil"/>
              <w:tr2bl w:val="nil"/>
            </w:tcBorders>
            <w:noWrap w:val="0"/>
            <w:vAlign w:val="center"/>
          </w:tcPr>
          <w:p w14:paraId="7EC485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125.45</w:t>
            </w:r>
          </w:p>
        </w:tc>
        <w:tc>
          <w:tcPr>
            <w:tcW w:w="963" w:type="pct"/>
            <w:tcBorders>
              <w:tl2br w:val="nil"/>
              <w:tr2bl w:val="nil"/>
            </w:tcBorders>
            <w:noWrap w:val="0"/>
            <w:vAlign w:val="center"/>
          </w:tcPr>
          <w:p w14:paraId="7AF05E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54.422</w:t>
            </w:r>
          </w:p>
        </w:tc>
        <w:tc>
          <w:tcPr>
            <w:tcW w:w="863" w:type="pct"/>
            <w:tcBorders>
              <w:tl2br w:val="nil"/>
              <w:tr2bl w:val="nil"/>
            </w:tcBorders>
            <w:shd w:val="clear" w:color="auto" w:fill="auto"/>
            <w:noWrap w:val="0"/>
            <w:vAlign w:val="center"/>
          </w:tcPr>
          <w:p w14:paraId="33607B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73.13853</w:t>
            </w:r>
          </w:p>
        </w:tc>
        <w:tc>
          <w:tcPr>
            <w:tcW w:w="728" w:type="pct"/>
            <w:tcBorders>
              <w:tl2br w:val="nil"/>
              <w:tr2bl w:val="nil"/>
            </w:tcBorders>
            <w:noWrap w:val="0"/>
            <w:vAlign w:val="center"/>
          </w:tcPr>
          <w:p w14:paraId="3083EA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18.71653</w:t>
            </w:r>
          </w:p>
        </w:tc>
      </w:tr>
    </w:tbl>
    <w:p w14:paraId="2AB80BB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本项目投产后全厂</w:t>
      </w:r>
      <w:r>
        <w:rPr>
          <w:rFonts w:hint="eastAsia" w:ascii="Times New Roman" w:hAnsi="Times New Roman" w:eastAsia="宋体" w:cs="Times New Roman"/>
          <w:color w:val="auto"/>
          <w:sz w:val="24"/>
          <w:szCs w:val="24"/>
          <w:highlight w:val="none"/>
          <w:lang w:val="en-US" w:eastAsia="zh-CN"/>
        </w:rPr>
        <w:t>核定排放量</w:t>
      </w:r>
      <w:r>
        <w:rPr>
          <w:rFonts w:hint="default" w:ascii="Times New Roman" w:hAnsi="Times New Roman" w:eastAsia="宋体" w:cs="Times New Roman"/>
          <w:color w:val="auto"/>
          <w:sz w:val="24"/>
          <w:szCs w:val="24"/>
          <w:highlight w:val="none"/>
          <w:lang w:val="en-US" w:eastAsia="zh-CN"/>
        </w:rPr>
        <w:t>情况见表4</w:t>
      </w:r>
      <w:r>
        <w:rPr>
          <w:rFonts w:hint="eastAsia" w:ascii="Times New Roman" w:hAnsi="Times New Roman" w:eastAsia="宋体" w:cs="Times New Roman"/>
          <w:color w:val="auto"/>
          <w:sz w:val="24"/>
          <w:szCs w:val="24"/>
          <w:highlight w:val="none"/>
          <w:lang w:val="en-US" w:eastAsia="zh-CN"/>
        </w:rPr>
        <w:t>.5-3</w:t>
      </w:r>
      <w:r>
        <w:rPr>
          <w:rFonts w:hint="default" w:ascii="Times New Roman" w:hAnsi="Times New Roman" w:eastAsia="宋体" w:cs="Times New Roman"/>
          <w:color w:val="auto"/>
          <w:sz w:val="24"/>
          <w:szCs w:val="24"/>
          <w:highlight w:val="none"/>
          <w:lang w:val="en-US" w:eastAsia="zh-CN"/>
        </w:rPr>
        <w:t>。</w:t>
      </w:r>
    </w:p>
    <w:p w14:paraId="36EFE09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表4</w:t>
      </w:r>
      <w:r>
        <w:rPr>
          <w:rFonts w:hint="eastAsia" w:ascii="Times New Roman" w:hAnsi="Times New Roman" w:eastAsia="宋体" w:cs="Times New Roman"/>
          <w:b/>
          <w:bCs/>
          <w:color w:val="auto"/>
          <w:sz w:val="24"/>
          <w:szCs w:val="24"/>
          <w:lang w:val="en-US" w:eastAsia="zh-CN"/>
        </w:rPr>
        <w:t>.5-3</w:t>
      </w:r>
      <w:r>
        <w:rPr>
          <w:rFonts w:hint="default" w:ascii="Times New Roman" w:hAnsi="Times New Roman" w:eastAsia="宋体" w:cs="Times New Roman"/>
          <w:b/>
          <w:bCs/>
          <w:color w:val="auto"/>
          <w:sz w:val="24"/>
          <w:szCs w:val="24"/>
          <w:lang w:eastAsia="zh-CN"/>
        </w:rPr>
        <w:t xml:space="preserve"> 本项目投产后全厂废气</w:t>
      </w:r>
      <w:r>
        <w:rPr>
          <w:rFonts w:hint="eastAsia" w:ascii="Times New Roman" w:hAnsi="Times New Roman" w:eastAsia="宋体" w:cs="Times New Roman"/>
          <w:b/>
          <w:bCs/>
          <w:color w:val="auto"/>
          <w:sz w:val="24"/>
          <w:szCs w:val="24"/>
          <w:lang w:val="en-US" w:eastAsia="zh-CN"/>
        </w:rPr>
        <w:t>许可</w:t>
      </w:r>
      <w:r>
        <w:rPr>
          <w:rFonts w:hint="default" w:ascii="Times New Roman" w:hAnsi="Times New Roman" w:eastAsia="宋体" w:cs="Times New Roman"/>
          <w:b/>
          <w:bCs/>
          <w:color w:val="auto"/>
          <w:sz w:val="24"/>
          <w:szCs w:val="24"/>
          <w:lang w:eastAsia="zh-CN"/>
        </w:rPr>
        <w:t>排放量统计</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24"/>
        <w:gridCol w:w="1741"/>
        <w:gridCol w:w="1542"/>
        <w:gridCol w:w="1910"/>
        <w:gridCol w:w="1726"/>
        <w:gridCol w:w="1339"/>
      </w:tblGrid>
      <w:tr w14:paraId="1462E1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7" w:hRule="atLeast"/>
          <w:jc w:val="center"/>
        </w:trPr>
        <w:tc>
          <w:tcPr>
            <w:tcW w:w="552" w:type="pct"/>
            <w:tcBorders>
              <w:tl2br w:val="nil"/>
              <w:tr2bl w:val="nil"/>
            </w:tcBorders>
            <w:vAlign w:val="center"/>
          </w:tcPr>
          <w:p w14:paraId="6845BB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污染物</w:t>
            </w:r>
          </w:p>
        </w:tc>
        <w:tc>
          <w:tcPr>
            <w:tcW w:w="937" w:type="pct"/>
            <w:tcBorders>
              <w:tl2br w:val="nil"/>
              <w:tr2bl w:val="nil"/>
            </w:tcBorders>
            <w:vAlign w:val="center"/>
          </w:tcPr>
          <w:p w14:paraId="684691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现有工程许可排放量</w:t>
            </w:r>
          </w:p>
        </w:tc>
        <w:tc>
          <w:tcPr>
            <w:tcW w:w="830" w:type="pct"/>
            <w:tcBorders>
              <w:tl2br w:val="nil"/>
              <w:tr2bl w:val="nil"/>
            </w:tcBorders>
            <w:vAlign w:val="center"/>
          </w:tcPr>
          <w:p w14:paraId="2C6FF9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本工程核定排放量</w:t>
            </w:r>
          </w:p>
        </w:tc>
        <w:tc>
          <w:tcPr>
            <w:tcW w:w="1028" w:type="pct"/>
            <w:tcBorders>
              <w:tl2br w:val="nil"/>
              <w:tr2bl w:val="nil"/>
            </w:tcBorders>
            <w:vAlign w:val="center"/>
          </w:tcPr>
          <w:p w14:paraId="68B0A0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“以新带老”削减量</w:t>
            </w:r>
          </w:p>
        </w:tc>
        <w:tc>
          <w:tcPr>
            <w:tcW w:w="929" w:type="pct"/>
            <w:tcBorders>
              <w:tl2br w:val="nil"/>
              <w:tr2bl w:val="nil"/>
            </w:tcBorders>
            <w:vAlign w:val="center"/>
          </w:tcPr>
          <w:p w14:paraId="63ED1F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总体工程核定排放总量</w:t>
            </w:r>
          </w:p>
        </w:tc>
        <w:tc>
          <w:tcPr>
            <w:tcW w:w="721" w:type="pct"/>
            <w:tcBorders>
              <w:tl2br w:val="nil"/>
              <w:tr2bl w:val="nil"/>
            </w:tcBorders>
            <w:vAlign w:val="center"/>
          </w:tcPr>
          <w:p w14:paraId="715D32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核定排放增减量</w:t>
            </w:r>
          </w:p>
        </w:tc>
      </w:tr>
      <w:tr w14:paraId="7C3CC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9" w:hRule="atLeast"/>
          <w:jc w:val="center"/>
        </w:trPr>
        <w:tc>
          <w:tcPr>
            <w:tcW w:w="552" w:type="pct"/>
            <w:tcBorders>
              <w:tl2br w:val="nil"/>
              <w:tr2bl w:val="nil"/>
            </w:tcBorders>
            <w:vAlign w:val="center"/>
          </w:tcPr>
          <w:p w14:paraId="656F66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937" w:type="pct"/>
            <w:tcBorders>
              <w:tl2br w:val="nil"/>
              <w:tr2bl w:val="nil"/>
            </w:tcBorders>
            <w:vAlign w:val="center"/>
          </w:tcPr>
          <w:p w14:paraId="6122BF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25.09</w:t>
            </w:r>
          </w:p>
        </w:tc>
        <w:tc>
          <w:tcPr>
            <w:tcW w:w="1542" w:type="dxa"/>
            <w:tcBorders>
              <w:tl2br w:val="nil"/>
              <w:tr2bl w:val="nil"/>
            </w:tcBorders>
            <w:vAlign w:val="center"/>
          </w:tcPr>
          <w:p w14:paraId="5531195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15.55</w:t>
            </w:r>
          </w:p>
        </w:tc>
        <w:tc>
          <w:tcPr>
            <w:tcW w:w="1028" w:type="pct"/>
            <w:tcBorders>
              <w:tl2br w:val="nil"/>
              <w:tr2bl w:val="nil"/>
            </w:tcBorders>
            <w:vAlign w:val="center"/>
          </w:tcPr>
          <w:p w14:paraId="4A84E3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6.15495</w:t>
            </w:r>
          </w:p>
        </w:tc>
        <w:tc>
          <w:tcPr>
            <w:tcW w:w="1726" w:type="dxa"/>
            <w:tcBorders>
              <w:tl2br w:val="nil"/>
              <w:tr2bl w:val="nil"/>
            </w:tcBorders>
            <w:vAlign w:val="center"/>
          </w:tcPr>
          <w:p w14:paraId="77E263E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15.55</w:t>
            </w:r>
          </w:p>
        </w:tc>
        <w:tc>
          <w:tcPr>
            <w:tcW w:w="721" w:type="pct"/>
            <w:tcBorders>
              <w:tl2br w:val="nil"/>
              <w:tr2bl w:val="nil"/>
            </w:tcBorders>
            <w:vAlign w:val="center"/>
          </w:tcPr>
          <w:p w14:paraId="2D3CB8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9.54</w:t>
            </w:r>
          </w:p>
        </w:tc>
      </w:tr>
      <w:tr w14:paraId="328150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9" w:hRule="atLeast"/>
          <w:jc w:val="center"/>
        </w:trPr>
        <w:tc>
          <w:tcPr>
            <w:tcW w:w="552" w:type="pct"/>
            <w:tcBorders>
              <w:tl2br w:val="nil"/>
              <w:tr2bl w:val="nil"/>
            </w:tcBorders>
            <w:vAlign w:val="center"/>
          </w:tcPr>
          <w:p w14:paraId="16B519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SO</w:t>
            </w:r>
            <w:r>
              <w:rPr>
                <w:rFonts w:hint="default" w:ascii="Times New Roman" w:hAnsi="Times New Roman" w:cs="Times New Roman"/>
                <w:color w:val="auto"/>
                <w:sz w:val="21"/>
                <w:szCs w:val="21"/>
                <w:highlight w:val="none"/>
                <w:vertAlign w:val="subscript"/>
                <w:lang w:val="en-US" w:eastAsia="zh-CN"/>
              </w:rPr>
              <w:t>2</w:t>
            </w:r>
          </w:p>
        </w:tc>
        <w:tc>
          <w:tcPr>
            <w:tcW w:w="937" w:type="pct"/>
            <w:tcBorders>
              <w:tl2br w:val="nil"/>
              <w:tr2bl w:val="nil"/>
            </w:tcBorders>
            <w:vAlign w:val="center"/>
          </w:tcPr>
          <w:p w14:paraId="2C2207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100.36</w:t>
            </w:r>
          </w:p>
        </w:tc>
        <w:tc>
          <w:tcPr>
            <w:tcW w:w="1542" w:type="dxa"/>
            <w:tcBorders>
              <w:tl2br w:val="nil"/>
              <w:tr2bl w:val="nil"/>
            </w:tcBorders>
            <w:vAlign w:val="center"/>
          </w:tcPr>
          <w:p w14:paraId="0F59D83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74.64</w:t>
            </w:r>
          </w:p>
        </w:tc>
        <w:tc>
          <w:tcPr>
            <w:tcW w:w="1028" w:type="pct"/>
            <w:tcBorders>
              <w:tl2br w:val="nil"/>
              <w:tr2bl w:val="nil"/>
            </w:tcBorders>
            <w:vAlign w:val="center"/>
          </w:tcPr>
          <w:p w14:paraId="288A13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52.07398</w:t>
            </w:r>
          </w:p>
        </w:tc>
        <w:tc>
          <w:tcPr>
            <w:tcW w:w="1726" w:type="dxa"/>
            <w:tcBorders>
              <w:tl2br w:val="nil"/>
              <w:tr2bl w:val="nil"/>
            </w:tcBorders>
            <w:vAlign w:val="center"/>
          </w:tcPr>
          <w:p w14:paraId="4FBC3B3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74.64</w:t>
            </w:r>
          </w:p>
        </w:tc>
        <w:tc>
          <w:tcPr>
            <w:tcW w:w="721" w:type="pct"/>
            <w:tcBorders>
              <w:tl2br w:val="nil"/>
              <w:tr2bl w:val="nil"/>
            </w:tcBorders>
            <w:vAlign w:val="center"/>
          </w:tcPr>
          <w:p w14:paraId="53C4C7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25.72</w:t>
            </w:r>
          </w:p>
        </w:tc>
      </w:tr>
      <w:tr w14:paraId="70E7C4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jc w:val="center"/>
        </w:trPr>
        <w:tc>
          <w:tcPr>
            <w:tcW w:w="552" w:type="pct"/>
            <w:tcBorders>
              <w:tl2br w:val="nil"/>
              <w:tr2bl w:val="nil"/>
            </w:tcBorders>
            <w:vAlign w:val="center"/>
          </w:tcPr>
          <w:p w14:paraId="535F7F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NO</w:t>
            </w:r>
            <w:r>
              <w:rPr>
                <w:rFonts w:hint="default" w:ascii="Times New Roman" w:hAnsi="Times New Roman" w:cs="Times New Roman"/>
                <w:color w:val="auto"/>
                <w:sz w:val="21"/>
                <w:szCs w:val="21"/>
                <w:highlight w:val="none"/>
                <w:vertAlign w:val="subscript"/>
                <w:lang w:val="en-US" w:eastAsia="zh-CN"/>
              </w:rPr>
              <w:t>x</w:t>
            </w:r>
          </w:p>
        </w:tc>
        <w:tc>
          <w:tcPr>
            <w:tcW w:w="937" w:type="pct"/>
            <w:tcBorders>
              <w:tl2br w:val="nil"/>
              <w:tr2bl w:val="nil"/>
            </w:tcBorders>
            <w:vAlign w:val="center"/>
          </w:tcPr>
          <w:p w14:paraId="59A9E5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125.45</w:t>
            </w:r>
          </w:p>
        </w:tc>
        <w:tc>
          <w:tcPr>
            <w:tcW w:w="1542" w:type="dxa"/>
            <w:tcBorders>
              <w:tl2br w:val="nil"/>
              <w:tr2bl w:val="nil"/>
            </w:tcBorders>
            <w:vAlign w:val="center"/>
          </w:tcPr>
          <w:p w14:paraId="6C33B7B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93.30</w:t>
            </w:r>
          </w:p>
        </w:tc>
        <w:tc>
          <w:tcPr>
            <w:tcW w:w="1028" w:type="pct"/>
            <w:tcBorders>
              <w:tl2br w:val="nil"/>
              <w:tr2bl w:val="nil"/>
            </w:tcBorders>
            <w:vAlign w:val="center"/>
          </w:tcPr>
          <w:p w14:paraId="130E9C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73.13853</w:t>
            </w:r>
          </w:p>
        </w:tc>
        <w:tc>
          <w:tcPr>
            <w:tcW w:w="1726" w:type="dxa"/>
            <w:tcBorders>
              <w:tl2br w:val="nil"/>
              <w:tr2bl w:val="nil"/>
            </w:tcBorders>
            <w:vAlign w:val="center"/>
          </w:tcPr>
          <w:p w14:paraId="35EAFFC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93.30</w:t>
            </w:r>
          </w:p>
        </w:tc>
        <w:tc>
          <w:tcPr>
            <w:tcW w:w="721" w:type="pct"/>
            <w:tcBorders>
              <w:tl2br w:val="nil"/>
              <w:tr2bl w:val="nil"/>
            </w:tcBorders>
            <w:vAlign w:val="center"/>
          </w:tcPr>
          <w:p w14:paraId="1481FE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32.15</w:t>
            </w:r>
          </w:p>
        </w:tc>
      </w:tr>
    </w:tbl>
    <w:p w14:paraId="5E5DE37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本工程建成后，烟尘、二氧化硫、氮氧化物许可排放量分别为15.55t/a、74.64t/a、93.30t/a，均低于现有工程许可排放量25.09t/a、100.36t/a、125.45t/a，分别减少9.54t/a，25.72t/a，32.15t/a。许可排放量可在现有工程平衡解决。</w:t>
      </w:r>
    </w:p>
    <w:p w14:paraId="55100D9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根据《双鸭山市生态环境局关于北大荒集团八五二农场两供两治一业供热改造项目污染物排放总量认定的函》及本项目污染物核算可知，项目改建完成后，能够实现削减颗粒物9.54t/a，二氧化硫25.72t/a，氮氧化物32.15t/a。</w:t>
      </w:r>
    </w:p>
    <w:p w14:paraId="013273D8">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lang w:val="en-US" w:eastAsia="zh-CN"/>
        </w:rPr>
      </w:pPr>
      <w:bookmarkStart w:id="320" w:name="_Toc26622"/>
      <w:r>
        <w:rPr>
          <w:rFonts w:hint="eastAsia" w:ascii="Times New Roman" w:hAnsi="Times New Roman" w:eastAsia="宋体" w:cs="Times New Roman"/>
          <w:b/>
          <w:bCs/>
          <w:color w:val="auto"/>
          <w:lang w:val="en-US" w:eastAsia="zh-CN"/>
        </w:rPr>
        <w:t xml:space="preserve">4.6 </w:t>
      </w:r>
      <w:r>
        <w:rPr>
          <w:rFonts w:hint="default" w:ascii="Times New Roman" w:hAnsi="Times New Roman" w:eastAsia="宋体" w:cs="Times New Roman"/>
          <w:b/>
          <w:bCs/>
          <w:color w:val="auto"/>
          <w:lang w:val="en-US" w:eastAsia="zh-CN"/>
        </w:rPr>
        <w:t>清洁生产分析</w:t>
      </w:r>
      <w:bookmarkEnd w:id="313"/>
      <w:bookmarkEnd w:id="320"/>
    </w:p>
    <w:p w14:paraId="545DD00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4.6.1 清洁生产的内容</w:t>
      </w:r>
    </w:p>
    <w:p w14:paraId="5A61CE47">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清洁生产是将污染预防的方针持续应用于生产过程、产品和服务中，以减少对人类的危害。因此，将清洁生产纳入环境影响评价工作中，使环境影响评价内容更加完善，在预防和控制污染方面发挥更大的作用。</w:t>
      </w:r>
    </w:p>
    <w:p w14:paraId="49C32D51">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清洁生产追求的目标是在生产过程、产品的设计和开发以及服务过程中，充分提高效率，减少污染物的产生，从而达到环境效益和经济效益双赢，那些落后的技术工艺，陈旧的设备因不符合清洁生产的要求而被否定。</w:t>
      </w:r>
    </w:p>
    <w:p w14:paraId="1CB7749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中华人民共和国清洁生产促进法》中第二条明确规定：清洁生产是指不断采取改进设计、使用清洁的能源和原料、采用先进的工艺技术和设备、改善管理、综合利用等措施，从源头削减污染，提高资源利用效率，减少或者消除对人类健康和环境的危害。第十八条规定：“新建、改建和扩建项目应当进行环境影响评价，对原料使用、资源消耗、资源综合利用以及污染物产生与处置等进行分析论证，优先采用资源利用率高以及污染物产生量少和清洁生产技术、工艺和设备。”</w:t>
      </w:r>
    </w:p>
    <w:p w14:paraId="78B50C48">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环境保护总局环控</w:t>
      </w:r>
      <w:r>
        <w:rPr>
          <w:rFonts w:hint="eastAsia" w:ascii="Times New Roman" w:hAnsi="Times New Roman" w:eastAsia="宋体" w:cs="Times New Roman"/>
          <w:color w:val="auto"/>
          <w:kern w:val="2"/>
          <w:sz w:val="24"/>
          <w:szCs w:val="24"/>
          <w:highlight w:val="none"/>
          <w:lang w:val="zh-CN" w:eastAsia="zh-CN" w:bidi="ar-SA"/>
        </w:rPr>
        <w:t>〔</w:t>
      </w:r>
      <w:r>
        <w:rPr>
          <w:rFonts w:hint="eastAsia" w:ascii="Times New Roman" w:hAnsi="Times New Roman" w:eastAsia="宋体" w:cs="Times New Roman"/>
          <w:color w:val="auto"/>
          <w:kern w:val="2"/>
          <w:sz w:val="24"/>
          <w:szCs w:val="24"/>
          <w:highlight w:val="none"/>
          <w:lang w:val="en-US" w:eastAsia="zh-CN" w:bidi="ar-SA"/>
        </w:rPr>
        <w:t>1997</w:t>
      </w:r>
      <w:r>
        <w:rPr>
          <w:rFonts w:hint="eastAsia" w:ascii="Times New Roman" w:hAnsi="Times New Roman" w:eastAsia="宋体" w:cs="Times New Roman"/>
          <w:color w:val="auto"/>
          <w:kern w:val="2"/>
          <w:sz w:val="24"/>
          <w:szCs w:val="24"/>
          <w:highlight w:val="none"/>
          <w:lang w:val="zh-CN" w:eastAsia="zh-CN" w:bidi="ar-SA"/>
        </w:rPr>
        <w:t>〕</w:t>
      </w:r>
      <w:r>
        <w:rPr>
          <w:rFonts w:hint="default" w:ascii="Times New Roman" w:hAnsi="Times New Roman" w:eastAsia="宋体" w:cs="Times New Roman"/>
          <w:color w:val="auto"/>
          <w:kern w:val="2"/>
          <w:sz w:val="24"/>
          <w:szCs w:val="24"/>
          <w:highlight w:val="none"/>
          <w:lang w:val="zh-CN" w:eastAsia="zh-CN" w:bidi="ar-SA"/>
        </w:rPr>
        <w:t>0232号“关于推行清洁生产若干意见”中，明确提出建设项目的环境评价应包括清洁生产的内容；对于使用限期淘汰的落后工艺和设备，不符合清洁生产要求的建设项目，环境保护行政主管部门不得批准其立项，环境影响评价报告书所提出的清洁生产措施要与主体工程“同时设计、同时施工、同时投产”。</w:t>
      </w:r>
    </w:p>
    <w:p w14:paraId="68CEAD3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本工程为城市集中供热，属于</w:t>
      </w:r>
      <w:r>
        <w:rPr>
          <w:rFonts w:hint="eastAsia" w:ascii="Times New Roman" w:hAnsi="Times New Roman" w:eastAsia="宋体" w:cs="Times New Roman"/>
          <w:color w:val="auto"/>
          <w:kern w:val="2"/>
          <w:sz w:val="24"/>
          <w:szCs w:val="24"/>
          <w:highlight w:val="none"/>
          <w:lang w:val="zh-CN" w:eastAsia="zh-CN" w:bidi="ar-SA"/>
        </w:rPr>
        <w:t>《</w:t>
      </w:r>
      <w:r>
        <w:rPr>
          <w:rFonts w:hint="default" w:ascii="Times New Roman" w:hAnsi="Times New Roman" w:eastAsia="宋体" w:cs="Times New Roman"/>
          <w:color w:val="auto"/>
          <w:kern w:val="2"/>
          <w:sz w:val="24"/>
          <w:szCs w:val="24"/>
          <w:highlight w:val="none"/>
          <w:lang w:val="zh-CN" w:eastAsia="zh-CN" w:bidi="ar-SA"/>
        </w:rPr>
        <w:t>产业结构调整指导目录（2024年本）</w:t>
      </w:r>
      <w:r>
        <w:rPr>
          <w:rFonts w:hint="eastAsia" w:ascii="Times New Roman" w:hAnsi="Times New Roman" w:eastAsia="宋体" w:cs="Times New Roman"/>
          <w:color w:val="auto"/>
          <w:kern w:val="2"/>
          <w:sz w:val="24"/>
          <w:szCs w:val="24"/>
          <w:highlight w:val="none"/>
          <w:lang w:val="zh-CN" w:eastAsia="zh-CN" w:bidi="ar-SA"/>
        </w:rPr>
        <w:t>》（2024修订）中的“鼓励类”中“二十二、城镇基础设施-2、城镇集中供热建设和改造工程”，</w:t>
      </w:r>
      <w:r>
        <w:rPr>
          <w:rFonts w:hint="eastAsia" w:ascii="Times New Roman" w:hAnsi="Times New Roman" w:eastAsia="宋体" w:cs="Times New Roman"/>
          <w:color w:val="auto"/>
          <w:kern w:val="2"/>
          <w:sz w:val="24"/>
          <w:szCs w:val="24"/>
          <w:highlight w:val="none"/>
          <w:lang w:val="en-US" w:eastAsia="zh-CN" w:bidi="ar-SA"/>
        </w:rPr>
        <w:t>不属于第二类限制类中第三项“电力”第三条“达不到超低排放要求的煤电机组（采用特殊炉型的机组除外）和燃煤锅炉”，第十一项“机械”第58条为“县级及以上城市建成区每小时 35 蒸吨以下的燃煤锅炉，其他区域每小时 10 蒸吨以下的燃煤锅炉”，</w:t>
      </w:r>
      <w:r>
        <w:rPr>
          <w:rFonts w:hint="default" w:ascii="Times New Roman" w:hAnsi="Times New Roman" w:eastAsia="宋体" w:cs="Times New Roman"/>
          <w:color w:val="auto"/>
          <w:kern w:val="2"/>
          <w:sz w:val="24"/>
          <w:szCs w:val="24"/>
          <w:highlight w:val="none"/>
          <w:lang w:val="zh-CN" w:eastAsia="zh-CN" w:bidi="ar-SA"/>
        </w:rPr>
        <w:t>本工程从燃料选用到产品（热）出厂的全过程中全面贯彻清洁生产原则，十分重视燃料的选择、运输及贮存。采用的供热方式、采用的燃烧技术均为能够有效减少污染物的产生，本工程对生产废水进行处理后回用，并将所产生的灰渣作为综合利用的原料进行外售，使其能得到100%的利用，所有这些，均可进一步降低污染物的产生量。</w:t>
      </w:r>
    </w:p>
    <w:p w14:paraId="2620979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21" w:name="_Toc28788"/>
      <w:bookmarkStart w:id="322" w:name="_Toc8641"/>
      <w:bookmarkStart w:id="323" w:name="_Toc26077"/>
      <w:bookmarkStart w:id="324" w:name="_Toc30087"/>
      <w:bookmarkStart w:id="325" w:name="_Toc105659914"/>
      <w:bookmarkStart w:id="326" w:name="_Toc107238131"/>
      <w:r>
        <w:rPr>
          <w:rFonts w:hint="eastAsia" w:ascii="Times New Roman" w:hAnsi="Times New Roman" w:eastAsia="宋体" w:cs="Times New Roman"/>
          <w:b/>
          <w:bCs/>
          <w:color w:val="auto"/>
          <w:sz w:val="28"/>
          <w:szCs w:val="28"/>
          <w:lang w:val="en-US" w:eastAsia="zh-CN"/>
        </w:rPr>
        <w:t>4.6.2 清洁生产指标分析</w:t>
      </w:r>
      <w:bookmarkEnd w:id="321"/>
      <w:bookmarkEnd w:id="322"/>
      <w:bookmarkEnd w:id="323"/>
    </w:p>
    <w:bookmarkEnd w:id="324"/>
    <w:bookmarkEnd w:id="325"/>
    <w:bookmarkEnd w:id="326"/>
    <w:p w14:paraId="6D9BC6ED">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4.6.2.1 </w:t>
      </w:r>
      <w:r>
        <w:rPr>
          <w:rFonts w:hint="default" w:ascii="Times New Roman" w:hAnsi="Times New Roman" w:eastAsia="宋体" w:cs="Times New Roman"/>
          <w:b/>
          <w:bCs w:val="0"/>
          <w:color w:val="auto"/>
          <w:sz w:val="24"/>
          <w:szCs w:val="24"/>
          <w:lang w:val="en-US" w:eastAsia="zh-CN"/>
        </w:rPr>
        <w:t>生产工艺与设备指标</w:t>
      </w:r>
    </w:p>
    <w:p w14:paraId="35F0E12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1、生产工艺</w:t>
      </w:r>
    </w:p>
    <w:p w14:paraId="57205C3D">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eastAsia" w:ascii="Times New Roman" w:hAnsi="Times New Roman" w:eastAsia="宋体" w:cs="Times New Roman"/>
          <w:color w:val="auto"/>
          <w:kern w:val="2"/>
          <w:sz w:val="24"/>
          <w:szCs w:val="24"/>
          <w:highlight w:val="none"/>
          <w:lang w:val="zh-CN" w:eastAsia="zh-CN" w:bidi="ar-SA"/>
        </w:rPr>
        <w:t>现有2台热水锅炉已运行10年有余，经常出现故障。现有2台锅炉在长期使用过程中可能会出现磨损、腐蚀等安全隐患。安全性能下降、运行效率偏低、调控能力不足三大核心问题。</w:t>
      </w:r>
      <w:r>
        <w:rPr>
          <w:rFonts w:hint="default" w:ascii="Times New Roman" w:hAnsi="Times New Roman" w:eastAsia="宋体" w:cs="Times New Roman"/>
          <w:color w:val="auto"/>
          <w:kern w:val="2"/>
          <w:sz w:val="24"/>
          <w:szCs w:val="24"/>
          <w:highlight w:val="none"/>
          <w:lang w:val="zh-CN" w:eastAsia="zh-CN" w:bidi="ar-SA"/>
        </w:rPr>
        <w:t>本项目</w:t>
      </w:r>
      <w:r>
        <w:rPr>
          <w:rFonts w:hint="eastAsia" w:ascii="Times New Roman" w:hAnsi="Times New Roman" w:eastAsia="宋体" w:cs="Times New Roman"/>
          <w:color w:val="auto"/>
          <w:kern w:val="2"/>
          <w:sz w:val="24"/>
          <w:szCs w:val="24"/>
          <w:highlight w:val="none"/>
          <w:lang w:val="zh-CN" w:eastAsia="zh-CN" w:bidi="ar-SA"/>
        </w:rPr>
        <w:t>拆除</w:t>
      </w:r>
      <w:r>
        <w:rPr>
          <w:rFonts w:hint="eastAsia" w:ascii="Times New Roman" w:hAnsi="Times New Roman" w:eastAsia="宋体" w:cs="Times New Roman"/>
          <w:color w:val="auto"/>
          <w:kern w:val="2"/>
          <w:sz w:val="24"/>
          <w:szCs w:val="24"/>
          <w:highlight w:val="none"/>
          <w:lang w:val="en-US" w:eastAsia="zh-CN" w:bidi="ar-SA"/>
        </w:rPr>
        <w:t>现有2台46</w:t>
      </w:r>
      <w:r>
        <w:rPr>
          <w:rFonts w:hint="eastAsia" w:ascii="Times New Roman" w:hAnsi="Times New Roman" w:eastAsia="宋体" w:cs="Times New Roman"/>
          <w:color w:val="auto"/>
          <w:kern w:val="2"/>
          <w:sz w:val="24"/>
          <w:szCs w:val="24"/>
          <w:highlight w:val="none"/>
          <w:lang w:val="zh-CN" w:eastAsia="zh-CN" w:bidi="ar-SA"/>
        </w:rPr>
        <w:t>MW锅炉，</w:t>
      </w:r>
      <w:r>
        <w:rPr>
          <w:rFonts w:hint="eastAsia" w:ascii="Times New Roman" w:hAnsi="Times New Roman" w:eastAsia="宋体" w:cs="Times New Roman"/>
          <w:color w:val="auto"/>
          <w:kern w:val="2"/>
          <w:sz w:val="24"/>
          <w:szCs w:val="24"/>
          <w:highlight w:val="none"/>
          <w:lang w:val="en-US" w:eastAsia="zh-CN" w:bidi="ar-SA"/>
        </w:rPr>
        <w:t>改建2</w:t>
      </w:r>
      <w:r>
        <w:rPr>
          <w:rFonts w:hint="eastAsia" w:ascii="Times New Roman" w:hAnsi="Times New Roman" w:eastAsia="宋体" w:cs="Times New Roman"/>
          <w:color w:val="auto"/>
          <w:kern w:val="2"/>
          <w:sz w:val="24"/>
          <w:szCs w:val="24"/>
          <w:highlight w:val="none"/>
          <w:lang w:val="zh-CN" w:eastAsia="zh-CN" w:bidi="ar-SA"/>
        </w:rPr>
        <w:t>×</w:t>
      </w:r>
      <w:r>
        <w:rPr>
          <w:rFonts w:hint="eastAsia" w:ascii="Times New Roman" w:hAnsi="Times New Roman" w:eastAsia="宋体" w:cs="Times New Roman"/>
          <w:color w:val="auto"/>
          <w:kern w:val="2"/>
          <w:sz w:val="24"/>
          <w:szCs w:val="24"/>
          <w:highlight w:val="none"/>
          <w:lang w:val="en-US" w:eastAsia="zh-CN" w:bidi="ar-SA"/>
        </w:rPr>
        <w:t>42</w:t>
      </w:r>
      <w:r>
        <w:rPr>
          <w:rFonts w:hint="eastAsia" w:ascii="Times New Roman" w:hAnsi="Times New Roman" w:eastAsia="宋体" w:cs="Times New Roman"/>
          <w:color w:val="auto"/>
          <w:kern w:val="2"/>
          <w:sz w:val="24"/>
          <w:szCs w:val="24"/>
          <w:highlight w:val="none"/>
          <w:lang w:val="zh-CN" w:eastAsia="zh-CN" w:bidi="ar-SA"/>
        </w:rPr>
        <w:t>MW燃煤热水锅炉来满足供热需要</w:t>
      </w:r>
      <w:r>
        <w:rPr>
          <w:rFonts w:hint="default" w:ascii="Times New Roman" w:hAnsi="Times New Roman" w:eastAsia="宋体" w:cs="Times New Roman"/>
          <w:color w:val="auto"/>
          <w:kern w:val="2"/>
          <w:sz w:val="24"/>
          <w:szCs w:val="24"/>
          <w:highlight w:val="none"/>
          <w:lang w:val="zh-CN" w:eastAsia="zh-CN" w:bidi="ar-SA"/>
        </w:rPr>
        <w:t>。以高效的</w:t>
      </w:r>
      <w:r>
        <w:rPr>
          <w:rFonts w:hint="eastAsia" w:ascii="Times New Roman" w:hAnsi="Times New Roman" w:eastAsia="宋体" w:cs="Times New Roman"/>
          <w:color w:val="auto"/>
          <w:kern w:val="2"/>
          <w:sz w:val="24"/>
          <w:szCs w:val="24"/>
          <w:highlight w:val="none"/>
          <w:lang w:val="en-US" w:eastAsia="zh-CN" w:bidi="ar-SA"/>
        </w:rPr>
        <w:t>新</w:t>
      </w:r>
      <w:r>
        <w:rPr>
          <w:rFonts w:hint="default" w:ascii="Times New Roman" w:hAnsi="Times New Roman" w:eastAsia="宋体" w:cs="Times New Roman"/>
          <w:color w:val="auto"/>
          <w:kern w:val="2"/>
          <w:sz w:val="24"/>
          <w:szCs w:val="24"/>
          <w:highlight w:val="none"/>
          <w:lang w:val="zh-CN" w:eastAsia="zh-CN" w:bidi="ar-SA"/>
        </w:rPr>
        <w:t>锅炉替代</w:t>
      </w:r>
      <w:r>
        <w:rPr>
          <w:rFonts w:hint="eastAsia" w:ascii="Times New Roman" w:hAnsi="Times New Roman" w:eastAsia="宋体" w:cs="Times New Roman"/>
          <w:color w:val="auto"/>
          <w:kern w:val="2"/>
          <w:sz w:val="24"/>
          <w:szCs w:val="24"/>
          <w:highlight w:val="none"/>
          <w:lang w:val="en-US" w:eastAsia="zh-CN" w:bidi="ar-SA"/>
        </w:rPr>
        <w:t>原有效率低下的旧锅炉，</w:t>
      </w:r>
      <w:r>
        <w:rPr>
          <w:rFonts w:hint="default" w:ascii="Times New Roman" w:hAnsi="Times New Roman" w:eastAsia="宋体" w:cs="Times New Roman"/>
          <w:color w:val="auto"/>
          <w:kern w:val="2"/>
          <w:sz w:val="24"/>
          <w:szCs w:val="24"/>
          <w:highlight w:val="none"/>
          <w:lang w:val="zh-CN" w:eastAsia="zh-CN" w:bidi="ar-SA"/>
        </w:rPr>
        <w:t>实现集中供热，可以大大提高能源利用效率，大幅度节约能源。项目符合</w:t>
      </w:r>
      <w:r>
        <w:rPr>
          <w:rFonts w:hint="eastAsia" w:ascii="Times New Roman" w:hAnsi="Times New Roman" w:eastAsia="宋体" w:cs="Times New Roman"/>
          <w:color w:val="auto"/>
          <w:kern w:val="2"/>
          <w:sz w:val="24"/>
          <w:szCs w:val="24"/>
          <w:highlight w:val="none"/>
          <w:lang w:val="en-US" w:eastAsia="zh-CN" w:bidi="ar-SA"/>
        </w:rPr>
        <w:t>区域规划</w:t>
      </w:r>
      <w:r>
        <w:rPr>
          <w:rFonts w:hint="default" w:ascii="Times New Roman" w:hAnsi="Times New Roman" w:eastAsia="宋体" w:cs="Times New Roman"/>
          <w:color w:val="auto"/>
          <w:kern w:val="2"/>
          <w:sz w:val="24"/>
          <w:szCs w:val="24"/>
          <w:highlight w:val="none"/>
          <w:lang w:val="zh-CN" w:eastAsia="zh-CN" w:bidi="ar-SA"/>
        </w:rPr>
        <w:t>，可节约能源并改善该地区环境质量。采用</w:t>
      </w:r>
      <w:r>
        <w:rPr>
          <w:rFonts w:hint="eastAsia" w:ascii="Times New Roman" w:hAnsi="Times New Roman" w:eastAsia="宋体" w:cs="Times New Roman"/>
          <w:color w:val="auto"/>
          <w:kern w:val="2"/>
          <w:sz w:val="24"/>
          <w:szCs w:val="24"/>
          <w:highlight w:val="none"/>
          <w:lang w:val="zh-CN" w:eastAsia="zh-CN" w:bidi="ar-SA"/>
        </w:rPr>
        <w:t>布袋除尘器除尘和</w:t>
      </w:r>
      <w:r>
        <w:rPr>
          <w:rFonts w:hint="eastAsia" w:ascii="Times New Roman" w:hAnsi="Times New Roman" w:eastAsia="宋体" w:cs="Times New Roman"/>
          <w:color w:val="auto"/>
          <w:kern w:val="2"/>
          <w:sz w:val="24"/>
          <w:szCs w:val="24"/>
          <w:highlight w:val="none"/>
          <w:lang w:val="en-US" w:eastAsia="zh-CN" w:bidi="ar-SA"/>
        </w:rPr>
        <w:t>氧化镁法</w:t>
      </w:r>
      <w:r>
        <w:rPr>
          <w:rFonts w:hint="default" w:ascii="Times New Roman" w:hAnsi="Times New Roman" w:eastAsia="宋体" w:cs="Times New Roman"/>
          <w:color w:val="auto"/>
          <w:kern w:val="2"/>
          <w:sz w:val="24"/>
          <w:szCs w:val="24"/>
          <w:highlight w:val="none"/>
          <w:lang w:val="zh-CN" w:eastAsia="zh-CN" w:bidi="ar-SA"/>
        </w:rPr>
        <w:t>脱硫，可有效脱出烟气中的颗粒物和SO</w:t>
      </w:r>
      <w:r>
        <w:rPr>
          <w:rFonts w:hint="default" w:ascii="Times New Roman" w:hAnsi="Times New Roman" w:eastAsia="宋体" w:cs="Times New Roman"/>
          <w:color w:val="auto"/>
          <w:kern w:val="2"/>
          <w:sz w:val="24"/>
          <w:szCs w:val="24"/>
          <w:highlight w:val="none"/>
          <w:vertAlign w:val="subscript"/>
          <w:lang w:val="zh-CN" w:eastAsia="zh-CN" w:bidi="ar-SA"/>
        </w:rPr>
        <w:t>2</w:t>
      </w:r>
      <w:r>
        <w:rPr>
          <w:rFonts w:hint="default" w:ascii="Times New Roman" w:hAnsi="Times New Roman" w:eastAsia="宋体" w:cs="Times New Roman"/>
          <w:color w:val="auto"/>
          <w:kern w:val="2"/>
          <w:sz w:val="24"/>
          <w:szCs w:val="24"/>
          <w:highlight w:val="none"/>
          <w:lang w:val="zh-CN" w:eastAsia="zh-CN" w:bidi="ar-SA"/>
        </w:rPr>
        <w:t>；采用</w:t>
      </w:r>
      <w:r>
        <w:rPr>
          <w:rFonts w:hint="eastAsia" w:ascii="Times New Roman" w:hAnsi="Times New Roman" w:eastAsia="宋体" w:cs="Times New Roman"/>
          <w:color w:val="auto"/>
          <w:kern w:val="2"/>
          <w:sz w:val="24"/>
          <w:szCs w:val="24"/>
          <w:highlight w:val="none"/>
          <w:lang w:val="zh-CN" w:eastAsia="zh-CN" w:bidi="ar-SA"/>
        </w:rPr>
        <w:t>SNCR-</w:t>
      </w:r>
      <w:r>
        <w:rPr>
          <w:rFonts w:hint="default" w:ascii="Times New Roman" w:hAnsi="Times New Roman" w:eastAsia="宋体" w:cs="Times New Roman"/>
          <w:color w:val="auto"/>
          <w:kern w:val="2"/>
          <w:sz w:val="24"/>
          <w:szCs w:val="24"/>
          <w:highlight w:val="none"/>
          <w:lang w:val="zh-CN" w:eastAsia="zh-CN" w:bidi="ar-SA"/>
        </w:rPr>
        <w:t>SCR脱硝从而降低了NO</w:t>
      </w:r>
      <w:r>
        <w:rPr>
          <w:rFonts w:hint="eastAsia" w:ascii="Times New Roman" w:hAnsi="Times New Roman" w:eastAsia="宋体" w:cs="Times New Roman"/>
          <w:color w:val="auto"/>
          <w:kern w:val="2"/>
          <w:sz w:val="24"/>
          <w:szCs w:val="24"/>
          <w:highlight w:val="none"/>
          <w:vertAlign w:val="subscript"/>
          <w:lang w:val="en-US" w:eastAsia="zh-CN" w:bidi="ar-SA"/>
        </w:rPr>
        <w:t>x</w:t>
      </w:r>
      <w:r>
        <w:rPr>
          <w:rFonts w:hint="default" w:ascii="Times New Roman" w:hAnsi="Times New Roman" w:eastAsia="宋体" w:cs="Times New Roman"/>
          <w:color w:val="auto"/>
          <w:kern w:val="2"/>
          <w:sz w:val="24"/>
          <w:szCs w:val="24"/>
          <w:highlight w:val="none"/>
          <w:lang w:val="zh-CN" w:eastAsia="zh-CN" w:bidi="ar-SA"/>
        </w:rPr>
        <w:t>的生成。</w:t>
      </w:r>
    </w:p>
    <w:p w14:paraId="46C592F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2、设备</w:t>
      </w:r>
    </w:p>
    <w:p w14:paraId="51AFE0D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zh-CN" w:eastAsia="zh-CN" w:bidi="ar-SA"/>
        </w:rPr>
        <w:t>燃煤采用带式输送机运输；</w:t>
      </w:r>
      <w:r>
        <w:rPr>
          <w:rFonts w:hint="eastAsia" w:ascii="Times New Roman" w:hAnsi="Times New Roman" w:eastAsia="宋体" w:cs="Times New Roman"/>
          <w:color w:val="auto"/>
          <w:kern w:val="2"/>
          <w:sz w:val="24"/>
          <w:szCs w:val="24"/>
          <w:highlight w:val="none"/>
          <w:lang w:val="en-US" w:eastAsia="zh-CN" w:bidi="ar-SA"/>
        </w:rPr>
        <w:t>采用</w:t>
      </w:r>
      <w:r>
        <w:rPr>
          <w:rFonts w:hint="default" w:ascii="Times New Roman" w:hAnsi="Times New Roman" w:eastAsia="宋体" w:cs="Times New Roman"/>
          <w:color w:val="auto"/>
          <w:kern w:val="2"/>
          <w:sz w:val="24"/>
          <w:szCs w:val="24"/>
          <w:highlight w:val="none"/>
          <w:lang w:val="zh-CN" w:eastAsia="zh-CN" w:bidi="ar-SA"/>
        </w:rPr>
        <w:t>封闭式</w:t>
      </w:r>
      <w:r>
        <w:rPr>
          <w:rFonts w:hint="eastAsia" w:ascii="Times New Roman" w:hAnsi="Times New Roman" w:eastAsia="宋体" w:cs="Times New Roman"/>
          <w:color w:val="auto"/>
          <w:kern w:val="2"/>
          <w:sz w:val="24"/>
          <w:szCs w:val="24"/>
          <w:highlight w:val="none"/>
          <w:lang w:val="en-US" w:eastAsia="zh-CN" w:bidi="ar-SA"/>
        </w:rPr>
        <w:t>灰渣仓</w:t>
      </w:r>
      <w:r>
        <w:rPr>
          <w:rFonts w:hint="default" w:ascii="Times New Roman" w:hAnsi="Times New Roman" w:eastAsia="宋体" w:cs="Times New Roman"/>
          <w:color w:val="auto"/>
          <w:kern w:val="2"/>
          <w:sz w:val="24"/>
          <w:szCs w:val="24"/>
          <w:highlight w:val="none"/>
          <w:lang w:val="zh-CN" w:eastAsia="zh-CN" w:bidi="ar-SA"/>
        </w:rPr>
        <w:t>，可有效地防止灰渣的污染；保证设备完好，</w:t>
      </w:r>
      <w:r>
        <w:rPr>
          <w:rFonts w:hint="eastAsia" w:ascii="Times New Roman" w:hAnsi="Times New Roman" w:eastAsia="宋体" w:cs="Times New Roman"/>
          <w:color w:val="auto"/>
          <w:kern w:val="2"/>
          <w:sz w:val="24"/>
          <w:szCs w:val="24"/>
          <w:highlight w:val="none"/>
          <w:lang w:val="en-US" w:eastAsia="zh-CN" w:bidi="ar-SA"/>
        </w:rPr>
        <w:t>对老旧的省煤器、设备等进行更新</w:t>
      </w:r>
      <w:r>
        <w:rPr>
          <w:rFonts w:hint="default" w:ascii="Times New Roman" w:hAnsi="Times New Roman" w:eastAsia="宋体" w:cs="Times New Roman"/>
          <w:color w:val="auto"/>
          <w:kern w:val="2"/>
          <w:sz w:val="24"/>
          <w:szCs w:val="24"/>
          <w:highlight w:val="none"/>
          <w:lang w:val="zh-CN" w:eastAsia="zh-CN" w:bidi="ar-SA"/>
        </w:rPr>
        <w:t>有利于节能、降耗，为清洁生产提供了保证。</w:t>
      </w:r>
    </w:p>
    <w:p w14:paraId="4F08C9A0">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4.6.2.2 </w:t>
      </w:r>
      <w:r>
        <w:rPr>
          <w:rFonts w:hint="default" w:ascii="Times New Roman" w:hAnsi="Times New Roman" w:eastAsia="宋体" w:cs="Times New Roman"/>
          <w:b/>
          <w:bCs w:val="0"/>
          <w:color w:val="auto"/>
          <w:sz w:val="24"/>
          <w:szCs w:val="24"/>
          <w:lang w:val="en-US" w:eastAsia="zh-CN"/>
        </w:rPr>
        <w:t>资源能源利用指标</w:t>
      </w:r>
    </w:p>
    <w:p w14:paraId="184413F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1、节能分析</w:t>
      </w:r>
    </w:p>
    <w:p w14:paraId="79A22B7A">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本项目考虑风机、水泵等机电设备的容量和负荷率，控制系统</w:t>
      </w:r>
      <w:r>
        <w:rPr>
          <w:rFonts w:hint="eastAsia" w:ascii="Times New Roman" w:hAnsi="Times New Roman" w:eastAsia="宋体" w:cs="Times New Roman"/>
          <w:color w:val="auto"/>
          <w:kern w:val="2"/>
          <w:sz w:val="24"/>
          <w:szCs w:val="24"/>
          <w:highlight w:val="none"/>
          <w:lang w:val="en-US" w:eastAsia="zh-CN" w:bidi="ar-SA"/>
        </w:rPr>
        <w:t>改造为</w:t>
      </w:r>
      <w:r>
        <w:rPr>
          <w:rFonts w:hint="default" w:ascii="Times New Roman" w:hAnsi="Times New Roman" w:eastAsia="宋体" w:cs="Times New Roman"/>
          <w:color w:val="auto"/>
          <w:kern w:val="2"/>
          <w:sz w:val="24"/>
          <w:szCs w:val="24"/>
          <w:highlight w:val="none"/>
          <w:lang w:val="zh-CN" w:eastAsia="zh-CN" w:bidi="ar-SA"/>
        </w:rPr>
        <w:t>采用先进的</w:t>
      </w:r>
      <w:r>
        <w:rPr>
          <w:rFonts w:hint="eastAsia" w:ascii="Times New Roman" w:hAnsi="Times New Roman" w:eastAsia="宋体" w:cs="Times New Roman"/>
          <w:color w:val="auto"/>
          <w:kern w:val="2"/>
          <w:sz w:val="24"/>
          <w:szCs w:val="24"/>
          <w:highlight w:val="none"/>
          <w:lang w:val="en-US" w:eastAsia="zh-CN" w:bidi="ar-SA"/>
        </w:rPr>
        <w:t>DCS集中控制系统</w:t>
      </w:r>
      <w:r>
        <w:rPr>
          <w:rFonts w:hint="default" w:ascii="Times New Roman" w:hAnsi="Times New Roman" w:eastAsia="宋体" w:cs="Times New Roman"/>
          <w:color w:val="auto"/>
          <w:kern w:val="2"/>
          <w:sz w:val="24"/>
          <w:szCs w:val="24"/>
          <w:highlight w:val="none"/>
          <w:lang w:val="zh-CN" w:eastAsia="zh-CN" w:bidi="ar-SA"/>
        </w:rPr>
        <w:t>，由计算机控制机组启停、进行数据处理和参数调整。本项目实施后，</w:t>
      </w:r>
      <w:r>
        <w:rPr>
          <w:rFonts w:hint="eastAsia" w:ascii="Times New Roman" w:hAnsi="Times New Roman" w:eastAsia="宋体" w:cs="Times New Roman"/>
          <w:color w:val="auto"/>
          <w:kern w:val="2"/>
          <w:sz w:val="24"/>
          <w:szCs w:val="24"/>
          <w:highlight w:val="none"/>
          <w:lang w:val="en-US" w:eastAsia="zh-CN" w:bidi="ar-SA"/>
        </w:rPr>
        <w:t>锅炉运行将更加稳定，减小安全隐患</w:t>
      </w:r>
      <w:r>
        <w:rPr>
          <w:rFonts w:hint="default" w:ascii="Times New Roman" w:hAnsi="Times New Roman" w:eastAsia="宋体" w:cs="Times New Roman"/>
          <w:color w:val="auto"/>
          <w:kern w:val="2"/>
          <w:sz w:val="24"/>
          <w:szCs w:val="24"/>
          <w:highlight w:val="none"/>
          <w:lang w:val="zh-CN" w:eastAsia="zh-CN" w:bidi="ar-SA"/>
        </w:rPr>
        <w:t>，因而社会效益非常显著。</w:t>
      </w:r>
    </w:p>
    <w:p w14:paraId="04F5623F">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2、节水分析</w:t>
      </w:r>
    </w:p>
    <w:p w14:paraId="66E532C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本项目通过加强水务管理，统一调度，综合平衡和全面规划供、用、排、处理水的各项设计，达到一水多用。生产废水全部回用，锅炉用水来自</w:t>
      </w:r>
      <w:r>
        <w:rPr>
          <w:rFonts w:hint="eastAsia" w:ascii="Times New Roman" w:hAnsi="Times New Roman" w:eastAsia="宋体" w:cs="Times New Roman"/>
          <w:color w:val="auto"/>
          <w:kern w:val="2"/>
          <w:sz w:val="24"/>
          <w:szCs w:val="24"/>
          <w:highlight w:val="none"/>
          <w:lang w:val="zh-CN" w:eastAsia="zh-CN" w:bidi="ar-SA"/>
        </w:rPr>
        <w:t>市政管网自来水，</w:t>
      </w:r>
      <w:r>
        <w:rPr>
          <w:rFonts w:hint="default" w:ascii="Times New Roman" w:hAnsi="Times New Roman" w:eastAsia="宋体" w:cs="Times New Roman"/>
          <w:color w:val="auto"/>
          <w:kern w:val="2"/>
          <w:sz w:val="24"/>
          <w:szCs w:val="24"/>
          <w:highlight w:val="none"/>
          <w:lang w:val="zh-CN" w:eastAsia="zh-CN" w:bidi="ar-SA"/>
        </w:rPr>
        <w:t>本项目生产废水全部回用不外排。</w:t>
      </w:r>
    </w:p>
    <w:p w14:paraId="4CEC4624">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4.6.2.3 </w:t>
      </w:r>
      <w:r>
        <w:rPr>
          <w:rFonts w:hint="default" w:ascii="Times New Roman" w:hAnsi="Times New Roman" w:eastAsia="宋体" w:cs="Times New Roman"/>
          <w:b/>
          <w:bCs w:val="0"/>
          <w:color w:val="auto"/>
          <w:sz w:val="24"/>
          <w:szCs w:val="24"/>
          <w:lang w:val="en-US" w:eastAsia="zh-CN"/>
        </w:rPr>
        <w:t>环境管理要求</w:t>
      </w:r>
    </w:p>
    <w:p w14:paraId="65172B2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加强源头控制、全过程管理，建立健全原材料质检制度和原材料消耗定额管理制度，并建立能耗、水耗考核制度。对燃煤供应商和综合利用方要进行相关管理，保证提供符合要求的燃料，保证灰渣处置全过程符合环保要求，不产生二次污染。在企业内部要建立清洁生产审核制度，并把其成果及时纳入企业的日常管理轨道，形成制度化，做到规范化。按照ISO14000建立并运行环境管理体系，环境管理手册、程序文件及作业文件健全。建立企业清洁生产组织，明确领导及员工在清洁生产工作中的职责，建立清洁生产激励机制。及时调查跟踪了解供热行业最先进的燃烧技术和资源化技术等，最大限度地利用现代化高科技成果来持续改进生产设备，提高生产效率，增强市场竞争力，进一步降低供热成本和环境负荷，保护环境。</w:t>
      </w:r>
    </w:p>
    <w:p w14:paraId="5A47D16C">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本项目投产后，建立一整套完善的现场运行、维护和管理的规章制度，并严格执行；重视对除尘器运行、维修人员的培训，并使之制度化；除尘器的重要部件都建立完整的技术档案，严格检修周期，修必修好，勤维护保证设备的使用的条件，做好易损部件的备品备件工作；加强源头控制、全过程管理，建立健全原材料质检制度和原材料消耗定额管理制度，并建立能耗、水耗考核制度。</w:t>
      </w:r>
    </w:p>
    <w:p w14:paraId="1B05D40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27" w:name="_Toc14260"/>
      <w:bookmarkStart w:id="328" w:name="_Toc17275"/>
      <w:bookmarkStart w:id="329" w:name="_Toc24208"/>
      <w:r>
        <w:rPr>
          <w:rFonts w:hint="eastAsia" w:ascii="Times New Roman" w:hAnsi="Times New Roman" w:eastAsia="宋体" w:cs="Times New Roman"/>
          <w:b/>
          <w:bCs/>
          <w:color w:val="auto"/>
          <w:sz w:val="28"/>
          <w:szCs w:val="28"/>
          <w:lang w:val="en-US" w:eastAsia="zh-CN"/>
        </w:rPr>
        <w:t>4.6.3 强化污染物的末端治理工程</w:t>
      </w:r>
      <w:bookmarkEnd w:id="327"/>
      <w:bookmarkEnd w:id="328"/>
      <w:bookmarkEnd w:id="329"/>
    </w:p>
    <w:p w14:paraId="01C3A9C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本项目虽然在工艺设计中采用了先进的生产工艺及节能措施，但仍然有部分污染物排放，因此污染物的末端治理是清洁生产的必要途径。</w:t>
      </w:r>
    </w:p>
    <w:p w14:paraId="6FD56C83">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zh-CN" w:eastAsia="zh-CN" w:bidi="ar-SA"/>
        </w:rPr>
      </w:pPr>
      <w:r>
        <w:rPr>
          <w:rFonts w:hint="eastAsia" w:ascii="Times New Roman" w:hAnsi="Times New Roman" w:eastAsia="宋体" w:cs="Times New Roman"/>
          <w:color w:val="auto"/>
          <w:kern w:val="2"/>
          <w:sz w:val="24"/>
          <w:szCs w:val="24"/>
          <w:highlight w:val="none"/>
          <w:lang w:val="zh-CN" w:eastAsia="zh-CN" w:bidi="ar-SA"/>
        </w:rPr>
        <w:t>（1）</w:t>
      </w:r>
      <w:r>
        <w:rPr>
          <w:rFonts w:hint="default" w:ascii="Times New Roman" w:hAnsi="Times New Roman" w:eastAsia="宋体" w:cs="Times New Roman"/>
          <w:color w:val="auto"/>
          <w:kern w:val="2"/>
          <w:sz w:val="24"/>
          <w:szCs w:val="24"/>
          <w:highlight w:val="none"/>
          <w:lang w:val="zh-CN" w:eastAsia="zh-CN" w:bidi="ar-SA"/>
        </w:rPr>
        <w:t>本项目锅炉烟气污染防治措施采用“</w:t>
      </w:r>
      <w:r>
        <w:rPr>
          <w:rFonts w:hint="eastAsia" w:ascii="Times New Roman" w:hAnsi="Times New Roman" w:eastAsia="宋体" w:cs="Times New Roman"/>
          <w:color w:val="auto"/>
          <w:kern w:val="2"/>
          <w:sz w:val="24"/>
          <w:szCs w:val="24"/>
          <w:highlight w:val="none"/>
          <w:lang w:val="zh-CN" w:eastAsia="zh-CN" w:bidi="ar-SA"/>
        </w:rPr>
        <w:t>SNCR-SCR</w:t>
      </w:r>
      <w:r>
        <w:rPr>
          <w:rFonts w:hint="default" w:ascii="Times New Roman" w:hAnsi="Times New Roman" w:eastAsia="宋体" w:cs="Times New Roman"/>
          <w:color w:val="auto"/>
          <w:kern w:val="2"/>
          <w:sz w:val="24"/>
          <w:szCs w:val="24"/>
          <w:highlight w:val="none"/>
          <w:lang w:val="zh-CN" w:eastAsia="zh-CN" w:bidi="ar-SA"/>
        </w:rPr>
        <w:t>脱硝+</w:t>
      </w:r>
      <w:r>
        <w:rPr>
          <w:rFonts w:hint="eastAsia" w:ascii="Times New Roman" w:hAnsi="Times New Roman" w:eastAsia="宋体" w:cs="Times New Roman"/>
          <w:color w:val="auto"/>
          <w:kern w:val="2"/>
          <w:sz w:val="24"/>
          <w:szCs w:val="24"/>
          <w:highlight w:val="none"/>
          <w:lang w:val="zh-CN" w:eastAsia="zh-CN" w:bidi="ar-SA"/>
        </w:rPr>
        <w:t>布袋除尘器</w:t>
      </w:r>
      <w:r>
        <w:rPr>
          <w:rFonts w:hint="default" w:ascii="Times New Roman" w:hAnsi="Times New Roman" w:eastAsia="宋体" w:cs="Times New Roman"/>
          <w:color w:val="auto"/>
          <w:kern w:val="2"/>
          <w:sz w:val="24"/>
          <w:szCs w:val="24"/>
          <w:highlight w:val="none"/>
          <w:lang w:val="zh-CN" w:eastAsia="zh-CN" w:bidi="ar-SA"/>
        </w:rPr>
        <w:t>除尘</w:t>
      </w:r>
      <w:r>
        <w:rPr>
          <w:rFonts w:hint="eastAsia" w:ascii="Times New Roman" w:hAnsi="Times New Roman" w:eastAsia="宋体" w:cs="Times New Roman"/>
          <w:color w:val="auto"/>
          <w:kern w:val="2"/>
          <w:sz w:val="24"/>
          <w:szCs w:val="24"/>
          <w:highlight w:val="none"/>
          <w:lang w:val="zh-CN" w:eastAsia="zh-CN" w:bidi="ar-SA"/>
        </w:rPr>
        <w:t>+</w:t>
      </w:r>
      <w:r>
        <w:rPr>
          <w:rFonts w:hint="eastAsia" w:ascii="Times New Roman" w:hAnsi="Times New Roman" w:eastAsia="宋体" w:cs="Times New Roman"/>
          <w:color w:val="auto"/>
          <w:kern w:val="2"/>
          <w:sz w:val="24"/>
          <w:szCs w:val="24"/>
          <w:highlight w:val="none"/>
          <w:lang w:val="en-US" w:eastAsia="zh-CN" w:bidi="ar-SA"/>
        </w:rPr>
        <w:t>氧化镁法</w:t>
      </w:r>
      <w:r>
        <w:rPr>
          <w:rFonts w:hint="default" w:ascii="Times New Roman" w:hAnsi="Times New Roman" w:eastAsia="宋体" w:cs="Times New Roman"/>
          <w:color w:val="auto"/>
          <w:kern w:val="2"/>
          <w:sz w:val="24"/>
          <w:szCs w:val="24"/>
          <w:highlight w:val="none"/>
          <w:lang w:val="zh-CN" w:eastAsia="zh-CN" w:bidi="ar-SA"/>
        </w:rPr>
        <w:t>脱硫”，布袋除尘器的除尘效率≥99.</w:t>
      </w:r>
      <w:r>
        <w:rPr>
          <w:rFonts w:hint="eastAsia" w:ascii="Times New Roman" w:hAnsi="Times New Roman" w:eastAsia="宋体" w:cs="Times New Roman"/>
          <w:color w:val="auto"/>
          <w:kern w:val="2"/>
          <w:sz w:val="24"/>
          <w:szCs w:val="24"/>
          <w:highlight w:val="none"/>
          <w:lang w:val="en-US" w:eastAsia="zh-CN" w:bidi="ar-SA"/>
        </w:rPr>
        <w:t>8</w:t>
      </w:r>
      <w:r>
        <w:rPr>
          <w:rFonts w:hint="default" w:ascii="Times New Roman" w:hAnsi="Times New Roman" w:eastAsia="宋体" w:cs="Times New Roman"/>
          <w:color w:val="auto"/>
          <w:kern w:val="2"/>
          <w:sz w:val="24"/>
          <w:szCs w:val="24"/>
          <w:highlight w:val="none"/>
          <w:lang w:val="zh-CN" w:eastAsia="zh-CN" w:bidi="ar-SA"/>
        </w:rPr>
        <w:t>%；</w:t>
      </w:r>
      <w:r>
        <w:rPr>
          <w:rFonts w:hint="eastAsia" w:ascii="Times New Roman" w:hAnsi="Times New Roman" w:eastAsia="宋体" w:cs="Times New Roman"/>
          <w:color w:val="auto"/>
          <w:kern w:val="2"/>
          <w:sz w:val="24"/>
          <w:szCs w:val="24"/>
          <w:highlight w:val="none"/>
          <w:lang w:val="en-US" w:eastAsia="zh-CN" w:bidi="ar-SA"/>
        </w:rPr>
        <w:t>氧化镁</w:t>
      </w:r>
      <w:r>
        <w:rPr>
          <w:rFonts w:hint="eastAsia" w:ascii="Times New Roman" w:hAnsi="Times New Roman" w:eastAsia="宋体" w:cs="Times New Roman"/>
          <w:color w:val="auto"/>
          <w:kern w:val="2"/>
          <w:sz w:val="24"/>
          <w:szCs w:val="24"/>
          <w:highlight w:val="none"/>
          <w:lang w:val="zh-CN" w:eastAsia="zh-CN" w:bidi="ar-SA"/>
        </w:rPr>
        <w:t>法</w:t>
      </w:r>
      <w:r>
        <w:rPr>
          <w:rFonts w:hint="default" w:ascii="Times New Roman" w:hAnsi="Times New Roman" w:eastAsia="宋体" w:cs="Times New Roman"/>
          <w:color w:val="auto"/>
          <w:kern w:val="2"/>
          <w:sz w:val="24"/>
          <w:szCs w:val="24"/>
          <w:highlight w:val="none"/>
          <w:lang w:val="zh-CN" w:eastAsia="zh-CN" w:bidi="ar-SA"/>
        </w:rPr>
        <w:t>脱硫效率≥9</w:t>
      </w:r>
      <w:r>
        <w:rPr>
          <w:rFonts w:hint="eastAsia" w:ascii="Times New Roman" w:hAnsi="Times New Roman" w:eastAsia="宋体" w:cs="Times New Roman"/>
          <w:color w:val="auto"/>
          <w:kern w:val="2"/>
          <w:sz w:val="24"/>
          <w:szCs w:val="24"/>
          <w:highlight w:val="none"/>
          <w:lang w:val="en-US" w:eastAsia="zh-CN" w:bidi="ar-SA"/>
        </w:rPr>
        <w:t>0</w:t>
      </w:r>
      <w:r>
        <w:rPr>
          <w:rFonts w:hint="default" w:ascii="Times New Roman" w:hAnsi="Times New Roman" w:eastAsia="宋体" w:cs="Times New Roman"/>
          <w:color w:val="auto"/>
          <w:kern w:val="2"/>
          <w:sz w:val="24"/>
          <w:szCs w:val="24"/>
          <w:highlight w:val="none"/>
          <w:lang w:val="zh-CN" w:eastAsia="zh-CN" w:bidi="ar-SA"/>
        </w:rPr>
        <w:t>%；</w:t>
      </w:r>
      <w:r>
        <w:rPr>
          <w:rFonts w:hint="eastAsia" w:ascii="Times New Roman" w:hAnsi="Times New Roman" w:eastAsia="宋体" w:cs="Times New Roman"/>
          <w:color w:val="auto"/>
          <w:kern w:val="2"/>
          <w:sz w:val="24"/>
          <w:szCs w:val="24"/>
          <w:highlight w:val="none"/>
          <w:lang w:val="zh-CN" w:eastAsia="zh-CN" w:bidi="ar-SA"/>
        </w:rPr>
        <w:t>SNCR-SCR</w:t>
      </w:r>
      <w:r>
        <w:rPr>
          <w:rFonts w:hint="default" w:ascii="Times New Roman" w:hAnsi="Times New Roman" w:eastAsia="宋体" w:cs="Times New Roman"/>
          <w:color w:val="auto"/>
          <w:kern w:val="2"/>
          <w:sz w:val="24"/>
          <w:szCs w:val="24"/>
          <w:highlight w:val="none"/>
          <w:lang w:val="zh-CN" w:eastAsia="zh-CN" w:bidi="ar-SA"/>
        </w:rPr>
        <w:t>脱硝技术脱硝效率≥</w:t>
      </w:r>
      <w:r>
        <w:rPr>
          <w:rFonts w:hint="eastAsia" w:ascii="Times New Roman" w:hAnsi="Times New Roman" w:eastAsia="宋体" w:cs="Times New Roman"/>
          <w:color w:val="auto"/>
          <w:kern w:val="2"/>
          <w:sz w:val="24"/>
          <w:szCs w:val="24"/>
          <w:highlight w:val="none"/>
          <w:lang w:val="en-US" w:eastAsia="zh-CN" w:bidi="ar-SA"/>
        </w:rPr>
        <w:t>65</w:t>
      </w:r>
      <w:r>
        <w:rPr>
          <w:rFonts w:hint="default" w:ascii="Times New Roman" w:hAnsi="Times New Roman" w:eastAsia="宋体" w:cs="Times New Roman"/>
          <w:color w:val="auto"/>
          <w:kern w:val="2"/>
          <w:sz w:val="24"/>
          <w:szCs w:val="24"/>
          <w:highlight w:val="none"/>
          <w:lang w:val="zh-CN" w:eastAsia="zh-CN" w:bidi="ar-SA"/>
        </w:rPr>
        <w:t>%。锅炉烟气污染物排放浓度满足</w:t>
      </w:r>
      <w:r>
        <w:rPr>
          <w:rFonts w:hint="eastAsia" w:ascii="Times New Roman" w:hAnsi="Times New Roman" w:eastAsia="宋体" w:cs="Times New Roman"/>
          <w:color w:val="auto"/>
          <w:kern w:val="2"/>
          <w:sz w:val="24"/>
          <w:szCs w:val="24"/>
          <w:highlight w:val="none"/>
          <w:lang w:val="en-US" w:eastAsia="zh-CN" w:bidi="ar-SA"/>
        </w:rPr>
        <w:t>《锅炉大气污染物排放标准》（GB13271-2014）表2标准限值。同时，本项目锅炉烟气现有措施处理能力优越，</w:t>
      </w:r>
      <w:r>
        <w:rPr>
          <w:rFonts w:hint="eastAsia" w:ascii="Times New Roman" w:hAnsi="Times New Roman" w:eastAsia="宋体" w:cs="Times New Roman"/>
          <w:color w:val="FF0000"/>
          <w:lang w:val="en-US" w:eastAsia="zh-CN"/>
        </w:rPr>
        <w:t>预留执行超低排放要求的升级空间。即</w:t>
      </w:r>
      <w:r>
        <w:rPr>
          <w:rFonts w:hint="default" w:ascii="Times New Roman" w:hAnsi="Times New Roman" w:eastAsia="宋体" w:cs="Times New Roman"/>
          <w:color w:val="auto"/>
          <w:kern w:val="2"/>
          <w:sz w:val="24"/>
          <w:szCs w:val="24"/>
          <w:highlight w:val="none"/>
          <w:lang w:val="zh-CN" w:eastAsia="zh-CN" w:bidi="ar-SA"/>
        </w:rPr>
        <w:t>锅炉烟气污染物排放浓度</w:t>
      </w:r>
      <w:r>
        <w:rPr>
          <w:rFonts w:hint="eastAsia" w:ascii="Times New Roman" w:hAnsi="Times New Roman" w:eastAsia="宋体" w:cs="Times New Roman"/>
          <w:color w:val="auto"/>
          <w:kern w:val="2"/>
          <w:sz w:val="24"/>
          <w:szCs w:val="24"/>
          <w:highlight w:val="none"/>
          <w:lang w:val="en-US" w:eastAsia="zh-CN" w:bidi="ar-SA"/>
        </w:rPr>
        <w:t>能</w:t>
      </w:r>
      <w:r>
        <w:rPr>
          <w:rFonts w:hint="default" w:ascii="Times New Roman" w:hAnsi="Times New Roman" w:eastAsia="宋体" w:cs="Times New Roman"/>
          <w:color w:val="auto"/>
          <w:kern w:val="2"/>
          <w:sz w:val="24"/>
          <w:szCs w:val="24"/>
          <w:highlight w:val="none"/>
          <w:lang w:val="zh-CN" w:eastAsia="zh-CN" w:bidi="ar-SA"/>
        </w:rPr>
        <w:t>满足《关于印发&lt;全面实施燃煤电厂超低排放和节能改造工作方案&gt;的通知》（环发</w:t>
      </w:r>
      <w:r>
        <w:rPr>
          <w:rFonts w:hint="eastAsia" w:ascii="Times New Roman" w:hAnsi="Times New Roman" w:eastAsia="宋体" w:cs="Times New Roman"/>
          <w:color w:val="auto"/>
          <w:kern w:val="2"/>
          <w:sz w:val="24"/>
          <w:szCs w:val="24"/>
          <w:highlight w:val="none"/>
          <w:lang w:val="zh-CN" w:eastAsia="zh-CN" w:bidi="ar-SA"/>
        </w:rPr>
        <w:t>〔</w:t>
      </w:r>
      <w:r>
        <w:rPr>
          <w:rFonts w:hint="default" w:ascii="Times New Roman" w:hAnsi="Times New Roman" w:eastAsia="宋体" w:cs="Times New Roman"/>
          <w:color w:val="auto"/>
          <w:kern w:val="2"/>
          <w:sz w:val="24"/>
          <w:szCs w:val="24"/>
          <w:highlight w:val="none"/>
          <w:lang w:val="zh-CN" w:eastAsia="zh-CN" w:bidi="ar-SA"/>
        </w:rPr>
        <w:t>2015</w:t>
      </w:r>
      <w:r>
        <w:rPr>
          <w:rFonts w:hint="eastAsia" w:ascii="Times New Roman" w:hAnsi="Times New Roman" w:eastAsia="宋体" w:cs="Times New Roman"/>
          <w:color w:val="auto"/>
          <w:kern w:val="2"/>
          <w:sz w:val="24"/>
          <w:szCs w:val="24"/>
          <w:highlight w:val="none"/>
          <w:lang w:val="zh-CN" w:eastAsia="zh-CN" w:bidi="ar-SA"/>
        </w:rPr>
        <w:t>〕</w:t>
      </w:r>
      <w:r>
        <w:rPr>
          <w:rFonts w:hint="default" w:ascii="Times New Roman" w:hAnsi="Times New Roman" w:eastAsia="宋体" w:cs="Times New Roman"/>
          <w:color w:val="auto"/>
          <w:kern w:val="2"/>
          <w:sz w:val="24"/>
          <w:szCs w:val="24"/>
          <w:highlight w:val="none"/>
          <w:lang w:val="zh-CN" w:eastAsia="zh-CN" w:bidi="ar-SA"/>
        </w:rPr>
        <w:t>164号）要求，达到超低排放限值要求，汞及其化合物排放浓度满足《锅炉大气污染物排放标准》（GB13271-2014）表2新建锅炉大气污染物排放浓度限值要求。</w:t>
      </w:r>
      <w:r>
        <w:rPr>
          <w:rFonts w:hint="default" w:ascii="Times New Roman" w:hAnsi="Times New Roman" w:eastAsia="宋体" w:cs="Times New Roman"/>
          <w:color w:val="FF0000"/>
          <w:kern w:val="2"/>
          <w:sz w:val="24"/>
          <w:szCs w:val="24"/>
          <w:highlight w:val="none"/>
          <w:lang w:val="zh-CN" w:eastAsia="zh-CN" w:bidi="ar-SA"/>
        </w:rPr>
        <w:t>NH</w:t>
      </w:r>
      <w:r>
        <w:rPr>
          <w:rFonts w:hint="default" w:ascii="Times New Roman" w:hAnsi="Times New Roman" w:eastAsia="宋体" w:cs="Times New Roman"/>
          <w:color w:val="FF0000"/>
          <w:kern w:val="2"/>
          <w:sz w:val="24"/>
          <w:szCs w:val="24"/>
          <w:highlight w:val="none"/>
          <w:vertAlign w:val="subscript"/>
          <w:lang w:val="zh-CN" w:eastAsia="zh-CN" w:bidi="ar-SA"/>
        </w:rPr>
        <w:t>3</w:t>
      </w:r>
      <w:r>
        <w:rPr>
          <w:rFonts w:hint="eastAsia" w:ascii="Times New Roman" w:hAnsi="Times New Roman" w:eastAsia="宋体" w:cs="Times New Roman"/>
          <w:color w:val="FF0000"/>
          <w:kern w:val="2"/>
          <w:sz w:val="24"/>
          <w:szCs w:val="24"/>
          <w:highlight w:val="none"/>
          <w:lang w:val="en-US" w:eastAsia="zh-CN" w:bidi="ar-SA"/>
        </w:rPr>
        <w:t>逃逸</w:t>
      </w:r>
      <w:r>
        <w:rPr>
          <w:rFonts w:hint="default" w:ascii="Times New Roman" w:hAnsi="Times New Roman" w:eastAsia="宋体" w:cs="Times New Roman"/>
          <w:color w:val="FF0000"/>
          <w:kern w:val="2"/>
          <w:sz w:val="24"/>
          <w:szCs w:val="24"/>
          <w:highlight w:val="none"/>
          <w:lang w:val="zh-CN" w:eastAsia="zh-CN" w:bidi="ar-SA"/>
        </w:rPr>
        <w:t>满足《恶臭污染物排放标准》（GB14554-93）中表</w:t>
      </w:r>
      <w:r>
        <w:rPr>
          <w:rFonts w:hint="eastAsia" w:ascii="Times New Roman" w:hAnsi="Times New Roman" w:eastAsia="宋体" w:cs="Times New Roman"/>
          <w:color w:val="FF0000"/>
          <w:kern w:val="2"/>
          <w:sz w:val="24"/>
          <w:szCs w:val="24"/>
          <w:highlight w:val="none"/>
          <w:lang w:val="en-US" w:eastAsia="zh-CN" w:bidi="ar-SA"/>
        </w:rPr>
        <w:t>2</w:t>
      </w:r>
      <w:r>
        <w:rPr>
          <w:rFonts w:hint="default" w:ascii="Times New Roman" w:hAnsi="Times New Roman" w:eastAsia="宋体" w:cs="Times New Roman"/>
          <w:color w:val="FF0000"/>
          <w:kern w:val="2"/>
          <w:sz w:val="24"/>
          <w:szCs w:val="24"/>
          <w:highlight w:val="none"/>
          <w:lang w:val="zh-CN" w:eastAsia="zh-CN" w:bidi="ar-SA"/>
        </w:rPr>
        <w:t>标准值要求。</w:t>
      </w:r>
      <w:bookmarkStart w:id="725" w:name="_GoBack"/>
      <w:bookmarkEnd w:id="725"/>
      <w:r>
        <w:rPr>
          <w:rFonts w:hint="default" w:ascii="Times New Roman" w:hAnsi="Times New Roman" w:eastAsia="宋体" w:cs="Times New Roman"/>
          <w:color w:val="auto"/>
          <w:kern w:val="2"/>
          <w:sz w:val="24"/>
          <w:szCs w:val="24"/>
          <w:highlight w:val="none"/>
          <w:lang w:val="zh-CN" w:eastAsia="zh-CN" w:bidi="ar-SA"/>
        </w:rPr>
        <w:t>本项目</w:t>
      </w:r>
      <w:r>
        <w:rPr>
          <w:rFonts w:hint="eastAsia" w:ascii="Times New Roman" w:hAnsi="Times New Roman" w:eastAsia="宋体" w:cs="Times New Roman"/>
          <w:color w:val="auto"/>
          <w:kern w:val="2"/>
          <w:sz w:val="24"/>
          <w:szCs w:val="24"/>
          <w:highlight w:val="none"/>
          <w:lang w:val="en-US" w:eastAsia="zh-CN" w:bidi="ar-SA"/>
        </w:rPr>
        <w:t>要求</w:t>
      </w:r>
      <w:r>
        <w:rPr>
          <w:rFonts w:hint="default" w:ascii="Times New Roman" w:hAnsi="Times New Roman" w:eastAsia="宋体" w:cs="Times New Roman"/>
          <w:color w:val="auto"/>
          <w:kern w:val="2"/>
          <w:sz w:val="24"/>
          <w:szCs w:val="24"/>
          <w:highlight w:val="none"/>
          <w:lang w:val="zh-CN" w:eastAsia="zh-CN" w:bidi="ar-SA"/>
        </w:rPr>
        <w:t>上煤系统、碎煤系统均</w:t>
      </w:r>
      <w:r>
        <w:rPr>
          <w:rFonts w:hint="eastAsia" w:ascii="Times New Roman" w:hAnsi="Times New Roman" w:eastAsia="宋体" w:cs="Times New Roman"/>
          <w:color w:val="auto"/>
          <w:kern w:val="2"/>
          <w:sz w:val="24"/>
          <w:szCs w:val="24"/>
          <w:highlight w:val="none"/>
          <w:lang w:val="en-US" w:eastAsia="zh-CN" w:bidi="ar-SA"/>
        </w:rPr>
        <w:t>应</w:t>
      </w:r>
      <w:r>
        <w:rPr>
          <w:rFonts w:hint="default" w:ascii="Times New Roman" w:hAnsi="Times New Roman" w:eastAsia="宋体" w:cs="Times New Roman"/>
          <w:color w:val="auto"/>
          <w:kern w:val="2"/>
          <w:sz w:val="24"/>
          <w:szCs w:val="24"/>
          <w:highlight w:val="none"/>
          <w:lang w:val="zh-CN" w:eastAsia="zh-CN" w:bidi="ar-SA"/>
        </w:rPr>
        <w:t>为全封闭结构，除</w:t>
      </w:r>
      <w:r>
        <w:rPr>
          <w:rFonts w:hint="eastAsia" w:ascii="Times New Roman" w:hAnsi="Times New Roman" w:eastAsia="宋体" w:cs="Times New Roman"/>
          <w:color w:val="auto"/>
          <w:kern w:val="2"/>
          <w:sz w:val="24"/>
          <w:szCs w:val="24"/>
          <w:highlight w:val="none"/>
          <w:lang w:val="en-US" w:eastAsia="zh-CN" w:bidi="ar-SA"/>
        </w:rPr>
        <w:t>灰渣</w:t>
      </w:r>
      <w:r>
        <w:rPr>
          <w:rFonts w:hint="default" w:ascii="Times New Roman" w:hAnsi="Times New Roman" w:eastAsia="宋体" w:cs="Times New Roman"/>
          <w:color w:val="auto"/>
          <w:kern w:val="2"/>
          <w:sz w:val="24"/>
          <w:szCs w:val="24"/>
          <w:highlight w:val="none"/>
          <w:lang w:val="zh-CN" w:eastAsia="zh-CN" w:bidi="ar-SA"/>
        </w:rPr>
        <w:t>过程，需在密闭空间进行</w:t>
      </w:r>
      <w:r>
        <w:rPr>
          <w:rFonts w:hint="eastAsia" w:ascii="Times New Roman" w:hAnsi="Times New Roman" w:eastAsia="宋体" w:cs="Times New Roman"/>
          <w:color w:val="auto"/>
          <w:kern w:val="2"/>
          <w:sz w:val="24"/>
          <w:szCs w:val="24"/>
          <w:highlight w:val="none"/>
          <w:lang w:val="zh-CN" w:eastAsia="zh-CN" w:bidi="ar-SA"/>
        </w:rPr>
        <w:t>。</w:t>
      </w:r>
      <w:r>
        <w:rPr>
          <w:rFonts w:hint="default" w:ascii="Times New Roman" w:hAnsi="Times New Roman" w:eastAsia="宋体" w:cs="Times New Roman"/>
          <w:color w:val="auto"/>
          <w:kern w:val="2"/>
          <w:sz w:val="24"/>
          <w:szCs w:val="24"/>
          <w:highlight w:val="none"/>
          <w:lang w:val="zh-CN" w:eastAsia="zh-CN" w:bidi="ar-SA"/>
        </w:rPr>
        <w:t>采取以上废气污染防治措施后，厂界颗粒物的排放浓度满足《大气污染物综合排放标准》(GB16297-1996)表2新污染源大气污染物排放限值中无组织排放监控浓度限值（1.0mg/m</w:t>
      </w:r>
      <w:r>
        <w:rPr>
          <w:rFonts w:hint="default" w:ascii="Times New Roman" w:hAnsi="Times New Roman" w:eastAsia="宋体" w:cs="Times New Roman"/>
          <w:color w:val="auto"/>
          <w:kern w:val="2"/>
          <w:sz w:val="24"/>
          <w:szCs w:val="24"/>
          <w:highlight w:val="none"/>
          <w:vertAlign w:val="superscript"/>
          <w:lang w:val="zh-CN" w:eastAsia="zh-CN" w:bidi="ar-SA"/>
        </w:rPr>
        <w:t>3</w:t>
      </w:r>
      <w:r>
        <w:rPr>
          <w:rFonts w:hint="default" w:ascii="Times New Roman" w:hAnsi="Times New Roman" w:eastAsia="宋体" w:cs="Times New Roman"/>
          <w:color w:val="auto"/>
          <w:kern w:val="2"/>
          <w:sz w:val="24"/>
          <w:szCs w:val="24"/>
          <w:highlight w:val="none"/>
          <w:lang w:val="zh-CN" w:eastAsia="zh-CN" w:bidi="ar-SA"/>
        </w:rPr>
        <w:t>）。</w:t>
      </w:r>
    </w:p>
    <w:p w14:paraId="04C6DCC4">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（2）锅炉用水来自</w:t>
      </w:r>
      <w:r>
        <w:rPr>
          <w:rFonts w:hint="eastAsia" w:ascii="Times New Roman" w:hAnsi="Times New Roman" w:eastAsia="宋体" w:cs="Times New Roman"/>
          <w:color w:val="auto"/>
          <w:kern w:val="2"/>
          <w:sz w:val="24"/>
          <w:szCs w:val="24"/>
          <w:highlight w:val="none"/>
          <w:lang w:val="zh-CN" w:eastAsia="zh-CN" w:bidi="ar-SA"/>
        </w:rPr>
        <w:t>市政管网自来水，</w:t>
      </w:r>
      <w:r>
        <w:rPr>
          <w:rFonts w:hint="default" w:ascii="Times New Roman" w:hAnsi="Times New Roman" w:eastAsia="宋体" w:cs="Times New Roman"/>
          <w:color w:val="auto"/>
          <w:kern w:val="2"/>
          <w:sz w:val="24"/>
          <w:szCs w:val="24"/>
          <w:highlight w:val="none"/>
          <w:lang w:val="zh-CN" w:eastAsia="zh-CN" w:bidi="ar-SA"/>
        </w:rPr>
        <w:t>厂区生产废水</w:t>
      </w:r>
      <w:r>
        <w:rPr>
          <w:rFonts w:hint="eastAsia" w:ascii="Times New Roman" w:hAnsi="Times New Roman" w:eastAsia="宋体" w:cs="Times New Roman"/>
          <w:color w:val="auto"/>
          <w:kern w:val="2"/>
          <w:sz w:val="24"/>
          <w:szCs w:val="24"/>
          <w:highlight w:val="none"/>
          <w:lang w:val="zh-CN" w:eastAsia="zh-CN" w:bidi="ar-SA"/>
        </w:rPr>
        <w:t>全部回用，</w:t>
      </w:r>
      <w:r>
        <w:rPr>
          <w:rFonts w:hint="eastAsia" w:ascii="Times New Roman" w:hAnsi="Times New Roman" w:eastAsia="宋体" w:cs="Times New Roman"/>
          <w:color w:val="auto"/>
          <w:kern w:val="2"/>
          <w:sz w:val="24"/>
          <w:szCs w:val="24"/>
          <w:highlight w:val="none"/>
          <w:lang w:val="en-US" w:eastAsia="zh-CN" w:bidi="ar-SA"/>
        </w:rPr>
        <w:t>不外排</w:t>
      </w:r>
      <w:r>
        <w:rPr>
          <w:rFonts w:hint="default" w:ascii="Times New Roman" w:hAnsi="Times New Roman" w:eastAsia="宋体" w:cs="Times New Roman"/>
          <w:color w:val="auto"/>
          <w:kern w:val="2"/>
          <w:sz w:val="24"/>
          <w:szCs w:val="24"/>
          <w:highlight w:val="none"/>
          <w:lang w:val="zh-CN" w:eastAsia="zh-CN" w:bidi="ar-SA"/>
        </w:rPr>
        <w:t>。</w:t>
      </w:r>
    </w:p>
    <w:p w14:paraId="50F000A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eastAsia" w:ascii="Times New Roman" w:hAnsi="Times New Roman" w:eastAsia="宋体" w:cs="Times New Roman"/>
          <w:color w:val="auto"/>
          <w:kern w:val="2"/>
          <w:sz w:val="24"/>
          <w:szCs w:val="24"/>
          <w:highlight w:val="none"/>
          <w:lang w:val="zh-CN" w:eastAsia="zh-CN" w:bidi="ar-SA"/>
        </w:rPr>
        <w:t>现有生活污水经化粪池暂存后满足污水处理厂进水指标后通过市政污水管网进入</w:t>
      </w:r>
      <w:r>
        <w:rPr>
          <w:rFonts w:hint="eastAsia" w:ascii="Times New Roman" w:hAnsi="Times New Roman" w:eastAsia="宋体" w:cs="Times New Roman"/>
          <w:color w:val="auto"/>
          <w:kern w:val="2"/>
          <w:sz w:val="24"/>
          <w:szCs w:val="24"/>
          <w:highlight w:val="none"/>
          <w:lang w:val="en-US" w:eastAsia="zh-CN" w:bidi="ar-SA"/>
        </w:rPr>
        <w:t>八五二农场</w:t>
      </w:r>
      <w:r>
        <w:rPr>
          <w:rFonts w:hint="eastAsia" w:ascii="Times New Roman" w:hAnsi="Times New Roman" w:eastAsia="宋体" w:cs="Times New Roman"/>
          <w:color w:val="auto"/>
          <w:kern w:val="2"/>
          <w:sz w:val="24"/>
          <w:szCs w:val="24"/>
          <w:highlight w:val="none"/>
          <w:lang w:val="zh-CN" w:eastAsia="zh-CN" w:bidi="ar-SA"/>
        </w:rPr>
        <w:t>污水处理厂进行处理，达到《城镇污水处理厂污染物排放标准》（GB18918-2002）中的一级A标准后，排水</w:t>
      </w:r>
      <w:r>
        <w:rPr>
          <w:rFonts w:hint="eastAsia" w:ascii="Times New Roman" w:hAnsi="Times New Roman" w:eastAsia="宋体" w:cs="Times New Roman"/>
          <w:color w:val="auto"/>
          <w:kern w:val="2"/>
          <w:sz w:val="24"/>
          <w:szCs w:val="24"/>
          <w:highlight w:val="none"/>
          <w:lang w:val="en-US" w:eastAsia="zh-CN" w:bidi="ar-SA"/>
        </w:rPr>
        <w:t>进入蛤蟆通</w:t>
      </w:r>
      <w:r>
        <w:rPr>
          <w:rFonts w:hint="eastAsia" w:ascii="Times New Roman" w:hAnsi="Times New Roman" w:eastAsia="宋体" w:cs="Times New Roman"/>
          <w:color w:val="auto"/>
          <w:kern w:val="2"/>
          <w:sz w:val="24"/>
          <w:szCs w:val="24"/>
          <w:highlight w:val="none"/>
          <w:lang w:val="zh-CN" w:eastAsia="zh-CN" w:bidi="ar-SA"/>
        </w:rPr>
        <w:t>河。</w:t>
      </w:r>
    </w:p>
    <w:p w14:paraId="3572A808">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（3）本项目各类设备噪声均得到有效控制，治理措施得当，从而使得厂界噪声符合相关标准要求。</w:t>
      </w:r>
    </w:p>
    <w:p w14:paraId="23B676D9">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eastAsia="宋体" w:cs="Times New Roman"/>
          <w:color w:val="auto"/>
          <w:kern w:val="2"/>
          <w:sz w:val="24"/>
          <w:szCs w:val="24"/>
          <w:highlight w:val="none"/>
          <w:lang w:val="zh-CN" w:eastAsia="zh-CN" w:bidi="ar-SA"/>
        </w:rPr>
      </w:pPr>
      <w:r>
        <w:rPr>
          <w:rFonts w:hint="default" w:ascii="Times New Roman" w:hAnsi="Times New Roman" w:eastAsia="宋体" w:cs="Times New Roman"/>
          <w:color w:val="auto"/>
          <w:kern w:val="2"/>
          <w:sz w:val="24"/>
          <w:szCs w:val="24"/>
          <w:highlight w:val="none"/>
          <w:lang w:val="zh-CN" w:eastAsia="zh-CN" w:bidi="ar-SA"/>
        </w:rPr>
        <w:t>（4）本次不新增工作人员，不新增生活垃圾</w:t>
      </w:r>
      <w:r>
        <w:rPr>
          <w:rFonts w:hint="eastAsia" w:ascii="Times New Roman" w:hAnsi="Times New Roman" w:eastAsia="宋体" w:cs="Times New Roman"/>
          <w:color w:val="auto"/>
          <w:kern w:val="2"/>
          <w:sz w:val="24"/>
          <w:szCs w:val="24"/>
          <w:highlight w:val="none"/>
          <w:lang w:val="zh-CN" w:eastAsia="zh-CN" w:bidi="ar-SA"/>
        </w:rPr>
        <w:t>，现有</w:t>
      </w:r>
      <w:r>
        <w:rPr>
          <w:rFonts w:hint="default" w:ascii="Times New Roman" w:hAnsi="Times New Roman" w:eastAsia="宋体" w:cs="Times New Roman"/>
          <w:color w:val="auto"/>
          <w:kern w:val="2"/>
          <w:sz w:val="24"/>
          <w:szCs w:val="24"/>
          <w:highlight w:val="none"/>
          <w:lang w:val="zh-CN" w:eastAsia="zh-CN" w:bidi="ar-SA"/>
        </w:rPr>
        <w:t>生活垃圾由市政环卫部门统一处理。锅炉</w:t>
      </w:r>
      <w:r>
        <w:rPr>
          <w:rFonts w:hint="eastAsia" w:ascii="Times New Roman" w:hAnsi="Times New Roman" w:eastAsia="宋体" w:cs="Times New Roman"/>
          <w:color w:val="auto"/>
          <w:kern w:val="2"/>
          <w:sz w:val="24"/>
          <w:szCs w:val="24"/>
          <w:highlight w:val="none"/>
          <w:lang w:val="en-US" w:eastAsia="zh-CN" w:bidi="ar-SA"/>
        </w:rPr>
        <w:t>灰渣</w:t>
      </w:r>
      <w:r>
        <w:rPr>
          <w:rFonts w:hint="eastAsia" w:ascii="Times New Roman" w:hAnsi="Times New Roman" w:eastAsia="宋体" w:cs="Times New Roman"/>
          <w:color w:val="auto"/>
          <w:kern w:val="2"/>
          <w:sz w:val="24"/>
          <w:szCs w:val="24"/>
          <w:highlight w:val="none"/>
          <w:lang w:val="zh-CN" w:eastAsia="zh-CN" w:bidi="ar-SA"/>
        </w:rPr>
        <w:t>、脱硫</w:t>
      </w:r>
      <w:r>
        <w:rPr>
          <w:rFonts w:hint="eastAsia" w:ascii="Times New Roman" w:hAnsi="Times New Roman" w:eastAsia="宋体" w:cs="Times New Roman"/>
          <w:color w:val="auto"/>
          <w:kern w:val="2"/>
          <w:sz w:val="24"/>
          <w:szCs w:val="24"/>
          <w:highlight w:val="none"/>
          <w:lang w:val="en-US" w:eastAsia="zh-CN" w:bidi="ar-SA"/>
        </w:rPr>
        <w:t>副产物</w:t>
      </w:r>
      <w:r>
        <w:rPr>
          <w:rFonts w:hint="eastAsia" w:ascii="Times New Roman" w:hAnsi="Times New Roman" w:eastAsia="宋体" w:cs="Times New Roman"/>
          <w:color w:val="auto"/>
          <w:kern w:val="2"/>
          <w:sz w:val="24"/>
          <w:szCs w:val="24"/>
          <w:highlight w:val="none"/>
          <w:lang w:val="zh-CN" w:eastAsia="zh-CN" w:bidi="ar-SA"/>
        </w:rPr>
        <w:t>外售综合利用</w:t>
      </w:r>
      <w:r>
        <w:rPr>
          <w:rFonts w:hint="default" w:ascii="Times New Roman" w:hAnsi="Times New Roman" w:eastAsia="宋体" w:cs="Times New Roman"/>
          <w:color w:val="auto"/>
          <w:kern w:val="2"/>
          <w:sz w:val="24"/>
          <w:szCs w:val="24"/>
          <w:highlight w:val="none"/>
          <w:lang w:val="zh-CN" w:eastAsia="zh-CN" w:bidi="ar-SA"/>
        </w:rPr>
        <w:t>。本项目废脱硝催化剂属于危险废物，厂家定期更换，委托有资质单位拉运、处置，不在厂区暂存</w:t>
      </w:r>
      <w:r>
        <w:rPr>
          <w:rFonts w:hint="eastAsia" w:ascii="Times New Roman" w:hAnsi="Times New Roman" w:eastAsia="宋体" w:cs="Times New Roman"/>
          <w:color w:val="auto"/>
          <w:kern w:val="2"/>
          <w:sz w:val="24"/>
          <w:szCs w:val="24"/>
          <w:highlight w:val="none"/>
          <w:lang w:val="zh-CN" w:eastAsia="zh-CN" w:bidi="ar-SA"/>
        </w:rPr>
        <w:t>，废矿物油在危废贮存点暂存后委托有危险废物处理资质的单位处理</w:t>
      </w:r>
      <w:r>
        <w:rPr>
          <w:rFonts w:hint="default" w:ascii="Times New Roman" w:hAnsi="Times New Roman" w:eastAsia="宋体" w:cs="Times New Roman"/>
          <w:color w:val="auto"/>
          <w:kern w:val="2"/>
          <w:sz w:val="24"/>
          <w:szCs w:val="24"/>
          <w:highlight w:val="none"/>
          <w:lang w:val="zh-CN" w:eastAsia="zh-CN" w:bidi="ar-SA"/>
        </w:rPr>
        <w:t>。废布袋由厂家回收，不在厂区内堆存</w:t>
      </w:r>
      <w:r>
        <w:rPr>
          <w:rFonts w:hint="eastAsia" w:ascii="Times New Roman" w:hAnsi="Times New Roman" w:eastAsia="宋体" w:cs="Times New Roman"/>
          <w:color w:val="auto"/>
          <w:kern w:val="2"/>
          <w:sz w:val="24"/>
          <w:szCs w:val="24"/>
          <w:highlight w:val="none"/>
          <w:lang w:val="zh-CN" w:eastAsia="zh-CN" w:bidi="ar-SA"/>
        </w:rPr>
        <w:t>。</w:t>
      </w:r>
      <w:r>
        <w:rPr>
          <w:rFonts w:hint="eastAsia" w:ascii="Times New Roman" w:hAnsi="Times New Roman" w:eastAsia="宋体" w:cs="Times New Roman"/>
          <w:color w:val="auto"/>
          <w:kern w:val="2"/>
          <w:sz w:val="24"/>
          <w:szCs w:val="24"/>
          <w:highlight w:val="none"/>
          <w:lang w:val="en-US" w:eastAsia="zh-CN" w:bidi="ar-SA"/>
        </w:rPr>
        <w:t>废离子交换树脂由厂家回收，不在场内贮存</w:t>
      </w:r>
      <w:r>
        <w:rPr>
          <w:rFonts w:hint="default" w:ascii="Times New Roman" w:hAnsi="Times New Roman" w:eastAsia="宋体" w:cs="Times New Roman"/>
          <w:color w:val="auto"/>
          <w:kern w:val="2"/>
          <w:sz w:val="24"/>
          <w:szCs w:val="24"/>
          <w:highlight w:val="none"/>
          <w:lang w:val="zh-CN" w:eastAsia="zh-CN" w:bidi="ar-SA"/>
        </w:rPr>
        <w:t>。</w:t>
      </w:r>
      <w:r>
        <w:rPr>
          <w:rFonts w:hint="eastAsia" w:ascii="Times New Roman" w:hAnsi="Times New Roman" w:eastAsia="宋体" w:cs="Times New Roman"/>
          <w:color w:val="auto"/>
          <w:kern w:val="2"/>
          <w:sz w:val="24"/>
          <w:szCs w:val="24"/>
          <w:highlight w:val="none"/>
          <w:lang w:val="en-US" w:eastAsia="zh-CN" w:bidi="ar-SA"/>
        </w:rPr>
        <w:t>初期雨水收集池</w:t>
      </w:r>
      <w:r>
        <w:rPr>
          <w:rFonts w:hint="default" w:ascii="Times New Roman" w:hAnsi="Times New Roman" w:eastAsia="宋体" w:cs="Times New Roman"/>
          <w:color w:val="auto"/>
          <w:kern w:val="2"/>
          <w:sz w:val="24"/>
          <w:szCs w:val="24"/>
          <w:highlight w:val="none"/>
          <w:lang w:val="zh-CN" w:eastAsia="zh-CN" w:bidi="ar-SA"/>
        </w:rPr>
        <w:t>沉渣作为燃料入炉燃烧。</w:t>
      </w:r>
    </w:p>
    <w:p w14:paraId="1968981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330" w:name="_Toc30917"/>
      <w:bookmarkStart w:id="331" w:name="_Toc5572"/>
      <w:bookmarkStart w:id="332" w:name="_Toc12356"/>
      <w:r>
        <w:rPr>
          <w:rFonts w:hint="eastAsia" w:ascii="Times New Roman" w:hAnsi="Times New Roman" w:eastAsia="宋体" w:cs="Times New Roman"/>
          <w:b/>
          <w:bCs/>
          <w:color w:val="auto"/>
          <w:sz w:val="28"/>
          <w:szCs w:val="28"/>
          <w:lang w:val="en-US" w:eastAsia="zh-CN"/>
        </w:rPr>
        <w:t>4.6.4 结论</w:t>
      </w:r>
      <w:bookmarkEnd w:id="330"/>
      <w:bookmarkEnd w:id="331"/>
      <w:bookmarkEnd w:id="332"/>
    </w:p>
    <w:p w14:paraId="0AF98C90">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从以上分析可知，本工程在设计中采取了一系列节能、节水措施，同时，本工程产生的污染物均采取了有效的污染防治措施，达到了国内先进生产水平，项目建设符合清洁生产的指导思想。</w:t>
      </w:r>
    </w:p>
    <w:p w14:paraId="48D3F7E3">
      <w:pPr>
        <w:ind w:firstLine="480"/>
        <w:rPr>
          <w:rFonts w:ascii="Times New Roman" w:hAnsi="Times New Roman" w:eastAsia="宋体" w:cs="Times New Roman"/>
          <w:color w:val="auto"/>
        </w:rPr>
      </w:pPr>
      <w:r>
        <w:rPr>
          <w:rFonts w:ascii="Times New Roman" w:hAnsi="Times New Roman" w:eastAsia="宋体" w:cs="Times New Roman"/>
          <w:color w:val="auto"/>
        </w:rPr>
        <w:br w:type="page"/>
      </w:r>
    </w:p>
    <w:p w14:paraId="0C7EB869">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eastAsia" w:ascii="Times New Roman" w:hAnsi="Times New Roman" w:eastAsia="宋体" w:cs="Times New Roman"/>
          <w:b/>
          <w:bCs/>
          <w:color w:val="auto"/>
          <w:kern w:val="2"/>
          <w:sz w:val="32"/>
          <w:szCs w:val="32"/>
          <w:lang w:val="en-US" w:eastAsia="zh-CN"/>
        </w:rPr>
      </w:pPr>
      <w:bookmarkStart w:id="333" w:name="_Toc17969"/>
      <w:bookmarkStart w:id="334" w:name="_Toc18616"/>
      <w:r>
        <w:rPr>
          <w:rStyle w:val="164"/>
          <w:rFonts w:hint="eastAsia" w:ascii="Times New Roman" w:hAnsi="Times New Roman" w:cs="Times New Roman"/>
          <w:b/>
          <w:bCs/>
          <w:color w:val="auto"/>
          <w:kern w:val="2"/>
          <w:sz w:val="32"/>
          <w:szCs w:val="32"/>
          <w:lang w:val="en-US" w:eastAsia="zh-CN"/>
        </w:rPr>
        <w:t>5、</w:t>
      </w:r>
      <w:r>
        <w:rPr>
          <w:rStyle w:val="164"/>
          <w:rFonts w:hint="eastAsia" w:ascii="Times New Roman" w:hAnsi="Times New Roman" w:eastAsia="宋体" w:cs="Times New Roman"/>
          <w:b/>
          <w:bCs/>
          <w:color w:val="auto"/>
          <w:kern w:val="2"/>
          <w:sz w:val="32"/>
          <w:szCs w:val="32"/>
          <w:lang w:val="en-US" w:eastAsia="zh-CN"/>
        </w:rPr>
        <w:t>环境现状调查与评价</w:t>
      </w:r>
      <w:bookmarkEnd w:id="333"/>
      <w:bookmarkEnd w:id="334"/>
    </w:p>
    <w:p w14:paraId="3DD82313">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335" w:name="_Toc6024"/>
      <w:bookmarkStart w:id="336" w:name="_Toc17665"/>
      <w:r>
        <w:rPr>
          <w:rFonts w:hint="eastAsia" w:ascii="Times New Roman" w:hAnsi="Times New Roman" w:cs="Times New Roman"/>
          <w:b/>
          <w:bCs/>
          <w:color w:val="auto"/>
          <w:lang w:val="en-US" w:eastAsia="zh-CN"/>
        </w:rPr>
        <w:t xml:space="preserve">5.1 </w:t>
      </w:r>
      <w:r>
        <w:rPr>
          <w:rFonts w:hint="default" w:ascii="Times New Roman" w:hAnsi="Times New Roman" w:eastAsia="宋体" w:cs="Times New Roman"/>
          <w:b/>
          <w:bCs/>
          <w:color w:val="auto"/>
        </w:rPr>
        <w:t>自然环境概况</w:t>
      </w:r>
      <w:bookmarkEnd w:id="335"/>
      <w:bookmarkEnd w:id="336"/>
    </w:p>
    <w:p w14:paraId="1A2EA1C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37" w:name="_Toc105659920"/>
      <w:bookmarkStart w:id="338" w:name="_Toc18047"/>
      <w:bookmarkStart w:id="339" w:name="_Toc107238137"/>
      <w:bookmarkStart w:id="340" w:name="_Toc9451"/>
      <w:bookmarkStart w:id="341" w:name="_Toc30925"/>
      <w:bookmarkStart w:id="342" w:name="_Toc16568"/>
      <w:r>
        <w:rPr>
          <w:rFonts w:hint="eastAsia" w:ascii="Times New Roman" w:hAnsi="Times New Roman" w:cs="Times New Roman"/>
          <w:b/>
          <w:bCs/>
          <w:color w:val="auto"/>
          <w:sz w:val="28"/>
          <w:szCs w:val="28"/>
          <w:lang w:val="en-US" w:eastAsia="zh-CN"/>
        </w:rPr>
        <w:t>5.1.1 地理位置</w:t>
      </w:r>
      <w:bookmarkEnd w:id="337"/>
      <w:bookmarkEnd w:id="338"/>
      <w:bookmarkEnd w:id="339"/>
      <w:bookmarkEnd w:id="340"/>
      <w:bookmarkEnd w:id="341"/>
      <w:bookmarkEnd w:id="342"/>
    </w:p>
    <w:p w14:paraId="6E34B30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双鸭山市位于中国黑龙江省东北部，地处完达山北麓、三江平原南缘，东隔乌苏里江与俄罗斯相望，介于东经130°38′57″～134°20′20″，北纬45°47′08″～47°34′28″，境内平原宽广，丘陵起伏，群山绵延，是黑龙江省重要的煤炭、电力、化工、钢铁和粮食生产基地，被誉为“黑土湿地之都、绿色生态之城”。</w:t>
      </w:r>
    </w:p>
    <w:p w14:paraId="3352073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宝清县地处黑龙江省东部，三江平原腹地，北大荒核心，行政区域面积9995.4km</w:t>
      </w:r>
      <w:r>
        <w:rPr>
          <w:rFonts w:hint="eastAsia" w:ascii="Times New Roman" w:hAnsi="Times New Roman" w:eastAsia="宋体" w:cs="Times New Roman"/>
          <w:color w:val="auto"/>
          <w:sz w:val="24"/>
          <w:szCs w:val="24"/>
          <w:highlight w:val="none"/>
          <w:vertAlign w:val="superscript"/>
          <w:lang w:val="en-US" w:eastAsia="zh-CN"/>
        </w:rPr>
        <w:t>2</w:t>
      </w:r>
      <w:r>
        <w:rPr>
          <w:rFonts w:hint="eastAsia" w:ascii="Times New Roman" w:hAnsi="Times New Roman" w:eastAsia="宋体" w:cs="Times New Roman"/>
          <w:color w:val="auto"/>
          <w:sz w:val="24"/>
          <w:szCs w:val="24"/>
          <w:highlight w:val="none"/>
          <w:lang w:val="en-US" w:eastAsia="zh-CN"/>
        </w:rPr>
        <w:t>，辖7镇3乡，145个行政村，9个县属林场，县域内有3个国营农场和16个森工林场，总人口38.97万人。宝清县是黑龙江省东部煤电化基地核心区、省级循环经济示范基地，是国家级现代农业示范区、全国粮食生产先进县和重要的商品粮生产基地，是黑龙江省两大平原现代农业综合配套改革试验重点县。宝清县作为一个典型的农业、资源、商贸、生态和文化大县，素有“天府之城、湿地之都、煤电基地、北国粮仓”的美誉。</w:t>
      </w:r>
    </w:p>
    <w:p w14:paraId="592362E7">
      <w:pPr>
        <w:ind w:firstLine="0" w:firstLineChars="0"/>
        <w:rPr>
          <w:rFonts w:ascii="Times New Roman" w:hAnsi="Times New Roman" w:eastAsia="宋体" w:cs="Times New Roman"/>
          <w:color w:val="auto"/>
        </w:rPr>
      </w:pPr>
      <w:r>
        <w:rPr>
          <w:color w:val="auto"/>
        </w:rPr>
        <w:drawing>
          <wp:inline distT="0" distB="0" distL="114300" distR="114300">
            <wp:extent cx="5272405" cy="3540760"/>
            <wp:effectExtent l="9525" t="9525" r="13970" b="18415"/>
            <wp:docPr id="1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8"/>
                    <pic:cNvPicPr>
                      <a:picLocks noChangeAspect="1"/>
                    </pic:cNvPicPr>
                  </pic:nvPicPr>
                  <pic:blipFill>
                    <a:blip r:embed="rId70"/>
                    <a:stretch>
                      <a:fillRect/>
                    </a:stretch>
                  </pic:blipFill>
                  <pic:spPr>
                    <a:xfrm>
                      <a:off x="0" y="0"/>
                      <a:ext cx="5272405" cy="3540760"/>
                    </a:xfrm>
                    <a:prstGeom prst="rect">
                      <a:avLst/>
                    </a:prstGeom>
                    <a:noFill/>
                    <a:ln>
                      <a:solidFill>
                        <a:schemeClr val="tx1"/>
                      </a:solidFill>
                    </a:ln>
                  </pic:spPr>
                </pic:pic>
              </a:graphicData>
            </a:graphic>
          </wp:inline>
        </w:drawing>
      </w:r>
    </w:p>
    <w:p w14:paraId="043215C3">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图</w:t>
      </w:r>
      <w:r>
        <w:rPr>
          <w:rFonts w:hint="eastAsia"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-1</w:t>
      </w:r>
      <w:r>
        <w:rPr>
          <w:rFonts w:hint="eastAsia" w:ascii="Times New Roman" w:hAnsi="Times New Roman" w:eastAsia="宋体" w:cs="Times New Roman"/>
          <w:b/>
          <w:bCs/>
          <w:color w:val="auto"/>
          <w:sz w:val="24"/>
          <w:szCs w:val="24"/>
          <w:lang w:val="en-US" w:eastAsia="zh-CN"/>
        </w:rPr>
        <w:t xml:space="preserve">  </w:t>
      </w:r>
      <w:r>
        <w:rPr>
          <w:rFonts w:hint="eastAsia" w:eastAsia="宋体" w:cs="Times New Roman"/>
          <w:b/>
          <w:bCs/>
          <w:color w:val="auto"/>
          <w:sz w:val="24"/>
          <w:szCs w:val="24"/>
          <w:lang w:val="en-US" w:eastAsia="zh-CN"/>
        </w:rPr>
        <w:t>项目位置图</w:t>
      </w:r>
    </w:p>
    <w:p w14:paraId="132E4200">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43" w:name="_Toc32168"/>
      <w:bookmarkStart w:id="344" w:name="_Toc7583"/>
      <w:bookmarkStart w:id="345" w:name="_Toc21398"/>
      <w:bookmarkStart w:id="346" w:name="_Toc107238138"/>
      <w:bookmarkStart w:id="347" w:name="_Toc8644"/>
      <w:bookmarkStart w:id="348" w:name="_Toc105659921"/>
      <w:r>
        <w:rPr>
          <w:rFonts w:hint="eastAsia" w:ascii="Times New Roman" w:hAnsi="Times New Roman" w:cs="Times New Roman"/>
          <w:b/>
          <w:bCs/>
          <w:color w:val="auto"/>
          <w:sz w:val="28"/>
          <w:szCs w:val="28"/>
          <w:lang w:val="en-US" w:eastAsia="zh-CN"/>
        </w:rPr>
        <w:t>5.1.2 地形地貌</w:t>
      </w:r>
      <w:bookmarkEnd w:id="343"/>
      <w:bookmarkEnd w:id="344"/>
      <w:bookmarkEnd w:id="345"/>
      <w:bookmarkEnd w:id="346"/>
      <w:bookmarkEnd w:id="347"/>
      <w:bookmarkEnd w:id="348"/>
    </w:p>
    <w:p w14:paraId="1A896B4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bookmarkStart w:id="349" w:name="_Toc20453"/>
      <w:bookmarkStart w:id="350" w:name="_Toc17648"/>
      <w:bookmarkStart w:id="351" w:name="_Toc23724"/>
      <w:bookmarkStart w:id="352" w:name="_Toc105659922"/>
      <w:bookmarkStart w:id="353" w:name="_Toc107238139"/>
      <w:bookmarkStart w:id="354" w:name="_Toc9020"/>
      <w:r>
        <w:rPr>
          <w:rFonts w:hint="eastAsia" w:ascii="Times New Roman" w:hAnsi="Times New Roman" w:eastAsia="宋体" w:cs="Times New Roman"/>
          <w:color w:val="auto"/>
          <w:sz w:val="24"/>
          <w:szCs w:val="24"/>
          <w:highlight w:val="none"/>
          <w:lang w:val="en-US" w:eastAsia="zh-CN"/>
        </w:rPr>
        <w:t>宝清县地处完达山脉北麓的低山丘陵区，属古老山地，坡度平缓、山头低矮，山上泥土肥厚，生长着阔叶和针阔叶混交林。境内地势西南高、东北低，平均海拔450m。市境南部为山地，西南部海拔高度在500至600m左右，只有七星砬子和十二道坝南山分别高达852m和755m，切割深度在200至400m之间，属低山区。随山地走向成西东、南北山谷共45条，较大的山谷4条。市区的北部为丘陵地带，地面波状起伏，独立小山较多，海拔高度除双鸭山406m、大山426m外，其它均在200至300m左右，切割深度多在数十米至百米不等，北部最低海拔高度108m，成东西长形地带。山脉主要分布在市区南部，全市共有大小山头101个，主要展布在北、南、东北和西北方向，均属完达山脉分水岗南北延伸的支脉。有5条河流蜿蜒其间，大体为八山半水、一山半田。</w:t>
      </w:r>
    </w:p>
    <w:p w14:paraId="68D4164F">
      <w:pPr>
        <w:ind w:firstLine="0" w:firstLineChars="0"/>
        <w:rPr>
          <w:color w:val="auto"/>
        </w:rPr>
      </w:pPr>
      <w:r>
        <w:rPr>
          <w:color w:val="auto"/>
        </w:rPr>
        <w:drawing>
          <wp:inline distT="0" distB="0" distL="114300" distR="114300">
            <wp:extent cx="5274310" cy="3614420"/>
            <wp:effectExtent l="0" t="0" r="8890" b="5080"/>
            <wp:docPr id="2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9"/>
                    <pic:cNvPicPr>
                      <a:picLocks noChangeAspect="1"/>
                    </pic:cNvPicPr>
                  </pic:nvPicPr>
                  <pic:blipFill>
                    <a:blip r:embed="rId71"/>
                    <a:stretch>
                      <a:fillRect/>
                    </a:stretch>
                  </pic:blipFill>
                  <pic:spPr>
                    <a:xfrm>
                      <a:off x="0" y="0"/>
                      <a:ext cx="5274310" cy="3614420"/>
                    </a:xfrm>
                    <a:prstGeom prst="rect">
                      <a:avLst/>
                    </a:prstGeom>
                    <a:noFill/>
                    <a:ln>
                      <a:noFill/>
                    </a:ln>
                  </pic:spPr>
                </pic:pic>
              </a:graphicData>
            </a:graphic>
          </wp:inline>
        </w:drawing>
      </w:r>
    </w:p>
    <w:p w14:paraId="616B6A12">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图</w:t>
      </w:r>
      <w:r>
        <w:rPr>
          <w:rFonts w:hint="eastAsia"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w:t>
      </w:r>
      <w:r>
        <w:rPr>
          <w:rFonts w:hint="eastAsia" w:eastAsia="宋体" w:cs="Times New Roman"/>
          <w:b/>
          <w:bCs/>
          <w:color w:val="auto"/>
          <w:sz w:val="24"/>
          <w:szCs w:val="24"/>
          <w:lang w:val="en-US" w:eastAsia="zh-CN"/>
        </w:rPr>
        <w:t>2</w:t>
      </w:r>
      <w:r>
        <w:rPr>
          <w:rFonts w:hint="eastAsia" w:ascii="Times New Roman" w:hAnsi="Times New Roman" w:eastAsia="宋体" w:cs="Times New Roman"/>
          <w:b/>
          <w:bCs/>
          <w:color w:val="auto"/>
          <w:sz w:val="24"/>
          <w:szCs w:val="24"/>
          <w:lang w:val="en-US" w:eastAsia="zh-CN"/>
        </w:rPr>
        <w:t xml:space="preserve">  </w:t>
      </w:r>
      <w:r>
        <w:rPr>
          <w:rFonts w:hint="eastAsia" w:eastAsia="宋体" w:cs="Times New Roman"/>
          <w:b/>
          <w:bCs/>
          <w:color w:val="auto"/>
          <w:sz w:val="24"/>
          <w:szCs w:val="24"/>
          <w:lang w:val="en-US" w:eastAsia="zh-CN"/>
        </w:rPr>
        <w:t>宝清县地貌类型图</w:t>
      </w:r>
    </w:p>
    <w:bookmarkEnd w:id="349"/>
    <w:bookmarkEnd w:id="350"/>
    <w:bookmarkEnd w:id="351"/>
    <w:bookmarkEnd w:id="352"/>
    <w:bookmarkEnd w:id="353"/>
    <w:bookmarkEnd w:id="354"/>
    <w:p w14:paraId="7FEE45E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55" w:name="_Toc29730"/>
      <w:bookmarkStart w:id="356" w:name="_Toc107238140"/>
      <w:bookmarkStart w:id="357" w:name="_Toc2493"/>
      <w:bookmarkStart w:id="358" w:name="_Toc5577"/>
      <w:bookmarkStart w:id="359" w:name="_Toc105659923"/>
      <w:bookmarkStart w:id="360" w:name="_Toc25767"/>
      <w:r>
        <w:rPr>
          <w:rFonts w:hint="eastAsia" w:ascii="Times New Roman" w:hAnsi="Times New Roman" w:cs="Times New Roman"/>
          <w:b/>
          <w:bCs/>
          <w:color w:val="auto"/>
          <w:sz w:val="28"/>
          <w:szCs w:val="28"/>
          <w:lang w:val="en-US" w:eastAsia="zh-CN"/>
        </w:rPr>
        <w:t>5.1.3 气候与气象</w:t>
      </w:r>
    </w:p>
    <w:bookmarkEnd w:id="355"/>
    <w:bookmarkEnd w:id="356"/>
    <w:bookmarkEnd w:id="357"/>
    <w:bookmarkEnd w:id="358"/>
    <w:bookmarkEnd w:id="359"/>
    <w:bookmarkEnd w:id="360"/>
    <w:p w14:paraId="4C77182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5</w:t>
      </w:r>
      <w:r>
        <w:rPr>
          <w:rFonts w:hint="default" w:ascii="Times New Roman" w:hAnsi="Times New Roman" w:eastAsia="宋体" w:cs="Times New Roman"/>
          <w:b/>
          <w:bCs w:val="0"/>
          <w:color w:val="auto"/>
          <w:sz w:val="24"/>
          <w:szCs w:val="24"/>
        </w:rPr>
        <w:t>.1.</w:t>
      </w:r>
      <w:r>
        <w:rPr>
          <w:rFonts w:hint="eastAsia" w:ascii="Times New Roman" w:hAnsi="Times New Roman" w:eastAsia="宋体" w:cs="Times New Roman"/>
          <w:b/>
          <w:bCs w:val="0"/>
          <w:color w:val="auto"/>
          <w:sz w:val="24"/>
          <w:szCs w:val="24"/>
          <w:lang w:val="en-US" w:eastAsia="zh-CN"/>
        </w:rPr>
        <w:t>3</w:t>
      </w:r>
      <w:r>
        <w:rPr>
          <w:rFonts w:hint="default" w:ascii="Times New Roman" w:hAnsi="Times New Roman" w:eastAsia="宋体" w:cs="Times New Roman"/>
          <w:b/>
          <w:bCs w:val="0"/>
          <w:color w:val="auto"/>
          <w:sz w:val="24"/>
          <w:szCs w:val="24"/>
        </w:rPr>
        <w:t>.1 资料来源</w:t>
      </w:r>
    </w:p>
    <w:p w14:paraId="2D9F17B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宝清县</w:t>
      </w:r>
      <w:r>
        <w:rPr>
          <w:rFonts w:hint="default" w:ascii="Times New Roman" w:hAnsi="Times New Roman" w:eastAsia="宋体" w:cs="Times New Roman"/>
          <w:color w:val="auto"/>
          <w:sz w:val="24"/>
          <w:szCs w:val="24"/>
          <w:highlight w:val="none"/>
          <w:lang w:val="en-US" w:eastAsia="zh-CN"/>
        </w:rPr>
        <w:t>气象站是国家</w:t>
      </w:r>
      <w:r>
        <w:rPr>
          <w:rFonts w:hint="eastAsia" w:ascii="Times New Roman" w:hAnsi="Times New Roman" w:eastAsia="宋体" w:cs="Times New Roman"/>
          <w:color w:val="auto"/>
          <w:sz w:val="24"/>
          <w:szCs w:val="24"/>
          <w:highlight w:val="none"/>
          <w:lang w:val="en-US" w:eastAsia="zh-CN"/>
        </w:rPr>
        <w:t>基本</w:t>
      </w:r>
      <w:r>
        <w:rPr>
          <w:rFonts w:hint="default" w:ascii="Times New Roman" w:hAnsi="Times New Roman" w:eastAsia="宋体" w:cs="Times New Roman"/>
          <w:color w:val="auto"/>
          <w:sz w:val="24"/>
          <w:szCs w:val="24"/>
          <w:highlight w:val="none"/>
          <w:lang w:val="en-US" w:eastAsia="zh-CN"/>
        </w:rPr>
        <w:t>站，距离本项目厂界约</w:t>
      </w:r>
      <w:r>
        <w:rPr>
          <w:rFonts w:hint="eastAsia" w:ascii="Times New Roman" w:hAnsi="Times New Roman" w:eastAsia="宋体" w:cs="Times New Roman"/>
          <w:color w:val="auto"/>
          <w:sz w:val="24"/>
          <w:szCs w:val="24"/>
          <w:highlight w:val="none"/>
          <w:lang w:val="en-US" w:eastAsia="zh-CN"/>
        </w:rPr>
        <w:t>50.6km</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是距离本项目最近的气象站，且宝清</w:t>
      </w:r>
      <w:r>
        <w:rPr>
          <w:rFonts w:hint="default" w:ascii="Times New Roman" w:hAnsi="Times New Roman" w:eastAsia="宋体" w:cs="Times New Roman"/>
          <w:color w:val="auto"/>
          <w:sz w:val="24"/>
          <w:szCs w:val="24"/>
          <w:highlight w:val="none"/>
          <w:lang w:val="en-US" w:eastAsia="zh-CN"/>
        </w:rPr>
        <w:t>县气象站常规气象资料可以反映拟建项目区域的基本气候特征，本次评价常规地面气象观测资料利用</w:t>
      </w:r>
      <w:r>
        <w:rPr>
          <w:rFonts w:hint="eastAsia" w:ascii="Times New Roman" w:hAnsi="Times New Roman" w:eastAsia="宋体" w:cs="Times New Roman"/>
          <w:color w:val="auto"/>
          <w:sz w:val="24"/>
          <w:szCs w:val="24"/>
          <w:highlight w:val="none"/>
          <w:lang w:val="en-US" w:eastAsia="zh-CN"/>
        </w:rPr>
        <w:t>宝清</w:t>
      </w:r>
      <w:r>
        <w:rPr>
          <w:rFonts w:hint="default" w:ascii="Times New Roman" w:hAnsi="Times New Roman" w:eastAsia="宋体" w:cs="Times New Roman"/>
          <w:color w:val="auto"/>
          <w:sz w:val="24"/>
          <w:szCs w:val="24"/>
          <w:highlight w:val="none"/>
          <w:lang w:val="en-US" w:eastAsia="zh-CN"/>
        </w:rPr>
        <w:t>县气象站地面气象观测站近20年观测资料及202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年逐日、逐次的常规气象观测资料。本次评价预测采用的高空数据数值模式WRF生成，包括大气压、高度、干球温度等。</w:t>
      </w:r>
    </w:p>
    <w:p w14:paraId="24B3E0D6">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rPr>
      </w:pPr>
      <w:r>
        <w:rPr>
          <w:rFonts w:hint="eastAsia" w:ascii="Times New Roman" w:hAnsi="Times New Roman" w:eastAsia="宋体" w:cs="Times New Roman"/>
          <w:b/>
          <w:bCs w:val="0"/>
          <w:color w:val="auto"/>
          <w:sz w:val="24"/>
          <w:szCs w:val="24"/>
          <w:lang w:val="en-US" w:eastAsia="zh-CN"/>
        </w:rPr>
        <w:t>5</w:t>
      </w:r>
      <w:r>
        <w:rPr>
          <w:rFonts w:hint="default" w:ascii="Times New Roman" w:hAnsi="Times New Roman" w:eastAsia="宋体" w:cs="Times New Roman"/>
          <w:b/>
          <w:bCs w:val="0"/>
          <w:color w:val="auto"/>
          <w:sz w:val="24"/>
          <w:szCs w:val="24"/>
        </w:rPr>
        <w:t>.1.</w:t>
      </w:r>
      <w:r>
        <w:rPr>
          <w:rFonts w:hint="eastAsia" w:ascii="Times New Roman" w:hAnsi="Times New Roman" w:eastAsia="宋体" w:cs="Times New Roman"/>
          <w:b/>
          <w:bCs w:val="0"/>
          <w:color w:val="auto"/>
          <w:sz w:val="24"/>
          <w:szCs w:val="24"/>
          <w:lang w:val="en-US" w:eastAsia="zh-CN"/>
        </w:rPr>
        <w:t>3</w:t>
      </w:r>
      <w:r>
        <w:rPr>
          <w:rFonts w:hint="default" w:ascii="Times New Roman" w:hAnsi="Times New Roman" w:eastAsia="宋体" w:cs="Times New Roman"/>
          <w:b/>
          <w:bCs w:val="0"/>
          <w:color w:val="auto"/>
          <w:sz w:val="24"/>
          <w:szCs w:val="24"/>
        </w:rPr>
        <w:t>.2 地面气候概况</w:t>
      </w:r>
    </w:p>
    <w:p w14:paraId="7AC8462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val="en-US" w:eastAsia="zh-CN"/>
        </w:rPr>
        <w:t>气候特征</w:t>
      </w:r>
    </w:p>
    <w:p w14:paraId="383827A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项目所在地属湿润寒温带大陆性季风气候，冬季漫长而寒冷，常受西伯利亚寒流影响，夏季短促而温暖</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春秋两季气候多变，且昼夜温差较大，春季回暖快而多风、干旱，秋季时有暴雨霜冻。根据宝清站历年气象资料统计</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多</w:t>
      </w:r>
      <w:r>
        <w:rPr>
          <w:rFonts w:hint="default" w:ascii="Times New Roman" w:hAnsi="Times New Roman" w:eastAsia="宋体" w:cs="Times New Roman"/>
          <w:color w:val="auto"/>
          <w:sz w:val="24"/>
          <w:szCs w:val="24"/>
          <w:highlight w:val="none"/>
          <w:lang w:val="en-US" w:eastAsia="zh-CN"/>
        </w:rPr>
        <w:t>年平均气温</w:t>
      </w:r>
      <w:r>
        <w:rPr>
          <w:rFonts w:hint="eastAsia" w:ascii="Times New Roman" w:hAnsi="Times New Roman" w:eastAsia="宋体" w:cs="Times New Roman"/>
          <w:color w:val="auto"/>
          <w:sz w:val="24"/>
          <w:szCs w:val="24"/>
          <w:highlight w:val="none"/>
          <w:lang w:val="en-US" w:eastAsia="zh-CN"/>
        </w:rPr>
        <w:t>4.7</w:t>
      </w:r>
      <w:r>
        <w:rPr>
          <w:rFonts w:hint="default" w:ascii="Times New Roman" w:hAnsi="Times New Roman" w:eastAsia="宋体" w:cs="Times New Roman"/>
          <w:color w:val="auto"/>
          <w:sz w:val="24"/>
          <w:szCs w:val="24"/>
          <w:highlight w:val="none"/>
          <w:lang w:val="en-US" w:eastAsia="zh-CN"/>
        </w:rPr>
        <w:t>℃，最高气温</w:t>
      </w:r>
      <w:r>
        <w:rPr>
          <w:rFonts w:hint="eastAsia" w:ascii="Times New Roman" w:hAnsi="Times New Roman" w:eastAsia="宋体" w:cs="Times New Roman"/>
          <w:color w:val="auto"/>
          <w:sz w:val="24"/>
          <w:szCs w:val="24"/>
          <w:highlight w:val="none"/>
          <w:lang w:val="en-US" w:eastAsia="zh-CN"/>
        </w:rPr>
        <w:t>34.5</w:t>
      </w:r>
      <w:r>
        <w:rPr>
          <w:rFonts w:hint="default" w:ascii="Times New Roman" w:hAnsi="Times New Roman" w:eastAsia="宋体" w:cs="Times New Roman"/>
          <w:color w:val="auto"/>
          <w:sz w:val="24"/>
          <w:szCs w:val="24"/>
          <w:highlight w:val="none"/>
          <w:lang w:val="en-US" w:eastAsia="zh-CN"/>
        </w:rPr>
        <w:t>℃，最低气温-</w:t>
      </w:r>
      <w:r>
        <w:rPr>
          <w:rFonts w:hint="eastAsia" w:ascii="Times New Roman" w:hAnsi="Times New Roman" w:eastAsia="宋体" w:cs="Times New Roman"/>
          <w:color w:val="auto"/>
          <w:sz w:val="24"/>
          <w:szCs w:val="24"/>
          <w:highlight w:val="none"/>
          <w:lang w:val="en-US" w:eastAsia="zh-CN"/>
        </w:rPr>
        <w:t>30.7</w:t>
      </w:r>
      <w:r>
        <w:rPr>
          <w:rFonts w:hint="default" w:ascii="Times New Roman" w:hAnsi="Times New Roman" w:eastAsia="宋体" w:cs="Times New Roman"/>
          <w:color w:val="auto"/>
          <w:sz w:val="24"/>
          <w:szCs w:val="24"/>
          <w:highlight w:val="none"/>
          <w:lang w:val="en-US" w:eastAsia="zh-CN"/>
        </w:rPr>
        <w:t>℃。年日照</w:t>
      </w:r>
      <w:r>
        <w:rPr>
          <w:rFonts w:hint="eastAsia" w:ascii="Times New Roman" w:hAnsi="Times New Roman" w:eastAsia="宋体" w:cs="Times New Roman"/>
          <w:color w:val="auto"/>
          <w:sz w:val="24"/>
          <w:szCs w:val="24"/>
          <w:highlight w:val="none"/>
          <w:lang w:val="en-US" w:eastAsia="zh-CN"/>
        </w:rPr>
        <w:t>2437.6</w:t>
      </w:r>
      <w:r>
        <w:rPr>
          <w:rFonts w:hint="default" w:ascii="Times New Roman" w:hAnsi="Times New Roman" w:eastAsia="宋体" w:cs="Times New Roman"/>
          <w:color w:val="auto"/>
          <w:sz w:val="24"/>
          <w:szCs w:val="24"/>
          <w:highlight w:val="none"/>
          <w:lang w:val="en-US" w:eastAsia="zh-CN"/>
        </w:rPr>
        <w:t>小时。</w:t>
      </w:r>
      <w:r>
        <w:rPr>
          <w:rFonts w:hint="eastAsia" w:ascii="Times New Roman" w:hAnsi="Times New Roman" w:eastAsia="宋体" w:cs="Times New Roman"/>
          <w:color w:val="auto"/>
          <w:sz w:val="24"/>
          <w:szCs w:val="24"/>
          <w:highlight w:val="none"/>
          <w:lang w:val="en-US" w:eastAsia="zh-CN"/>
        </w:rPr>
        <w:t>年平均降水量567.5mm。</w:t>
      </w:r>
      <w:r>
        <w:rPr>
          <w:rFonts w:hint="default" w:ascii="Times New Roman" w:hAnsi="Times New Roman" w:eastAsia="宋体" w:cs="Times New Roman"/>
          <w:color w:val="auto"/>
          <w:sz w:val="24"/>
          <w:szCs w:val="24"/>
          <w:highlight w:val="none"/>
          <w:lang w:val="en-US" w:eastAsia="zh-CN"/>
        </w:rPr>
        <w:t>无霜期</w:t>
      </w:r>
      <w:r>
        <w:rPr>
          <w:rFonts w:hint="eastAsia" w:ascii="Times New Roman" w:hAnsi="Times New Roman" w:eastAsia="宋体" w:cs="Times New Roman"/>
          <w:color w:val="auto"/>
          <w:sz w:val="24"/>
          <w:szCs w:val="24"/>
          <w:highlight w:val="none"/>
          <w:lang w:val="en-US" w:eastAsia="zh-CN"/>
        </w:rPr>
        <w:t>147</w:t>
      </w:r>
      <w:r>
        <w:rPr>
          <w:rFonts w:hint="default" w:ascii="Times New Roman" w:hAnsi="Times New Roman" w:eastAsia="宋体" w:cs="Times New Roman"/>
          <w:color w:val="auto"/>
          <w:sz w:val="24"/>
          <w:szCs w:val="24"/>
          <w:highlight w:val="none"/>
          <w:lang w:val="en-US" w:eastAsia="zh-CN"/>
        </w:rPr>
        <w:t>天左右。年平均风速</w:t>
      </w:r>
      <w:r>
        <w:rPr>
          <w:rFonts w:hint="eastAsia" w:ascii="Times New Roman" w:hAnsi="Times New Roman" w:eastAsia="宋体" w:cs="Times New Roman"/>
          <w:color w:val="auto"/>
          <w:sz w:val="24"/>
          <w:szCs w:val="24"/>
          <w:highlight w:val="none"/>
          <w:lang w:val="en-US" w:eastAsia="zh-CN"/>
        </w:rPr>
        <w:t>2.9</w:t>
      </w:r>
      <w:r>
        <w:rPr>
          <w:rFonts w:hint="default" w:ascii="Times New Roman" w:hAnsi="Times New Roman" w:eastAsia="宋体" w:cs="Times New Roman"/>
          <w:color w:val="auto"/>
          <w:sz w:val="24"/>
          <w:szCs w:val="24"/>
          <w:highlight w:val="none"/>
          <w:lang w:val="en-US" w:eastAsia="zh-CN"/>
        </w:rPr>
        <w:t>m/s，多年平均</w:t>
      </w:r>
      <w:r>
        <w:rPr>
          <w:rFonts w:hint="eastAsia" w:ascii="Times New Roman" w:hAnsi="Times New Roman" w:eastAsia="宋体" w:cs="Times New Roman"/>
          <w:color w:val="auto"/>
          <w:sz w:val="24"/>
          <w:szCs w:val="24"/>
          <w:highlight w:val="none"/>
          <w:lang w:val="en-US" w:eastAsia="zh-CN"/>
        </w:rPr>
        <w:t>极大</w:t>
      </w:r>
      <w:r>
        <w:rPr>
          <w:rFonts w:hint="default" w:ascii="Times New Roman" w:hAnsi="Times New Roman" w:eastAsia="宋体" w:cs="Times New Roman"/>
          <w:color w:val="auto"/>
          <w:sz w:val="24"/>
          <w:szCs w:val="24"/>
          <w:highlight w:val="none"/>
          <w:lang w:val="en-US" w:eastAsia="zh-CN"/>
        </w:rPr>
        <w:t>风速</w:t>
      </w:r>
      <w:r>
        <w:rPr>
          <w:rFonts w:hint="eastAsia" w:ascii="Times New Roman" w:hAnsi="Times New Roman" w:eastAsia="宋体" w:cs="Times New Roman"/>
          <w:color w:val="auto"/>
          <w:sz w:val="24"/>
          <w:szCs w:val="24"/>
          <w:highlight w:val="none"/>
          <w:lang w:val="en-US" w:eastAsia="zh-CN"/>
        </w:rPr>
        <w:t>22.7</w:t>
      </w:r>
      <w:r>
        <w:rPr>
          <w:rFonts w:hint="default" w:ascii="Times New Roman" w:hAnsi="Times New Roman" w:eastAsia="宋体" w:cs="Times New Roman"/>
          <w:color w:val="auto"/>
          <w:sz w:val="24"/>
          <w:szCs w:val="24"/>
          <w:highlight w:val="none"/>
          <w:lang w:val="en-US" w:eastAsia="zh-CN"/>
        </w:rPr>
        <w:t>m/s，极端最大风速</w:t>
      </w:r>
      <w:r>
        <w:rPr>
          <w:rFonts w:hint="eastAsia" w:ascii="Times New Roman" w:hAnsi="Times New Roman" w:eastAsia="宋体" w:cs="Times New Roman"/>
          <w:color w:val="auto"/>
          <w:sz w:val="24"/>
          <w:szCs w:val="24"/>
          <w:highlight w:val="none"/>
          <w:lang w:val="en-US" w:eastAsia="zh-CN"/>
        </w:rPr>
        <w:t>30.6</w:t>
      </w:r>
      <w:r>
        <w:rPr>
          <w:rFonts w:hint="default" w:ascii="Times New Roman" w:hAnsi="Times New Roman" w:eastAsia="宋体" w:cs="Times New Roman"/>
          <w:color w:val="auto"/>
          <w:sz w:val="24"/>
          <w:szCs w:val="24"/>
          <w:highlight w:val="none"/>
          <w:lang w:val="en-US" w:eastAsia="zh-CN"/>
        </w:rPr>
        <w:t>m/s</w:t>
      </w:r>
      <w:r>
        <w:rPr>
          <w:rFonts w:hint="eastAsia" w:ascii="Times New Roman" w:hAnsi="Times New Roman" w:eastAsia="宋体" w:cs="Times New Roman"/>
          <w:color w:val="auto"/>
          <w:sz w:val="24"/>
          <w:szCs w:val="24"/>
          <w:highlight w:val="none"/>
          <w:lang w:val="en-US" w:eastAsia="zh-CN"/>
        </w:rPr>
        <w:t>（2017.10.1）</w:t>
      </w:r>
      <w:r>
        <w:rPr>
          <w:rFonts w:hint="default" w:ascii="Times New Roman" w:hAnsi="Times New Roman" w:eastAsia="宋体" w:cs="Times New Roman"/>
          <w:color w:val="auto"/>
          <w:sz w:val="24"/>
          <w:szCs w:val="24"/>
          <w:highlight w:val="none"/>
          <w:lang w:val="en-US" w:eastAsia="zh-CN"/>
        </w:rPr>
        <w:t>。</w:t>
      </w:r>
    </w:p>
    <w:p w14:paraId="2A1C466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val="en-US" w:eastAsia="zh-CN"/>
        </w:rPr>
        <w:t>气温</w:t>
      </w:r>
    </w:p>
    <w:p w14:paraId="6B590DB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年平均温度</w:t>
      </w:r>
      <w:r>
        <w:rPr>
          <w:rFonts w:hint="eastAsia" w:ascii="Times New Roman" w:hAnsi="Times New Roman" w:eastAsia="宋体" w:cs="Times New Roman"/>
          <w:color w:val="auto"/>
          <w:sz w:val="24"/>
          <w:szCs w:val="24"/>
          <w:highlight w:val="none"/>
          <w:lang w:val="en-US" w:eastAsia="zh-CN"/>
        </w:rPr>
        <w:t>的</w:t>
      </w:r>
      <w:r>
        <w:rPr>
          <w:rFonts w:hint="default" w:ascii="Times New Roman" w:hAnsi="Times New Roman" w:eastAsia="宋体" w:cs="Times New Roman"/>
          <w:color w:val="auto"/>
          <w:sz w:val="24"/>
          <w:szCs w:val="24"/>
          <w:highlight w:val="none"/>
          <w:lang w:val="en-US" w:eastAsia="zh-CN"/>
        </w:rPr>
        <w:t>月变化情况见表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年平均温度</w:t>
      </w:r>
      <w:r>
        <w:rPr>
          <w:rFonts w:hint="eastAsia" w:ascii="Times New Roman" w:hAnsi="Times New Roman" w:eastAsia="宋体" w:cs="Times New Roman"/>
          <w:color w:val="auto"/>
          <w:sz w:val="24"/>
          <w:szCs w:val="24"/>
          <w:highlight w:val="none"/>
          <w:lang w:val="en-US" w:eastAsia="zh-CN"/>
        </w:rPr>
        <w:t>的</w:t>
      </w:r>
      <w:r>
        <w:rPr>
          <w:rFonts w:hint="default" w:ascii="Times New Roman" w:hAnsi="Times New Roman" w:eastAsia="宋体" w:cs="Times New Roman"/>
          <w:color w:val="auto"/>
          <w:sz w:val="24"/>
          <w:szCs w:val="24"/>
          <w:highlight w:val="none"/>
          <w:lang w:val="en-US" w:eastAsia="zh-CN"/>
        </w:rPr>
        <w:t>月变化见图</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val="en-US" w:eastAsia="zh-CN"/>
        </w:rPr>
        <w:t>。</w:t>
      </w:r>
    </w:p>
    <w:p w14:paraId="13AC747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表5.1-2  2024年平均温度的月变化</w:t>
      </w:r>
    </w:p>
    <w:tbl>
      <w:tblPr>
        <w:tblStyle w:val="40"/>
        <w:tblW w:w="4995" w:type="pct"/>
        <w:tblInd w:w="0" w:type="dxa"/>
        <w:shd w:val="clear" w:color="auto" w:fill="FFFFFF"/>
        <w:tblLayout w:type="autofit"/>
        <w:tblCellMar>
          <w:top w:w="0" w:type="dxa"/>
          <w:left w:w="108" w:type="dxa"/>
          <w:bottom w:w="0" w:type="dxa"/>
          <w:right w:w="108" w:type="dxa"/>
        </w:tblCellMar>
      </w:tblPr>
      <w:tblGrid>
        <w:gridCol w:w="986"/>
        <w:gridCol w:w="759"/>
        <w:gridCol w:w="759"/>
        <w:gridCol w:w="612"/>
        <w:gridCol w:w="584"/>
        <w:gridCol w:w="689"/>
        <w:gridCol w:w="689"/>
        <w:gridCol w:w="689"/>
        <w:gridCol w:w="690"/>
        <w:gridCol w:w="690"/>
        <w:gridCol w:w="690"/>
        <w:gridCol w:w="682"/>
        <w:gridCol w:w="760"/>
      </w:tblGrid>
      <w:tr w14:paraId="25104A4B">
        <w:tblPrEx>
          <w:shd w:val="clear" w:color="auto" w:fill="FFFFFF"/>
          <w:tblCellMar>
            <w:top w:w="0" w:type="dxa"/>
            <w:left w:w="108" w:type="dxa"/>
            <w:bottom w:w="0" w:type="dxa"/>
            <w:right w:w="108" w:type="dxa"/>
          </w:tblCellMar>
        </w:tblPrEx>
        <w:trPr>
          <w:trHeight w:val="397" w:hRule="atLeast"/>
        </w:trPr>
        <w:tc>
          <w:tcPr>
            <w:tcW w:w="53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B72B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月份</w:t>
            </w:r>
          </w:p>
        </w:tc>
        <w:tc>
          <w:tcPr>
            <w:tcW w:w="4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53F8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1月</w:t>
            </w:r>
          </w:p>
        </w:tc>
        <w:tc>
          <w:tcPr>
            <w:tcW w:w="4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04A7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2月</w:t>
            </w:r>
          </w:p>
        </w:tc>
        <w:tc>
          <w:tcPr>
            <w:tcW w:w="33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FF84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3月</w:t>
            </w:r>
          </w:p>
        </w:tc>
        <w:tc>
          <w:tcPr>
            <w:tcW w:w="3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F843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4月</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7089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5月</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0B85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6月</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A756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7月</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5A62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8月</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806C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9月</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CB68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10月</w:t>
            </w:r>
          </w:p>
        </w:tc>
        <w:tc>
          <w:tcPr>
            <w:tcW w:w="3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1193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11月</w:t>
            </w:r>
          </w:p>
        </w:tc>
        <w:tc>
          <w:tcPr>
            <w:tcW w:w="4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BDEF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12月</w:t>
            </w:r>
          </w:p>
        </w:tc>
      </w:tr>
      <w:tr w14:paraId="2FF358AF">
        <w:tblPrEx>
          <w:shd w:val="clear" w:color="auto" w:fill="FFFFFF"/>
          <w:tblCellMar>
            <w:top w:w="0" w:type="dxa"/>
            <w:left w:w="108" w:type="dxa"/>
            <w:bottom w:w="0" w:type="dxa"/>
            <w:right w:w="108" w:type="dxa"/>
          </w:tblCellMar>
        </w:tblPrEx>
        <w:trPr>
          <w:trHeight w:val="397" w:hRule="atLeast"/>
        </w:trPr>
        <w:tc>
          <w:tcPr>
            <w:tcW w:w="53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1188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温度(℃)</w:t>
            </w:r>
          </w:p>
        </w:tc>
        <w:tc>
          <w:tcPr>
            <w:tcW w:w="4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AD15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-18.13</w:t>
            </w:r>
          </w:p>
        </w:tc>
        <w:tc>
          <w:tcPr>
            <w:tcW w:w="4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3A19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-10.57</w:t>
            </w:r>
          </w:p>
        </w:tc>
        <w:tc>
          <w:tcPr>
            <w:tcW w:w="33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A7D2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1.25</w:t>
            </w:r>
          </w:p>
        </w:tc>
        <w:tc>
          <w:tcPr>
            <w:tcW w:w="3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F185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7.23</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B09B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16.26</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B706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21.16</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6FB2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21.83</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0130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20.29</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A1BA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15.54</w:t>
            </w:r>
          </w:p>
        </w:tc>
        <w:tc>
          <w:tcPr>
            <w:tcW w:w="37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16B9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8.18</w:t>
            </w:r>
          </w:p>
        </w:tc>
        <w:tc>
          <w:tcPr>
            <w:tcW w:w="3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7CB5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-7.00</w:t>
            </w:r>
          </w:p>
        </w:tc>
        <w:tc>
          <w:tcPr>
            <w:tcW w:w="4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EB42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-15.15</w:t>
            </w:r>
          </w:p>
        </w:tc>
      </w:tr>
    </w:tbl>
    <w:p w14:paraId="0A065062">
      <w:pPr>
        <w:keepNext w:val="0"/>
        <w:keepLines w:val="0"/>
        <w:pageBreakBefore w:val="0"/>
        <w:widowControl w:val="0"/>
        <w:kinsoku/>
        <w:wordWrap/>
        <w:overflowPunct/>
        <w:topLinePunct w:val="0"/>
        <w:autoSpaceDE/>
        <w:autoSpaceDN/>
        <w:bidi w:val="0"/>
        <w:adjustRightInd/>
        <w:snapToGrid/>
        <w:spacing w:before="157" w:beforeLines="50"/>
        <w:ind w:firstLine="0" w:firstLineChars="0"/>
        <w:jc w:val="center"/>
        <w:textAlignment w:val="auto"/>
        <w:rPr>
          <w:rFonts w:ascii="Times New Roman" w:hAnsi="Times New Roman"/>
          <w:color w:val="auto"/>
          <w:sz w:val="24"/>
          <w:szCs w:val="24"/>
        </w:rPr>
      </w:pPr>
      <w:r>
        <w:rPr>
          <w:color w:val="auto"/>
        </w:rPr>
        <w:drawing>
          <wp:inline distT="0" distB="0" distL="114300" distR="114300">
            <wp:extent cx="5754370" cy="2416175"/>
            <wp:effectExtent l="4445" t="4445" r="6985" b="5080"/>
            <wp:docPr id="211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2B9417EA">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图5.1-3  2024年平均温度的月变化</w:t>
      </w:r>
    </w:p>
    <w:p w14:paraId="1D29203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风速</w:t>
      </w:r>
    </w:p>
    <w:p w14:paraId="6C60743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2024</w:t>
      </w:r>
      <w:r>
        <w:rPr>
          <w:rFonts w:hint="default" w:ascii="Times New Roman" w:hAnsi="Times New Roman" w:eastAsia="宋体" w:cs="Times New Roman"/>
          <w:color w:val="auto"/>
          <w:sz w:val="24"/>
          <w:szCs w:val="24"/>
          <w:highlight w:val="none"/>
          <w:lang w:val="en-US" w:eastAsia="zh-CN"/>
        </w:rPr>
        <w:t>年气象资料中</w:t>
      </w:r>
      <w:r>
        <w:rPr>
          <w:rFonts w:hint="eastAsia" w:ascii="Times New Roman" w:hAnsi="Times New Roman" w:eastAsia="宋体" w:cs="Times New Roman"/>
          <w:color w:val="auto"/>
          <w:sz w:val="24"/>
          <w:szCs w:val="24"/>
          <w:highlight w:val="none"/>
          <w:lang w:val="en-US" w:eastAsia="zh-CN"/>
        </w:rPr>
        <w:t>年平均风速的月变化</w:t>
      </w:r>
      <w:r>
        <w:rPr>
          <w:rFonts w:hint="default" w:ascii="Times New Roman" w:hAnsi="Times New Roman" w:eastAsia="宋体" w:cs="Times New Roman"/>
          <w:color w:val="auto"/>
          <w:sz w:val="24"/>
          <w:szCs w:val="24"/>
          <w:highlight w:val="none"/>
          <w:lang w:val="en-US" w:eastAsia="zh-CN"/>
        </w:rPr>
        <w:t>和各季小时平均风速</w:t>
      </w:r>
      <w:r>
        <w:rPr>
          <w:rFonts w:hint="eastAsia" w:ascii="Times New Roman" w:hAnsi="Times New Roman" w:eastAsia="宋体" w:cs="Times New Roman"/>
          <w:color w:val="auto"/>
          <w:sz w:val="24"/>
          <w:szCs w:val="24"/>
          <w:highlight w:val="none"/>
          <w:lang w:val="en-US" w:eastAsia="zh-CN"/>
        </w:rPr>
        <w:t>的日</w:t>
      </w:r>
      <w:r>
        <w:rPr>
          <w:rFonts w:hint="default" w:ascii="Times New Roman" w:hAnsi="Times New Roman" w:eastAsia="宋体" w:cs="Times New Roman"/>
          <w:color w:val="auto"/>
          <w:sz w:val="24"/>
          <w:szCs w:val="24"/>
          <w:highlight w:val="none"/>
          <w:lang w:val="en-US" w:eastAsia="zh-CN"/>
        </w:rPr>
        <w:t>变化情况分别见表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val="en-US" w:eastAsia="zh-CN"/>
        </w:rPr>
        <w:t>和表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年平均风速的月变化曲线</w:t>
      </w:r>
      <w:r>
        <w:rPr>
          <w:rFonts w:hint="default" w:ascii="Times New Roman" w:hAnsi="Times New Roman" w:eastAsia="宋体" w:cs="Times New Roman"/>
          <w:color w:val="auto"/>
          <w:sz w:val="24"/>
          <w:szCs w:val="24"/>
          <w:highlight w:val="none"/>
          <w:lang w:val="en-US" w:eastAsia="zh-CN"/>
        </w:rPr>
        <w:t>和各季小时平均风速</w:t>
      </w:r>
      <w:r>
        <w:rPr>
          <w:rFonts w:hint="eastAsia" w:ascii="Times New Roman" w:hAnsi="Times New Roman" w:eastAsia="宋体" w:cs="Times New Roman"/>
          <w:color w:val="auto"/>
          <w:sz w:val="24"/>
          <w:szCs w:val="24"/>
          <w:highlight w:val="none"/>
          <w:lang w:val="en-US" w:eastAsia="zh-CN"/>
        </w:rPr>
        <w:t>的日</w:t>
      </w:r>
      <w:r>
        <w:rPr>
          <w:rFonts w:hint="default" w:ascii="Times New Roman" w:hAnsi="Times New Roman" w:eastAsia="宋体" w:cs="Times New Roman"/>
          <w:color w:val="auto"/>
          <w:sz w:val="24"/>
          <w:szCs w:val="24"/>
          <w:highlight w:val="none"/>
          <w:lang w:val="en-US" w:eastAsia="zh-CN"/>
        </w:rPr>
        <w:t>变化曲线分别见图</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和图</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w:t>
      </w:r>
    </w:p>
    <w:p w14:paraId="7B128B16">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2024</w:t>
      </w:r>
      <w:r>
        <w:rPr>
          <w:rFonts w:hint="default" w:ascii="Times New Roman" w:hAnsi="Times New Roman" w:eastAsia="宋体" w:cs="Times New Roman"/>
          <w:b/>
          <w:bCs/>
          <w:color w:val="auto"/>
          <w:sz w:val="24"/>
          <w:szCs w:val="24"/>
          <w:lang w:val="en-US" w:eastAsia="zh-CN"/>
        </w:rPr>
        <w:t>年平均风速的月变化</w:t>
      </w:r>
    </w:p>
    <w:tbl>
      <w:tblPr>
        <w:tblStyle w:val="40"/>
        <w:tblW w:w="5000" w:type="pct"/>
        <w:jc w:val="center"/>
        <w:shd w:val="clear" w:color="auto" w:fill="FFFFFF"/>
        <w:tblLayout w:type="autofit"/>
        <w:tblCellMar>
          <w:top w:w="0" w:type="dxa"/>
          <w:left w:w="108" w:type="dxa"/>
          <w:bottom w:w="0" w:type="dxa"/>
          <w:right w:w="108" w:type="dxa"/>
        </w:tblCellMar>
      </w:tblPr>
      <w:tblGrid>
        <w:gridCol w:w="1293"/>
        <w:gridCol w:w="636"/>
        <w:gridCol w:w="636"/>
        <w:gridCol w:w="636"/>
        <w:gridCol w:w="636"/>
        <w:gridCol w:w="636"/>
        <w:gridCol w:w="636"/>
        <w:gridCol w:w="636"/>
        <w:gridCol w:w="636"/>
        <w:gridCol w:w="636"/>
        <w:gridCol w:w="757"/>
        <w:gridCol w:w="757"/>
        <w:gridCol w:w="757"/>
      </w:tblGrid>
      <w:tr w14:paraId="43DB940A">
        <w:tblPrEx>
          <w:shd w:val="clear" w:color="auto" w:fill="FFFFFF"/>
          <w:tblCellMar>
            <w:top w:w="0" w:type="dxa"/>
            <w:left w:w="108" w:type="dxa"/>
            <w:bottom w:w="0" w:type="dxa"/>
            <w:right w:w="108" w:type="dxa"/>
          </w:tblCellMar>
        </w:tblPrEx>
        <w:trPr>
          <w:trHeight w:val="283" w:hRule="atLeast"/>
          <w:jc w:val="center"/>
        </w:trPr>
        <w:tc>
          <w:tcPr>
            <w:tcW w:w="69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5AFC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月份</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5685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1387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34F2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8C3B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76BA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0EFA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A18F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9761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8月</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FA11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9月</w:t>
            </w:r>
          </w:p>
        </w:tc>
        <w:tc>
          <w:tcPr>
            <w:tcW w:w="40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E1C3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10月</w:t>
            </w:r>
          </w:p>
        </w:tc>
        <w:tc>
          <w:tcPr>
            <w:tcW w:w="40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6D14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11月</w:t>
            </w:r>
          </w:p>
        </w:tc>
        <w:tc>
          <w:tcPr>
            <w:tcW w:w="40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9367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12月</w:t>
            </w:r>
          </w:p>
        </w:tc>
      </w:tr>
      <w:tr w14:paraId="6B63C825">
        <w:tblPrEx>
          <w:tblCellMar>
            <w:top w:w="0" w:type="dxa"/>
            <w:left w:w="108" w:type="dxa"/>
            <w:bottom w:w="0" w:type="dxa"/>
            <w:right w:w="108" w:type="dxa"/>
          </w:tblCellMar>
        </w:tblPrEx>
        <w:trPr>
          <w:trHeight w:val="283" w:hRule="atLeast"/>
          <w:jc w:val="center"/>
        </w:trPr>
        <w:tc>
          <w:tcPr>
            <w:tcW w:w="69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221C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风速(m/s)</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D80AE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2.79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56BD8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2.82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296CA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3.04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579D6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4.00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B4580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3.52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A475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2.68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5C01E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2.36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BB551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2.26 </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13EF0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2.75 </w:t>
            </w:r>
          </w:p>
        </w:tc>
        <w:tc>
          <w:tcPr>
            <w:tcW w:w="407"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D1FBB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3.15 </w:t>
            </w:r>
          </w:p>
        </w:tc>
        <w:tc>
          <w:tcPr>
            <w:tcW w:w="407"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2959D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2.96 </w:t>
            </w:r>
          </w:p>
        </w:tc>
        <w:tc>
          <w:tcPr>
            <w:tcW w:w="407"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DA29D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3.09 </w:t>
            </w:r>
          </w:p>
        </w:tc>
      </w:tr>
    </w:tbl>
    <w:p w14:paraId="02917534">
      <w:pPr>
        <w:keepNext w:val="0"/>
        <w:keepLines w:val="0"/>
        <w:pageBreakBefore w:val="0"/>
        <w:widowControl w:val="0"/>
        <w:kinsoku/>
        <w:wordWrap/>
        <w:overflowPunct/>
        <w:topLinePunct w:val="0"/>
        <w:autoSpaceDE/>
        <w:autoSpaceDN/>
        <w:bidi w:val="0"/>
        <w:adjustRightInd/>
        <w:snapToGrid/>
        <w:spacing w:before="157" w:beforeLines="50"/>
        <w:ind w:firstLine="0" w:firstLineChars="0"/>
        <w:jc w:val="center"/>
        <w:textAlignment w:val="auto"/>
        <w:rPr>
          <w:rFonts w:ascii="Times New Roman" w:hAnsi="Times New Roman"/>
          <w:color w:val="auto"/>
          <w:sz w:val="24"/>
          <w:szCs w:val="24"/>
        </w:rPr>
      </w:pPr>
      <w:r>
        <w:rPr>
          <w:color w:val="auto"/>
        </w:rPr>
        <w:drawing>
          <wp:inline distT="0" distB="0" distL="114300" distR="114300">
            <wp:extent cx="5759450" cy="2424430"/>
            <wp:effectExtent l="4445" t="4445" r="14605" b="9525"/>
            <wp:docPr id="211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18DBC54">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图5.1-4  2024年平均风速的月变化</w:t>
      </w:r>
    </w:p>
    <w:p w14:paraId="37BAD944">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 xml:space="preserve"> 2024年</w:t>
      </w:r>
      <w:r>
        <w:rPr>
          <w:rFonts w:hint="default" w:ascii="Times New Roman" w:hAnsi="Times New Roman" w:eastAsia="宋体" w:cs="Times New Roman"/>
          <w:b/>
          <w:bCs/>
          <w:color w:val="auto"/>
          <w:sz w:val="24"/>
          <w:szCs w:val="24"/>
          <w:lang w:val="en-US" w:eastAsia="zh-CN"/>
        </w:rPr>
        <w:t>季小时平均风速的日变化</w:t>
      </w:r>
    </w:p>
    <w:tbl>
      <w:tblPr>
        <w:tblStyle w:val="40"/>
        <w:tblW w:w="5000" w:type="pct"/>
        <w:tblInd w:w="0" w:type="dxa"/>
        <w:shd w:val="clear" w:color="auto" w:fill="FFFFFF"/>
        <w:tblLayout w:type="fixed"/>
        <w:tblCellMar>
          <w:top w:w="0" w:type="dxa"/>
          <w:left w:w="108" w:type="dxa"/>
          <w:bottom w:w="0" w:type="dxa"/>
          <w:right w:w="108" w:type="dxa"/>
        </w:tblCellMar>
      </w:tblPr>
      <w:tblGrid>
        <w:gridCol w:w="1633"/>
        <w:gridCol w:w="637"/>
        <w:gridCol w:w="637"/>
        <w:gridCol w:w="637"/>
        <w:gridCol w:w="637"/>
        <w:gridCol w:w="637"/>
        <w:gridCol w:w="637"/>
        <w:gridCol w:w="637"/>
        <w:gridCol w:w="637"/>
        <w:gridCol w:w="637"/>
        <w:gridCol w:w="637"/>
        <w:gridCol w:w="637"/>
        <w:gridCol w:w="648"/>
      </w:tblGrid>
      <w:tr w14:paraId="1C28F7AF">
        <w:tblPrEx>
          <w:shd w:val="clear" w:color="auto" w:fill="FFFFFF"/>
          <w:tblCellMar>
            <w:top w:w="0" w:type="dxa"/>
            <w:left w:w="108" w:type="dxa"/>
            <w:bottom w:w="0" w:type="dxa"/>
            <w:right w:w="108" w:type="dxa"/>
          </w:tblCellMar>
        </w:tblPrEx>
        <w:trPr>
          <w:trHeight w:val="520" w:hRule="atLeast"/>
        </w:trPr>
        <w:tc>
          <w:tcPr>
            <w:tcW w:w="879" w:type="pct"/>
            <w:tcBorders>
              <w:top w:val="single" w:color="000000" w:sz="4" w:space="0"/>
              <w:left w:val="single" w:color="000000" w:sz="4" w:space="0"/>
              <w:bottom w:val="single" w:color="000000" w:sz="4" w:space="0"/>
              <w:right w:val="single" w:color="000000" w:sz="4" w:space="0"/>
              <w:tl2br w:val="single" w:color="000000" w:sz="4" w:space="0"/>
            </w:tcBorders>
            <w:shd w:val="clear" w:color="auto" w:fill="FFFFFF"/>
            <w:noWrap/>
            <w:vAlign w:val="center"/>
          </w:tcPr>
          <w:p w14:paraId="7973F6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righ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风速(m/s)</w:t>
            </w:r>
          </w:p>
          <w:p w14:paraId="08581A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小时(h)</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EE0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038D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C7E0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E4E0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1F98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FCE4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5D41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AFC2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E2DE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EB35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8D45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w:t>
            </w:r>
          </w:p>
        </w:tc>
        <w:tc>
          <w:tcPr>
            <w:tcW w:w="3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EB6E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r>
      <w:tr w14:paraId="546E0153">
        <w:tblPrEx>
          <w:shd w:val="clear" w:color="auto" w:fill="FFFFFF"/>
          <w:tblCellMar>
            <w:top w:w="0" w:type="dxa"/>
            <w:left w:w="108" w:type="dxa"/>
            <w:bottom w:w="0" w:type="dxa"/>
            <w:right w:w="108" w:type="dxa"/>
          </w:tblCellMar>
        </w:tblPrEx>
        <w:trPr>
          <w:trHeight w:val="285" w:hRule="atLeast"/>
        </w:trPr>
        <w:tc>
          <w:tcPr>
            <w:tcW w:w="879"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7D913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春季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27344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1230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2.76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B229F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2.76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64C83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50A32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2.86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5C1EE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E037F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3.44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00081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3.88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CD752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4.07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12178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4.33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8B8A5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4.64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77B7B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4.69 </w:t>
            </w:r>
          </w:p>
        </w:tc>
      </w:tr>
      <w:tr w14:paraId="44EE9F09">
        <w:tblPrEx>
          <w:shd w:val="clear" w:color="auto" w:fill="FFFFFF"/>
          <w:tblCellMar>
            <w:top w:w="0" w:type="dxa"/>
            <w:left w:w="108" w:type="dxa"/>
            <w:bottom w:w="0" w:type="dxa"/>
            <w:right w:w="108" w:type="dxa"/>
          </w:tblCellMar>
        </w:tblPrEx>
        <w:trPr>
          <w:trHeight w:val="285" w:hRule="atLeast"/>
        </w:trPr>
        <w:tc>
          <w:tcPr>
            <w:tcW w:w="879"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5CEEB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夏季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6F4F2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11B26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1EB26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1.91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DE5A3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1.95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BD9A9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2.01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7DE0F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2.17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99EC8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D483C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4C046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2.98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A6FCD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875A0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3.25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7BD06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3.25 </w:t>
            </w:r>
          </w:p>
        </w:tc>
      </w:tr>
      <w:tr w14:paraId="7E40DE76">
        <w:tblPrEx>
          <w:shd w:val="clear" w:color="auto" w:fill="FFFFFF"/>
          <w:tblCellMar>
            <w:top w:w="0" w:type="dxa"/>
            <w:left w:w="108" w:type="dxa"/>
            <w:bottom w:w="0" w:type="dxa"/>
            <w:right w:w="108" w:type="dxa"/>
          </w:tblCellMar>
        </w:tblPrEx>
        <w:trPr>
          <w:trHeight w:val="285" w:hRule="atLeast"/>
        </w:trPr>
        <w:tc>
          <w:tcPr>
            <w:tcW w:w="879"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8D114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秋季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8DBAF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4DE0A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0AFFF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F00AD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1AF26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A0D77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56A6D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2.59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08253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04CF2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B4AF0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8D3D8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3.63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5E3CE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3.78 </w:t>
            </w:r>
          </w:p>
        </w:tc>
      </w:tr>
      <w:tr w14:paraId="18A8B50D">
        <w:tblPrEx>
          <w:shd w:val="clear" w:color="auto" w:fill="FFFFFF"/>
          <w:tblCellMar>
            <w:top w:w="0" w:type="dxa"/>
            <w:left w:w="108" w:type="dxa"/>
            <w:bottom w:w="0" w:type="dxa"/>
            <w:right w:w="108" w:type="dxa"/>
          </w:tblCellMar>
        </w:tblPrEx>
        <w:trPr>
          <w:trHeight w:val="285" w:hRule="atLeast"/>
        </w:trPr>
        <w:tc>
          <w:tcPr>
            <w:tcW w:w="879" w:type="pct"/>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BE64A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冬季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4B894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08F8E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811D5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63CF6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2.66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17181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CACB9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D3BF7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ABF23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2.68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D2B52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2.85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C7807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3.13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FE3AE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3.59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6D3EB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3.77 </w:t>
            </w:r>
          </w:p>
        </w:tc>
      </w:tr>
      <w:tr w14:paraId="386A8DD7">
        <w:tblPrEx>
          <w:shd w:val="clear" w:color="auto" w:fill="FFFFFF"/>
          <w:tblCellMar>
            <w:top w:w="0" w:type="dxa"/>
            <w:left w:w="108" w:type="dxa"/>
            <w:bottom w:w="0" w:type="dxa"/>
            <w:right w:w="108" w:type="dxa"/>
          </w:tblCellMar>
        </w:tblPrEx>
        <w:trPr>
          <w:trHeight w:val="219" w:hRule="atLeast"/>
        </w:trPr>
        <w:tc>
          <w:tcPr>
            <w:tcW w:w="879" w:type="pct"/>
            <w:tcBorders>
              <w:top w:val="single" w:color="000000" w:sz="4" w:space="0"/>
              <w:left w:val="single" w:color="000000" w:sz="4" w:space="0"/>
              <w:bottom w:val="single" w:color="000000" w:sz="4" w:space="0"/>
              <w:right w:val="single" w:color="000000" w:sz="4" w:space="0"/>
              <w:tl2br w:val="single" w:color="000000" w:sz="4" w:space="0"/>
            </w:tcBorders>
            <w:shd w:val="clear" w:color="auto" w:fill="FFFFFF"/>
            <w:noWrap/>
            <w:vAlign w:val="center"/>
          </w:tcPr>
          <w:p w14:paraId="434EA7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righ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风速(m/s)</w:t>
            </w:r>
          </w:p>
          <w:p w14:paraId="65BE09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小时(h)</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D08A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B23A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4B6C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3F5A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177A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F0CE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A15C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3951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4A53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817D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w:t>
            </w:r>
          </w:p>
        </w:tc>
        <w:tc>
          <w:tcPr>
            <w:tcW w:w="34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DAB9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w:t>
            </w:r>
          </w:p>
        </w:tc>
        <w:tc>
          <w:tcPr>
            <w:tcW w:w="34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4AF5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w:t>
            </w:r>
          </w:p>
        </w:tc>
      </w:tr>
      <w:tr w14:paraId="71E1CE1E">
        <w:tblPrEx>
          <w:shd w:val="clear" w:color="auto" w:fill="FFFFFF"/>
          <w:tblCellMar>
            <w:top w:w="0" w:type="dxa"/>
            <w:left w:w="108" w:type="dxa"/>
            <w:bottom w:w="0" w:type="dxa"/>
            <w:right w:w="108" w:type="dxa"/>
          </w:tblCellMar>
        </w:tblPrEx>
        <w:trPr>
          <w:trHeight w:val="285" w:hRule="atLeast"/>
        </w:trPr>
        <w:tc>
          <w:tcPr>
            <w:tcW w:w="1633"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F58A7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春季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87E72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4.80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D73E6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4.80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DA1EA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4.65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53677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4.31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ABE15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3.77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CB5B7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3.40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709C0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785BE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3.05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E74D7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DE900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C8B89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2.71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0C926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2.76 </w:t>
            </w:r>
          </w:p>
        </w:tc>
      </w:tr>
      <w:tr w14:paraId="00A2F2CB">
        <w:tblPrEx>
          <w:shd w:val="clear" w:color="auto" w:fill="FFFFFF"/>
          <w:tblCellMar>
            <w:top w:w="0" w:type="dxa"/>
            <w:left w:w="108" w:type="dxa"/>
            <w:bottom w:w="0" w:type="dxa"/>
            <w:right w:w="108" w:type="dxa"/>
          </w:tblCellMar>
        </w:tblPrEx>
        <w:trPr>
          <w:trHeight w:val="285" w:hRule="atLeast"/>
        </w:trPr>
        <w:tc>
          <w:tcPr>
            <w:tcW w:w="1633"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478BC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夏季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4413F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3.23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E0116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3.29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73214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3.22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A2A48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41C12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4E416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2.13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0B24E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1.89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270DB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1.93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86ECA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1.94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558C4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1.93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2571D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1.84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FF09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1.76 </w:t>
            </w:r>
          </w:p>
        </w:tc>
      </w:tr>
      <w:tr w14:paraId="65FE2AB3">
        <w:tblPrEx>
          <w:shd w:val="clear" w:color="auto" w:fill="FFFFFF"/>
          <w:tblCellMar>
            <w:top w:w="0" w:type="dxa"/>
            <w:left w:w="108" w:type="dxa"/>
            <w:bottom w:w="0" w:type="dxa"/>
            <w:right w:w="108" w:type="dxa"/>
          </w:tblCellMar>
        </w:tblPrEx>
        <w:trPr>
          <w:trHeight w:val="285" w:hRule="atLeast"/>
        </w:trPr>
        <w:tc>
          <w:tcPr>
            <w:tcW w:w="1633"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DCFF3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秋季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ADE8D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3.93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FDE52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3.69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64526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D9026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3.08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A00D2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2.73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464BC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ACFE1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A0177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A4AD7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E23BD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2.76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D160B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2.74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A8B86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2.71 </w:t>
            </w:r>
          </w:p>
        </w:tc>
      </w:tr>
      <w:tr w14:paraId="7DD42226">
        <w:tblPrEx>
          <w:shd w:val="clear" w:color="auto" w:fill="FFFFFF"/>
          <w:tblCellMar>
            <w:top w:w="0" w:type="dxa"/>
            <w:left w:w="108" w:type="dxa"/>
            <w:bottom w:w="0" w:type="dxa"/>
            <w:right w:w="108" w:type="dxa"/>
          </w:tblCellMar>
        </w:tblPrEx>
        <w:trPr>
          <w:trHeight w:val="285" w:hRule="atLeast"/>
        </w:trPr>
        <w:tc>
          <w:tcPr>
            <w:tcW w:w="1633"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506C0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冬季</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3F0E2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3.67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EDEA3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3.50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0BCEA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3.11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EA815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2.44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D8A9E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2.32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98B7B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2.46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CB733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E690D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2.95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E6092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2.65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3FAB6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2.72 </w:t>
            </w:r>
          </w:p>
        </w:tc>
        <w:tc>
          <w:tcPr>
            <w:tcW w:w="63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B782A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2.99 </w:t>
            </w:r>
          </w:p>
        </w:tc>
        <w:tc>
          <w:tcPr>
            <w:tcW w:w="64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94D42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3.01 </w:t>
            </w:r>
          </w:p>
        </w:tc>
      </w:tr>
    </w:tbl>
    <w:p w14:paraId="39B056CC">
      <w:pPr>
        <w:keepNext w:val="0"/>
        <w:keepLines w:val="0"/>
        <w:pageBreakBefore w:val="0"/>
        <w:widowControl w:val="0"/>
        <w:kinsoku/>
        <w:wordWrap/>
        <w:overflowPunct/>
        <w:topLinePunct w:val="0"/>
        <w:autoSpaceDE/>
        <w:autoSpaceDN/>
        <w:bidi w:val="0"/>
        <w:adjustRightInd/>
        <w:snapToGrid/>
        <w:spacing w:before="157" w:beforeLines="50"/>
        <w:ind w:firstLine="0" w:firstLineChars="0"/>
        <w:jc w:val="center"/>
        <w:textAlignment w:val="auto"/>
        <w:rPr>
          <w:rFonts w:ascii="Times New Roman" w:hAnsi="Times New Roman"/>
          <w:color w:val="auto"/>
          <w:sz w:val="24"/>
          <w:szCs w:val="24"/>
        </w:rPr>
      </w:pPr>
      <w:r>
        <w:rPr>
          <w:color w:val="auto"/>
        </w:rPr>
        <w:drawing>
          <wp:inline distT="0" distB="0" distL="114300" distR="114300">
            <wp:extent cx="5758815" cy="2626360"/>
            <wp:effectExtent l="4445" t="4445" r="15240" b="10795"/>
            <wp:docPr id="2113"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CF3658B">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图5.1-5  2024年季平均风速的日变化</w:t>
      </w:r>
    </w:p>
    <w:p w14:paraId="6C8DD5A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val="en-US" w:eastAsia="zh-CN"/>
        </w:rPr>
        <w:t>风频</w:t>
      </w:r>
    </w:p>
    <w:p w14:paraId="274835A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sectPr>
          <w:pgSz w:w="11906" w:h="16838"/>
          <w:pgMar w:top="1417" w:right="1417" w:bottom="1417" w:left="1417" w:header="1191" w:footer="1191"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年风频见表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和表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6</w:t>
      </w:r>
      <w:r>
        <w:rPr>
          <w:rFonts w:hint="default" w:ascii="Times New Roman" w:hAnsi="Times New Roman" w:eastAsia="宋体" w:cs="Times New Roman"/>
          <w:color w:val="auto"/>
          <w:sz w:val="24"/>
          <w:szCs w:val="24"/>
          <w:highlight w:val="none"/>
          <w:lang w:val="en-US" w:eastAsia="zh-CN"/>
        </w:rPr>
        <w:t>。</w:t>
      </w:r>
    </w:p>
    <w:p w14:paraId="44954512">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5</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2024</w:t>
      </w:r>
      <w:r>
        <w:rPr>
          <w:rFonts w:hint="default" w:ascii="Times New Roman" w:hAnsi="Times New Roman" w:eastAsia="宋体" w:cs="Times New Roman"/>
          <w:b/>
          <w:bCs/>
          <w:color w:val="auto"/>
          <w:sz w:val="24"/>
          <w:szCs w:val="24"/>
          <w:lang w:val="en-US" w:eastAsia="zh-CN"/>
        </w:rPr>
        <w:t>年风频的月变化</w:t>
      </w:r>
    </w:p>
    <w:tbl>
      <w:tblPr>
        <w:tblStyle w:val="40"/>
        <w:tblW w:w="5000" w:type="pct"/>
        <w:tblInd w:w="0" w:type="dxa"/>
        <w:shd w:val="clear" w:color="auto" w:fill="FFFFFF"/>
        <w:tblLayout w:type="fixed"/>
        <w:tblCellMar>
          <w:top w:w="0" w:type="dxa"/>
          <w:left w:w="108" w:type="dxa"/>
          <w:bottom w:w="0" w:type="dxa"/>
          <w:right w:w="108" w:type="dxa"/>
        </w:tblCellMar>
      </w:tblPr>
      <w:tblGrid>
        <w:gridCol w:w="1261"/>
        <w:gridCol w:w="762"/>
        <w:gridCol w:w="762"/>
        <w:gridCol w:w="762"/>
        <w:gridCol w:w="762"/>
        <w:gridCol w:w="762"/>
        <w:gridCol w:w="762"/>
        <w:gridCol w:w="762"/>
        <w:gridCol w:w="762"/>
        <w:gridCol w:w="762"/>
        <w:gridCol w:w="762"/>
        <w:gridCol w:w="762"/>
        <w:gridCol w:w="762"/>
        <w:gridCol w:w="762"/>
        <w:gridCol w:w="762"/>
        <w:gridCol w:w="762"/>
        <w:gridCol w:w="762"/>
        <w:gridCol w:w="767"/>
      </w:tblGrid>
      <w:tr w14:paraId="4436EDC9">
        <w:tblPrEx>
          <w:tblCellMar>
            <w:top w:w="0" w:type="dxa"/>
            <w:left w:w="108" w:type="dxa"/>
            <w:bottom w:w="0" w:type="dxa"/>
            <w:right w:w="108" w:type="dxa"/>
          </w:tblCellMar>
        </w:tblPrEx>
        <w:trPr>
          <w:trHeight w:val="645" w:hRule="atLeast"/>
        </w:trPr>
        <w:tc>
          <w:tcPr>
            <w:tcW w:w="443" w:type="pct"/>
            <w:tcBorders>
              <w:top w:val="single" w:color="000000" w:sz="4" w:space="0"/>
              <w:left w:val="single" w:color="000000" w:sz="4" w:space="0"/>
              <w:bottom w:val="single" w:color="000000" w:sz="4" w:space="0"/>
              <w:right w:val="single" w:color="000000" w:sz="4" w:space="0"/>
              <w:tl2br w:val="single" w:color="000000" w:sz="4" w:space="0"/>
            </w:tcBorders>
            <w:shd w:val="clear" w:color="auto" w:fill="FFFFFF"/>
            <w:noWrap/>
            <w:vAlign w:val="center"/>
          </w:tcPr>
          <w:p w14:paraId="61B177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righ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风向</w:t>
            </w:r>
          </w:p>
          <w:p w14:paraId="7ABAF1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风频(%)     </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7373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3F6D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NNE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3195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E1F4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ENE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9AC6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8690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ESE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2F6D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22F6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SSE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E14F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F958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SSW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CCA7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2FBA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WSW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83C4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35E6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pacing w:val="-18"/>
                <w:sz w:val="21"/>
                <w:szCs w:val="21"/>
                <w:lang w:val="en-US" w:eastAsia="zh-CN"/>
              </w:rPr>
              <w:t>WNW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8719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A9FC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NNW</w:t>
            </w:r>
          </w:p>
        </w:tc>
        <w:tc>
          <w:tcPr>
            <w:tcW w:w="26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3521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C</w:t>
            </w:r>
          </w:p>
        </w:tc>
      </w:tr>
      <w:tr w14:paraId="6C6542BD">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0AE5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一月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E8ED6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3.76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DEF66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EDF6B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65D17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E3ABC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97164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3F00C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6.32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092D2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9.27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128AD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12.50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9EA85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5.51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EAA58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3.36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B204E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AA985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3.90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C38F8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11.16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7915C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22.85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39496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6.45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99B58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2.55 </w:t>
            </w:r>
          </w:p>
        </w:tc>
      </w:tr>
      <w:tr w14:paraId="1CA03CB9">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FF7C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EA340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59D30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0.72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AB4B5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0.72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6F889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7E7C2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7F9C2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3.74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C5E49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6.75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1AFD0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12.21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264A7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12.79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5A959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8.33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1AAC0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4.02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20BDE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4.89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BCC42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6.90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5635A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15.09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E3A0D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12.93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5AF1F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3.59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2B4FB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1.01 </w:t>
            </w:r>
          </w:p>
        </w:tc>
      </w:tr>
      <w:tr w14:paraId="75A1F055">
        <w:tblPrEx>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EBA3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三月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B205E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83AC6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2014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E49A3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0.81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28996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4E31B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30008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5.24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5A636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10.48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5F1B7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14.92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86B75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4.84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A596F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5.65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E81FE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6.45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5BDD9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9.27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FA226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14.92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850FD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12.63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614DC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4.17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01D2A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0.67 </w:t>
            </w:r>
          </w:p>
        </w:tc>
      </w:tr>
      <w:tr w14:paraId="4B6978C4">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07EE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四月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ACB9A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15447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73AE0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D92ED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422D0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2.36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2A583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2.36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8DE2D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7.50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BA62C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11.53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44E0D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19.44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B04D0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FB35E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4.86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51775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5.69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B5D68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8.19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63898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11.25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43C04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414CB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1.53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1028C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0.69 </w:t>
            </w:r>
          </w:p>
        </w:tc>
      </w:tr>
      <w:tr w14:paraId="235F597B">
        <w:tblPrEx>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FF90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五月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136D5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7.53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D1694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4.44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0A16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DB34C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3.90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48520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4C487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4.17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86598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6.05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92E3A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7.93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AAF7C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8.20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D538F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9.41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E864B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3.90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D3450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6.99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A8804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6.59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060D6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7.26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A1BD8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10.48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A281A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6.45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76567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1.34 </w:t>
            </w:r>
          </w:p>
        </w:tc>
      </w:tr>
      <w:tr w14:paraId="02A1D536">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206C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六月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1CDBC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8.75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07573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6.39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BDFCA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5.42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E636D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5.14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66810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D9E0F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4.03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E0582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5.42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1DD00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9.17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D079A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14.58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93359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6.25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03C14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4.31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E8028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3.75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03357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4.31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DBE9F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39C8F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7.92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9A683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8.06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7A7B6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0.42 </w:t>
            </w:r>
          </w:p>
        </w:tc>
      </w:tr>
      <w:tr w14:paraId="6807490B">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57AE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七月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FBD1A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6.59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254E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3.23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1C36F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729C5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2.02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C3EEC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91D75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5.51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963C5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8.74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79EAC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14.11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63E90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14.65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62844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5.51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E6974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4FC85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AC21B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2.82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FC00C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6.99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0320C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10.89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73569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7.26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C969C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1.61 </w:t>
            </w:r>
          </w:p>
        </w:tc>
      </w:tr>
      <w:tr w14:paraId="545ABDBB">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4E5D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八月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7ED0F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6.05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EE388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2.28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7822B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31DD2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ED55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DE38B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18FD3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7.26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9856C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9.81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ADC17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18.15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60B61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8.20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8940F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4.03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6D62F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1642F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2.15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3C343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6.59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00A65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13.04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4F57C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7.26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21316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2.69 </w:t>
            </w:r>
          </w:p>
        </w:tc>
      </w:tr>
      <w:tr w14:paraId="26A587B2">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0E93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九月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6AF94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3FBAE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280C4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0.14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5BDFE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DAD93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0.83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276EA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0.83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F24B7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6.11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2C52E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13.89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A2F72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18.47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CDB1F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5.83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CA26E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6A255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10.56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B5FCC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6.81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4F121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10.69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F3FA0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9.58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E8359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2.92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4FBED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1.67 </w:t>
            </w:r>
          </w:p>
        </w:tc>
      </w:tr>
      <w:tr w14:paraId="392406A3">
        <w:tblPrEx>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5771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十月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944DA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EDF4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AEA59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A7DDF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294FB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584FB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2.15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B7C9A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4.97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F1092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12.10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C97DF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20.16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485EB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9.68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DC39A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6.45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F79AE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6.32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71788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6.99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5D9CF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9.01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178CE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12.37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79A01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2.28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A6DE2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1.61 </w:t>
            </w:r>
          </w:p>
        </w:tc>
      </w:tr>
      <w:tr w14:paraId="1B14A9E5">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B8E1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十一月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C724D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E85B0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8B6FD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0.69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CDB23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9AFEA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B26E4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4.31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A4608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8.89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86CD0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12.08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06B39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14.03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2098E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6.25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652E2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4.31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4C48E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3.75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5A77B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8.19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CE965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12.22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3EF06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15.42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9F770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4.03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FEDF9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0.56 </w:t>
            </w:r>
          </w:p>
        </w:tc>
      </w:tr>
      <w:tr w14:paraId="125A2FBE">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3E4A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十二月</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B6263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FDB95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0.27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E212A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0.54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13D8B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0.54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868F7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1D1FB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2.02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EFAA0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5.24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88E13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5.38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B913F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9.68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04E0F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5.91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F6252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5.65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1A41C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7.39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505F6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13.58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E4C7F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26.21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5BF6F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10.62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1C841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2.55 </w:t>
            </w:r>
          </w:p>
        </w:tc>
        <w:tc>
          <w:tcPr>
            <w:tcW w:w="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9F8F5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1.88 </w:t>
            </w:r>
          </w:p>
        </w:tc>
      </w:tr>
    </w:tbl>
    <w:p w14:paraId="0C56D39C">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 xml:space="preserve">6 </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2024</w:t>
      </w:r>
      <w:r>
        <w:rPr>
          <w:rFonts w:hint="default" w:ascii="Times New Roman" w:hAnsi="Times New Roman" w:eastAsia="宋体" w:cs="Times New Roman"/>
          <w:b/>
          <w:bCs/>
          <w:color w:val="auto"/>
          <w:sz w:val="24"/>
          <w:szCs w:val="24"/>
          <w:lang w:val="en-US" w:eastAsia="zh-CN"/>
        </w:rPr>
        <w:t>年风频的季变化及年均风频</w:t>
      </w:r>
    </w:p>
    <w:tbl>
      <w:tblPr>
        <w:tblStyle w:val="40"/>
        <w:tblW w:w="5000" w:type="pct"/>
        <w:tblInd w:w="0" w:type="dxa"/>
        <w:shd w:val="clear" w:color="auto" w:fill="FFFFFF"/>
        <w:tblLayout w:type="fixed"/>
        <w:tblCellMar>
          <w:top w:w="0" w:type="dxa"/>
          <w:left w:w="108" w:type="dxa"/>
          <w:bottom w:w="0" w:type="dxa"/>
          <w:right w:w="108" w:type="dxa"/>
        </w:tblCellMar>
      </w:tblPr>
      <w:tblGrid>
        <w:gridCol w:w="1260"/>
        <w:gridCol w:w="762"/>
        <w:gridCol w:w="762"/>
        <w:gridCol w:w="762"/>
        <w:gridCol w:w="762"/>
        <w:gridCol w:w="762"/>
        <w:gridCol w:w="762"/>
        <w:gridCol w:w="762"/>
        <w:gridCol w:w="762"/>
        <w:gridCol w:w="762"/>
        <w:gridCol w:w="762"/>
        <w:gridCol w:w="762"/>
        <w:gridCol w:w="762"/>
        <w:gridCol w:w="762"/>
        <w:gridCol w:w="762"/>
        <w:gridCol w:w="762"/>
        <w:gridCol w:w="762"/>
        <w:gridCol w:w="768"/>
      </w:tblGrid>
      <w:tr w14:paraId="0A997576">
        <w:tblPrEx>
          <w:shd w:val="clear" w:color="auto" w:fill="FFFFFF"/>
          <w:tblCellMar>
            <w:top w:w="0" w:type="dxa"/>
            <w:left w:w="108" w:type="dxa"/>
            <w:bottom w:w="0" w:type="dxa"/>
            <w:right w:w="108" w:type="dxa"/>
          </w:tblCellMar>
        </w:tblPrEx>
        <w:trPr>
          <w:trHeight w:val="600" w:hRule="atLeast"/>
        </w:trPr>
        <w:tc>
          <w:tcPr>
            <w:tcW w:w="443" w:type="pct"/>
            <w:tcBorders>
              <w:top w:val="single" w:color="000000" w:sz="4" w:space="0"/>
              <w:left w:val="single" w:color="000000" w:sz="4" w:space="0"/>
              <w:bottom w:val="single" w:color="000000" w:sz="4" w:space="0"/>
              <w:right w:val="single" w:color="000000" w:sz="4" w:space="0"/>
              <w:tl2br w:val="single" w:color="000000" w:sz="4" w:space="0"/>
            </w:tcBorders>
            <w:shd w:val="clear" w:color="auto" w:fill="FFFFFF"/>
            <w:noWrap/>
            <w:vAlign w:val="center"/>
          </w:tcPr>
          <w:p w14:paraId="15379E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righ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风向</w:t>
            </w:r>
          </w:p>
          <w:p w14:paraId="51D348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风频(%)</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5111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66EC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NNE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9087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B528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ENE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76B7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7739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ESE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20B5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2D2F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SSE</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2DC2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8E73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SSW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1570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AAA5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WSW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7305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F8BF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pacing w:val="-18"/>
                <w:sz w:val="21"/>
                <w:szCs w:val="21"/>
                <w:lang w:val="en-US" w:eastAsia="zh-CN"/>
              </w:rPr>
              <w:t>WNW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890E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NW</w:t>
            </w:r>
          </w:p>
        </w:tc>
        <w:tc>
          <w:tcPr>
            <w:tcW w:w="26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4EB8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NNW</w:t>
            </w:r>
          </w:p>
        </w:tc>
        <w:tc>
          <w:tcPr>
            <w:tcW w:w="270"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D1C5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C</w:t>
            </w:r>
          </w:p>
        </w:tc>
      </w:tr>
      <w:tr w14:paraId="3389B123">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F79D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春季</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3B43C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3.94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8D11D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E0B83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1.77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50FF1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2.76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5D060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54924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2.63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67BC2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6.25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CE1C7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9.96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A259D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14.13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2BA16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7.61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8350E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4.80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FD9E5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6.39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F6B97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8.02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35283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11.14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27097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10.60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C8291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4.08 </w:t>
            </w:r>
          </w:p>
        </w:tc>
        <w:tc>
          <w:tcPr>
            <w:tcW w:w="76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AC782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0.91 </w:t>
            </w:r>
          </w:p>
        </w:tc>
      </w:tr>
      <w:tr w14:paraId="2C92A2CA">
        <w:tblPrEx>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6598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夏季</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18158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7.11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70D88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3.94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D801E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3.17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A2760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3.26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12316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2.99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9F76B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3.99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3A98A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7.16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88FBF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11.05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81D2A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15.81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DBAC8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6.66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3E6A8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3.58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E0F19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F0686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07947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5.39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2A737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10.64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F9965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7.52 </w:t>
            </w:r>
          </w:p>
        </w:tc>
        <w:tc>
          <w:tcPr>
            <w:tcW w:w="76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0437E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1.59 </w:t>
            </w:r>
          </w:p>
        </w:tc>
      </w:tr>
      <w:tr w14:paraId="68AD0B60">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F945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秋季</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12335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2D36F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76D50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0.60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FF809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1AA8F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E7D0B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2.43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35B78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6.64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6BBC2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12.68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4B299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17.58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6CFAD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7.28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A6B6D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6.46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6948E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6.87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C0E4F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7.33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7E7B5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10.62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C9D47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12.45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D1368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3.07 </w:t>
            </w:r>
          </w:p>
        </w:tc>
        <w:tc>
          <w:tcPr>
            <w:tcW w:w="76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CB266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1.28 </w:t>
            </w:r>
          </w:p>
        </w:tc>
      </w:tr>
      <w:tr w14:paraId="290D08AB">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1051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冬季</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1F63F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2.56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E5628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1D57D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0.73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BD920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0.96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16F80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C67C8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3.11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ECB38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6.09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A1A40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8.88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5E8E6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11.63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45005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6.55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C6B47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4.35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2978E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5.08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0F046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8.15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0866CF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17.54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E591A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15.52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2CCBFA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4.21 </w:t>
            </w:r>
          </w:p>
        </w:tc>
        <w:tc>
          <w:tcPr>
            <w:tcW w:w="76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5B24EF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1.83 </w:t>
            </w:r>
          </w:p>
        </w:tc>
      </w:tr>
      <w:tr w14:paraId="02479D2E">
        <w:tblPrEx>
          <w:shd w:val="clear" w:color="auto" w:fill="FFFFFF"/>
          <w:tblCellMar>
            <w:top w:w="0" w:type="dxa"/>
            <w:left w:w="108" w:type="dxa"/>
            <w:bottom w:w="0" w:type="dxa"/>
            <w:right w:w="108" w:type="dxa"/>
          </w:tblCellMar>
        </w:tblPrEx>
        <w:trPr>
          <w:trHeight w:val="285" w:hRule="atLeast"/>
        </w:trPr>
        <w:tc>
          <w:tcPr>
            <w:tcW w:w="44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154F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全年</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CC022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3.80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4FD57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2.09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B9132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1.57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D1DAA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2.00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3DB3B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2.14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E06F5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3.04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4E64A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6.53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18D36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10.64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12915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14.79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C6A8B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7.02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6B8DF7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4.79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3E991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5.35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45CC77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6.64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370A8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11.16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15BC65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12.30 </w:t>
            </w:r>
          </w:p>
        </w:tc>
        <w:tc>
          <w:tcPr>
            <w:tcW w:w="762"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364FC3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4.72 </w:t>
            </w:r>
          </w:p>
        </w:tc>
        <w:tc>
          <w:tcPr>
            <w:tcW w:w="768"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14:paraId="7B7D69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1.40 </w:t>
            </w:r>
          </w:p>
        </w:tc>
      </w:tr>
    </w:tbl>
    <w:p w14:paraId="3575A2E8">
      <w:pPr>
        <w:pStyle w:val="15"/>
        <w:ind w:firstLine="210"/>
        <w:rPr>
          <w:rFonts w:ascii="Times New Roman" w:hAnsi="Times New Roman"/>
          <w:color w:val="auto"/>
        </w:rPr>
        <w:sectPr>
          <w:pgSz w:w="16838" w:h="11906" w:orient="landscape"/>
          <w:pgMar w:top="1417" w:right="1417" w:bottom="1417" w:left="1417" w:header="1191" w:footer="1191" w:gutter="0"/>
          <w:pgBorders>
            <w:top w:val="none" w:sz="0" w:space="0"/>
            <w:left w:val="none" w:sz="0" w:space="0"/>
            <w:bottom w:val="none" w:sz="0" w:space="0"/>
            <w:right w:val="none" w:sz="0" w:space="0"/>
          </w:pgBorders>
          <w:cols w:space="720" w:num="1"/>
          <w:docGrid w:linePitch="312" w:charSpace="0"/>
        </w:sectPr>
      </w:pPr>
    </w:p>
    <w:p w14:paraId="0EC8A57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（4）主导风向</w:t>
      </w:r>
    </w:p>
    <w:p w14:paraId="561EC67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20年（200</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年）的风向频率变化情况可以看出，主要风向夹角为</w:t>
      </w:r>
      <w:r>
        <w:rPr>
          <w:rFonts w:hint="eastAsia" w:ascii="Times New Roman" w:hAnsi="Times New Roman" w:eastAsia="宋体" w:cs="Times New Roman"/>
          <w:color w:val="auto"/>
          <w:sz w:val="24"/>
          <w:szCs w:val="24"/>
          <w:highlight w:val="none"/>
          <w:lang w:val="en-US" w:eastAsia="zh-CN"/>
        </w:rPr>
        <w:t>SSE</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9.10</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S</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11.65</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SS</w:t>
      </w:r>
      <w:r>
        <w:rPr>
          <w:rFonts w:hint="default" w:ascii="Times New Roman" w:hAnsi="Times New Roman" w:eastAsia="宋体" w:cs="Times New Roman"/>
          <w:color w:val="auto"/>
          <w:sz w:val="24"/>
          <w:szCs w:val="24"/>
          <w:highlight w:val="none"/>
          <w:lang w:val="en-US" w:eastAsia="zh-CN"/>
        </w:rPr>
        <w:t>W（</w:t>
      </w:r>
      <w:r>
        <w:rPr>
          <w:rFonts w:hint="eastAsia" w:ascii="Times New Roman" w:hAnsi="Times New Roman" w:eastAsia="宋体" w:cs="Times New Roman"/>
          <w:color w:val="auto"/>
          <w:sz w:val="24"/>
          <w:szCs w:val="24"/>
          <w:highlight w:val="none"/>
          <w:lang w:val="en-US" w:eastAsia="zh-CN"/>
        </w:rPr>
        <w:t>10.85</w:t>
      </w:r>
      <w:r>
        <w:rPr>
          <w:rFonts w:hint="default" w:ascii="Times New Roman" w:hAnsi="Times New Roman" w:eastAsia="宋体" w:cs="Times New Roman"/>
          <w:color w:val="auto"/>
          <w:sz w:val="24"/>
          <w:szCs w:val="24"/>
          <w:highlight w:val="none"/>
          <w:lang w:val="en-US" w:eastAsia="zh-CN"/>
        </w:rPr>
        <w:t>%），风频之和</w:t>
      </w:r>
      <w:r>
        <w:rPr>
          <w:rFonts w:hint="eastAsia" w:ascii="Times New Roman" w:hAnsi="Times New Roman" w:eastAsia="宋体" w:cs="Times New Roman"/>
          <w:color w:val="auto"/>
          <w:sz w:val="24"/>
          <w:szCs w:val="24"/>
          <w:highlight w:val="none"/>
          <w:lang w:val="en-US" w:eastAsia="zh-CN"/>
        </w:rPr>
        <w:t>31.6</w:t>
      </w:r>
      <w:r>
        <w:rPr>
          <w:rFonts w:hint="default" w:ascii="Times New Roman" w:hAnsi="Times New Roman" w:eastAsia="宋体" w:cs="Times New Roman"/>
          <w:color w:val="auto"/>
          <w:sz w:val="24"/>
          <w:szCs w:val="24"/>
          <w:highlight w:val="none"/>
          <w:lang w:val="en-US" w:eastAsia="zh-CN"/>
        </w:rPr>
        <w:t>%，其中</w:t>
      </w:r>
      <w:r>
        <w:rPr>
          <w:rFonts w:hint="eastAsia" w:ascii="Times New Roman" w:hAnsi="Times New Roman" w:eastAsia="宋体" w:cs="Times New Roman"/>
          <w:color w:val="auto"/>
          <w:sz w:val="24"/>
          <w:szCs w:val="24"/>
          <w:highlight w:val="none"/>
          <w:lang w:val="en-US" w:eastAsia="zh-CN"/>
        </w:rPr>
        <w:t>S</w:t>
      </w:r>
      <w:r>
        <w:rPr>
          <w:rFonts w:hint="default" w:ascii="Times New Roman" w:hAnsi="Times New Roman" w:eastAsia="宋体" w:cs="Times New Roman"/>
          <w:color w:val="auto"/>
          <w:sz w:val="24"/>
          <w:szCs w:val="24"/>
          <w:highlight w:val="none"/>
          <w:lang w:val="en-US" w:eastAsia="zh-CN"/>
        </w:rPr>
        <w:t>风频最大；</w:t>
      </w:r>
      <w:r>
        <w:rPr>
          <w:rFonts w:hint="eastAsia" w:ascii="Times New Roman" w:hAnsi="Times New Roman" w:eastAsia="宋体" w:cs="Times New Roman"/>
          <w:color w:val="auto"/>
          <w:sz w:val="24"/>
          <w:szCs w:val="24"/>
          <w:highlight w:val="none"/>
          <w:lang w:val="en-US" w:eastAsia="zh-CN"/>
        </w:rPr>
        <w:t>2024</w:t>
      </w:r>
      <w:r>
        <w:rPr>
          <w:rFonts w:hint="default" w:ascii="Times New Roman" w:hAnsi="Times New Roman" w:eastAsia="宋体" w:cs="Times New Roman"/>
          <w:color w:val="auto"/>
          <w:sz w:val="24"/>
          <w:szCs w:val="24"/>
          <w:highlight w:val="none"/>
          <w:lang w:val="en-US" w:eastAsia="zh-CN"/>
        </w:rPr>
        <w:t>年全年主要风向夹角为</w:t>
      </w:r>
      <w:r>
        <w:rPr>
          <w:rFonts w:hint="eastAsia" w:ascii="Times New Roman" w:hAnsi="Times New Roman" w:eastAsia="宋体" w:cs="Times New Roman"/>
          <w:color w:val="auto"/>
          <w:sz w:val="24"/>
          <w:szCs w:val="24"/>
          <w:highlight w:val="none"/>
          <w:lang w:val="en-US" w:eastAsia="zh-CN"/>
        </w:rPr>
        <w:t>SSE</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11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S</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14</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SS</w:t>
      </w:r>
      <w:r>
        <w:rPr>
          <w:rFonts w:hint="default" w:ascii="Times New Roman" w:hAnsi="Times New Roman" w:eastAsia="宋体" w:cs="Times New Roman"/>
          <w:color w:val="auto"/>
          <w:sz w:val="24"/>
          <w:szCs w:val="24"/>
          <w:highlight w:val="none"/>
          <w:lang w:val="en-US" w:eastAsia="zh-CN"/>
        </w:rPr>
        <w:t>W（</w:t>
      </w:r>
      <w:r>
        <w:rPr>
          <w:rFonts w:hint="eastAsia" w:ascii="Times New Roman" w:hAnsi="Times New Roman" w:eastAsia="宋体"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lang w:val="en-US" w:eastAsia="zh-CN"/>
        </w:rPr>
        <w:t>%），风频之和</w:t>
      </w:r>
      <w:r>
        <w:rPr>
          <w:rFonts w:hint="eastAsia" w:ascii="Times New Roman" w:hAnsi="Times New Roman" w:eastAsia="宋体" w:cs="Times New Roman"/>
          <w:color w:val="auto"/>
          <w:sz w:val="24"/>
          <w:szCs w:val="24"/>
          <w:highlight w:val="none"/>
          <w:lang w:val="en-US" w:eastAsia="zh-CN"/>
        </w:rPr>
        <w:t>32</w:t>
      </w:r>
      <w:r>
        <w:rPr>
          <w:rFonts w:hint="default" w:ascii="Times New Roman" w:hAnsi="Times New Roman" w:eastAsia="宋体" w:cs="Times New Roman"/>
          <w:color w:val="auto"/>
          <w:sz w:val="24"/>
          <w:szCs w:val="24"/>
          <w:highlight w:val="none"/>
          <w:lang w:val="en-US" w:eastAsia="zh-CN"/>
        </w:rPr>
        <w:t>%，其中</w:t>
      </w:r>
      <w:r>
        <w:rPr>
          <w:rFonts w:hint="eastAsia" w:ascii="Times New Roman" w:hAnsi="Times New Roman" w:eastAsia="宋体" w:cs="Times New Roman"/>
          <w:color w:val="auto"/>
          <w:sz w:val="24"/>
          <w:szCs w:val="24"/>
          <w:highlight w:val="none"/>
          <w:lang w:val="en-US" w:eastAsia="zh-CN"/>
        </w:rPr>
        <w:t>S</w:t>
      </w:r>
      <w:r>
        <w:rPr>
          <w:rFonts w:hint="default" w:ascii="Times New Roman" w:hAnsi="Times New Roman" w:eastAsia="宋体" w:cs="Times New Roman"/>
          <w:color w:val="auto"/>
          <w:sz w:val="24"/>
          <w:szCs w:val="24"/>
          <w:highlight w:val="none"/>
          <w:lang w:val="en-US" w:eastAsia="zh-CN"/>
        </w:rPr>
        <w:t>风频最大。</w:t>
      </w: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6"/>
        <w:gridCol w:w="3656"/>
      </w:tblGrid>
      <w:tr w14:paraId="4D6D2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0" w:type="auto"/>
            <w:vAlign w:val="center"/>
          </w:tcPr>
          <w:p w14:paraId="7C041343">
            <w:pPr>
              <w:pStyle w:val="3"/>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ind w:left="0" w:firstLine="0" w:firstLineChars="0"/>
              <w:jc w:val="center"/>
              <w:textAlignment w:val="auto"/>
              <w:rPr>
                <w:rFonts w:hint="eastAsia" w:ascii="Times New Roman" w:hAnsi="Times New Roman" w:eastAsia="宋体" w:cs="Times New Roman"/>
                <w:color w:val="auto"/>
                <w:sz w:val="21"/>
                <w:szCs w:val="21"/>
                <w:lang w:val="en-US" w:eastAsia="zh-CN"/>
              </w:rPr>
            </w:pPr>
            <w:r>
              <w:rPr>
                <w:color w:val="auto"/>
              </w:rPr>
              <w:drawing>
                <wp:inline distT="0" distB="0" distL="0" distR="0">
                  <wp:extent cx="2160270" cy="2030730"/>
                  <wp:effectExtent l="9525" t="9525" r="14605" b="171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5"/>
                          <a:stretch>
                            <a:fillRect/>
                          </a:stretch>
                        </pic:blipFill>
                        <pic:spPr>
                          <a:xfrm>
                            <a:off x="0" y="0"/>
                            <a:ext cx="2160270" cy="2030730"/>
                          </a:xfrm>
                          <a:prstGeom prst="rect">
                            <a:avLst/>
                          </a:prstGeom>
                          <a:ln>
                            <a:solidFill>
                              <a:schemeClr val="tx1"/>
                            </a:solidFill>
                          </a:ln>
                        </pic:spPr>
                      </pic:pic>
                    </a:graphicData>
                  </a:graphic>
                </wp:inline>
              </w:drawing>
            </w:r>
          </w:p>
        </w:tc>
        <w:tc>
          <w:tcPr>
            <w:tcW w:w="0" w:type="auto"/>
            <w:vAlign w:val="center"/>
          </w:tcPr>
          <w:p w14:paraId="1FAE3F54">
            <w:pPr>
              <w:pStyle w:val="3"/>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ind w:left="0" w:firstLine="0" w:firstLineChars="0"/>
              <w:jc w:val="center"/>
              <w:textAlignment w:val="auto"/>
              <w:rPr>
                <w:rFonts w:hint="eastAsia" w:ascii="Times New Roman" w:hAnsi="Times New Roman" w:eastAsia="宋体" w:cs="Times New Roman"/>
                <w:color w:val="auto"/>
                <w:sz w:val="21"/>
                <w:szCs w:val="21"/>
                <w:lang w:val="en-US" w:eastAsia="zh-CN"/>
              </w:rPr>
            </w:pPr>
            <w:r>
              <w:rPr>
                <w:color w:val="auto"/>
              </w:rPr>
              <w:drawing>
                <wp:inline distT="0" distB="0" distL="0" distR="0">
                  <wp:extent cx="2160270" cy="2030730"/>
                  <wp:effectExtent l="9525" t="9525" r="14605" b="171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6"/>
                          <a:stretch>
                            <a:fillRect/>
                          </a:stretch>
                        </pic:blipFill>
                        <pic:spPr>
                          <a:xfrm>
                            <a:off x="0" y="0"/>
                            <a:ext cx="2160270" cy="2030730"/>
                          </a:xfrm>
                          <a:prstGeom prst="rect">
                            <a:avLst/>
                          </a:prstGeom>
                          <a:ln>
                            <a:solidFill>
                              <a:schemeClr val="tx1"/>
                            </a:solidFill>
                          </a:ln>
                        </pic:spPr>
                      </pic:pic>
                    </a:graphicData>
                  </a:graphic>
                </wp:inline>
              </w:drawing>
            </w:r>
          </w:p>
        </w:tc>
      </w:tr>
      <w:tr w14:paraId="211F3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0" w:hRule="atLeast"/>
          <w:jc w:val="center"/>
        </w:trPr>
        <w:tc>
          <w:tcPr>
            <w:tcW w:w="0" w:type="auto"/>
            <w:vAlign w:val="center"/>
          </w:tcPr>
          <w:p w14:paraId="7B46D828">
            <w:pPr>
              <w:pStyle w:val="3"/>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ind w:left="0" w:firstLine="0" w:firstLineChars="0"/>
              <w:jc w:val="center"/>
              <w:textAlignment w:val="auto"/>
              <w:rPr>
                <w:rFonts w:hint="eastAsia" w:ascii="Times New Roman" w:hAnsi="Times New Roman" w:eastAsia="宋体" w:cs="Times New Roman"/>
                <w:color w:val="auto"/>
                <w:sz w:val="21"/>
                <w:szCs w:val="21"/>
                <w:lang w:val="en-US" w:eastAsia="zh-CN"/>
              </w:rPr>
            </w:pPr>
            <w:r>
              <w:rPr>
                <w:color w:val="auto"/>
              </w:rPr>
              <w:drawing>
                <wp:inline distT="0" distB="0" distL="0" distR="0">
                  <wp:extent cx="2160270" cy="2030730"/>
                  <wp:effectExtent l="9525" t="9525" r="14605" b="171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77"/>
                          <a:stretch>
                            <a:fillRect/>
                          </a:stretch>
                        </pic:blipFill>
                        <pic:spPr>
                          <a:xfrm>
                            <a:off x="0" y="0"/>
                            <a:ext cx="2160270" cy="2030730"/>
                          </a:xfrm>
                          <a:prstGeom prst="rect">
                            <a:avLst/>
                          </a:prstGeom>
                          <a:ln>
                            <a:solidFill>
                              <a:schemeClr val="tx1"/>
                            </a:solidFill>
                          </a:ln>
                        </pic:spPr>
                      </pic:pic>
                    </a:graphicData>
                  </a:graphic>
                </wp:inline>
              </w:drawing>
            </w:r>
          </w:p>
        </w:tc>
        <w:tc>
          <w:tcPr>
            <w:tcW w:w="0" w:type="auto"/>
            <w:vAlign w:val="center"/>
          </w:tcPr>
          <w:p w14:paraId="558E2238">
            <w:pPr>
              <w:pStyle w:val="3"/>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ind w:left="0" w:firstLine="0" w:firstLineChars="0"/>
              <w:jc w:val="center"/>
              <w:textAlignment w:val="auto"/>
              <w:rPr>
                <w:rFonts w:hint="eastAsia" w:ascii="Times New Roman" w:hAnsi="Times New Roman" w:eastAsia="宋体" w:cs="Times New Roman"/>
                <w:color w:val="auto"/>
                <w:sz w:val="21"/>
                <w:szCs w:val="21"/>
                <w:lang w:val="en-US" w:eastAsia="zh-CN"/>
              </w:rPr>
            </w:pPr>
            <w:r>
              <w:rPr>
                <w:color w:val="auto"/>
              </w:rPr>
              <w:drawing>
                <wp:inline distT="0" distB="0" distL="0" distR="0">
                  <wp:extent cx="2160270" cy="2030730"/>
                  <wp:effectExtent l="9525" t="9525" r="14605" b="1714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78"/>
                          <a:stretch>
                            <a:fillRect/>
                          </a:stretch>
                        </pic:blipFill>
                        <pic:spPr>
                          <a:xfrm>
                            <a:off x="0" y="0"/>
                            <a:ext cx="2160270" cy="2030730"/>
                          </a:xfrm>
                          <a:prstGeom prst="rect">
                            <a:avLst/>
                          </a:prstGeom>
                          <a:ln>
                            <a:solidFill>
                              <a:schemeClr val="tx1"/>
                            </a:solidFill>
                          </a:ln>
                        </pic:spPr>
                      </pic:pic>
                    </a:graphicData>
                  </a:graphic>
                </wp:inline>
              </w:drawing>
            </w:r>
          </w:p>
        </w:tc>
      </w:tr>
      <w:tr w14:paraId="79FD4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0" w:type="auto"/>
            <w:gridSpan w:val="2"/>
            <w:vAlign w:val="center"/>
          </w:tcPr>
          <w:p w14:paraId="28C2A514">
            <w:pPr>
              <w:pStyle w:val="3"/>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ind w:left="0" w:firstLine="0" w:firstLineChars="0"/>
              <w:jc w:val="center"/>
              <w:textAlignment w:val="auto"/>
              <w:rPr>
                <w:rFonts w:hint="eastAsia" w:ascii="Times New Roman" w:hAnsi="Times New Roman" w:eastAsia="宋体" w:cs="Times New Roman"/>
                <w:color w:val="auto"/>
                <w:sz w:val="21"/>
                <w:szCs w:val="21"/>
                <w:lang w:val="en-US" w:eastAsia="zh-CN"/>
              </w:rPr>
            </w:pPr>
            <w:r>
              <w:rPr>
                <w:color w:val="auto"/>
              </w:rPr>
              <w:drawing>
                <wp:inline distT="0" distB="0" distL="0" distR="0">
                  <wp:extent cx="2160270" cy="2030730"/>
                  <wp:effectExtent l="9525" t="9525" r="14605" b="171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0"/>
                          <a:stretch>
                            <a:fillRect/>
                          </a:stretch>
                        </pic:blipFill>
                        <pic:spPr>
                          <a:xfrm>
                            <a:off x="0" y="0"/>
                            <a:ext cx="2160270" cy="2030730"/>
                          </a:xfrm>
                          <a:prstGeom prst="rect">
                            <a:avLst/>
                          </a:prstGeom>
                          <a:ln>
                            <a:solidFill>
                              <a:schemeClr val="tx1"/>
                            </a:solidFill>
                          </a:ln>
                        </pic:spPr>
                      </pic:pic>
                    </a:graphicData>
                  </a:graphic>
                </wp:inline>
              </w:drawing>
            </w:r>
          </w:p>
        </w:tc>
      </w:tr>
    </w:tbl>
    <w:p w14:paraId="3F62282C">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图5.1-6  多年（2005~2024年）风向玫瑰图</w:t>
      </w:r>
    </w:p>
    <w:p w14:paraId="33E2CF7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地面气候概况</w:t>
      </w:r>
    </w:p>
    <w:p w14:paraId="754B81D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2005-2024年</w:t>
      </w:r>
      <w:r>
        <w:rPr>
          <w:rFonts w:hint="default" w:ascii="Times New Roman" w:hAnsi="Times New Roman" w:eastAsia="宋体" w:cs="Times New Roman"/>
          <w:color w:val="auto"/>
          <w:sz w:val="24"/>
          <w:szCs w:val="24"/>
          <w:highlight w:val="none"/>
          <w:lang w:val="en-US" w:eastAsia="zh-CN"/>
        </w:rPr>
        <w:t>主要气象要素统计结果见表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lang w:val="en-US" w:eastAsia="zh-CN"/>
        </w:rPr>
        <w:t>，20</w:t>
      </w:r>
      <w:r>
        <w:rPr>
          <w:rFonts w:hint="eastAsia" w:ascii="Times New Roman" w:hAnsi="Times New Roman" w:eastAsia="宋体" w:cs="Times New Roman"/>
          <w:color w:val="auto"/>
          <w:sz w:val="24"/>
          <w:szCs w:val="24"/>
          <w:highlight w:val="none"/>
          <w:lang w:val="en-US" w:eastAsia="zh-CN"/>
        </w:rPr>
        <w:t>05</w:t>
      </w: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年风向频率见表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8</w:t>
      </w:r>
      <w:r>
        <w:rPr>
          <w:rFonts w:hint="default" w:ascii="Times New Roman" w:hAnsi="Times New Roman" w:eastAsia="宋体" w:cs="Times New Roman"/>
          <w:color w:val="auto"/>
          <w:sz w:val="24"/>
          <w:szCs w:val="24"/>
          <w:highlight w:val="none"/>
          <w:lang w:val="en-US" w:eastAsia="zh-CN"/>
        </w:rPr>
        <w:t>，200</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年各月风向频率见表</w:t>
      </w:r>
      <w:r>
        <w:rPr>
          <w:rFonts w:hint="eastAsia" w:ascii="Times New Roman" w:hAnsi="Times New Roman" w:eastAsia="宋体" w:cs="Times New Roman"/>
          <w:color w:val="auto"/>
          <w:sz w:val="24"/>
          <w:szCs w:val="24"/>
          <w:highlight w:val="none"/>
          <w:lang w:val="en-US" w:eastAsia="zh-CN"/>
        </w:rPr>
        <w:t>5.1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9</w:t>
      </w:r>
      <w:r>
        <w:rPr>
          <w:rFonts w:hint="default" w:ascii="Times New Roman" w:hAnsi="Times New Roman" w:eastAsia="宋体" w:cs="Times New Roman"/>
          <w:color w:val="auto"/>
          <w:sz w:val="24"/>
          <w:szCs w:val="24"/>
          <w:highlight w:val="none"/>
          <w:lang w:val="en-US" w:eastAsia="zh-CN"/>
        </w:rPr>
        <w:t>。</w:t>
      </w:r>
    </w:p>
    <w:p w14:paraId="713A5BDF">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7</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2005-2024年</w:t>
      </w:r>
      <w:r>
        <w:rPr>
          <w:rFonts w:hint="default" w:ascii="Times New Roman" w:hAnsi="Times New Roman" w:eastAsia="宋体" w:cs="Times New Roman"/>
          <w:b/>
          <w:bCs/>
          <w:color w:val="auto"/>
          <w:sz w:val="24"/>
          <w:szCs w:val="24"/>
          <w:lang w:val="en-US" w:eastAsia="zh-CN"/>
        </w:rPr>
        <w:t>气象观测站主要气象要素统计表</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352"/>
        <w:gridCol w:w="2955"/>
        <w:gridCol w:w="1518"/>
        <w:gridCol w:w="1950"/>
        <w:gridCol w:w="1509"/>
      </w:tblGrid>
      <w:tr w14:paraId="3690C8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7EFFE8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统计项目</w:t>
            </w:r>
          </w:p>
        </w:tc>
        <w:tc>
          <w:tcPr>
            <w:tcW w:w="817" w:type="pct"/>
            <w:tcBorders>
              <w:tl2br w:val="nil"/>
              <w:tr2bl w:val="nil"/>
            </w:tcBorders>
            <w:vAlign w:val="center"/>
          </w:tcPr>
          <w:p w14:paraId="71C6FB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统计值</w:t>
            </w:r>
          </w:p>
        </w:tc>
        <w:tc>
          <w:tcPr>
            <w:tcW w:w="1050" w:type="pct"/>
            <w:tcBorders>
              <w:tl2br w:val="nil"/>
              <w:tr2bl w:val="nil"/>
            </w:tcBorders>
            <w:vAlign w:val="center"/>
          </w:tcPr>
          <w:p w14:paraId="67FC0A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极值出现时间</w:t>
            </w:r>
          </w:p>
        </w:tc>
        <w:tc>
          <w:tcPr>
            <w:tcW w:w="812" w:type="pct"/>
            <w:tcBorders>
              <w:tl2br w:val="nil"/>
              <w:tr2bl w:val="nil"/>
            </w:tcBorders>
            <w:vAlign w:val="center"/>
          </w:tcPr>
          <w:p w14:paraId="6B3FF5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极值</w:t>
            </w:r>
          </w:p>
        </w:tc>
      </w:tr>
      <w:tr w14:paraId="75B1C4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7A75B4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多年平均气温（℃）</w:t>
            </w:r>
          </w:p>
        </w:tc>
        <w:tc>
          <w:tcPr>
            <w:tcW w:w="817" w:type="pct"/>
            <w:tcBorders>
              <w:tl2br w:val="nil"/>
              <w:tr2bl w:val="nil"/>
            </w:tcBorders>
            <w:vAlign w:val="center"/>
          </w:tcPr>
          <w:p w14:paraId="70E463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4.7</w:t>
            </w:r>
          </w:p>
        </w:tc>
        <w:tc>
          <w:tcPr>
            <w:tcW w:w="1050" w:type="pct"/>
            <w:tcBorders>
              <w:tl2br w:val="nil"/>
              <w:tr2bl w:val="nil"/>
            </w:tcBorders>
            <w:vAlign w:val="center"/>
          </w:tcPr>
          <w:p w14:paraId="5773E5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812" w:type="pct"/>
            <w:tcBorders>
              <w:tl2br w:val="nil"/>
              <w:tr2bl w:val="nil"/>
            </w:tcBorders>
            <w:vAlign w:val="center"/>
          </w:tcPr>
          <w:p w14:paraId="460728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2C3F2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644885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多年平均最高气温（℃）</w:t>
            </w:r>
          </w:p>
        </w:tc>
        <w:tc>
          <w:tcPr>
            <w:tcW w:w="817" w:type="pct"/>
            <w:tcBorders>
              <w:tl2br w:val="nil"/>
              <w:tr2bl w:val="nil"/>
            </w:tcBorders>
            <w:vAlign w:val="center"/>
          </w:tcPr>
          <w:p w14:paraId="41C44A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34.5</w:t>
            </w:r>
          </w:p>
        </w:tc>
        <w:tc>
          <w:tcPr>
            <w:tcW w:w="1050" w:type="pct"/>
            <w:tcBorders>
              <w:tl2br w:val="nil"/>
              <w:tr2bl w:val="nil"/>
            </w:tcBorders>
            <w:vAlign w:val="center"/>
          </w:tcPr>
          <w:p w14:paraId="0C27B1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2010.6.26</w:t>
            </w:r>
          </w:p>
        </w:tc>
        <w:tc>
          <w:tcPr>
            <w:tcW w:w="812" w:type="pct"/>
            <w:tcBorders>
              <w:tl2br w:val="nil"/>
              <w:tr2bl w:val="nil"/>
            </w:tcBorders>
            <w:vAlign w:val="center"/>
          </w:tcPr>
          <w:p w14:paraId="5BB51D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38.3</w:t>
            </w:r>
          </w:p>
        </w:tc>
      </w:tr>
      <w:tr w14:paraId="2B398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21CD8F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多年平均最低气温（℃）</w:t>
            </w:r>
          </w:p>
        </w:tc>
        <w:tc>
          <w:tcPr>
            <w:tcW w:w="817" w:type="pct"/>
            <w:tcBorders>
              <w:tl2br w:val="nil"/>
              <w:tr2bl w:val="nil"/>
            </w:tcBorders>
            <w:vAlign w:val="center"/>
          </w:tcPr>
          <w:p w14:paraId="0514D5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-30.7</w:t>
            </w:r>
          </w:p>
        </w:tc>
        <w:tc>
          <w:tcPr>
            <w:tcW w:w="1050" w:type="pct"/>
            <w:tcBorders>
              <w:tl2br w:val="nil"/>
              <w:tr2bl w:val="nil"/>
            </w:tcBorders>
            <w:vAlign w:val="center"/>
          </w:tcPr>
          <w:p w14:paraId="52432A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2010.1.13</w:t>
            </w:r>
          </w:p>
        </w:tc>
        <w:tc>
          <w:tcPr>
            <w:tcW w:w="812" w:type="pct"/>
            <w:tcBorders>
              <w:tl2br w:val="nil"/>
              <w:tr2bl w:val="nil"/>
            </w:tcBorders>
            <w:vAlign w:val="center"/>
          </w:tcPr>
          <w:p w14:paraId="792264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-37.2</w:t>
            </w:r>
          </w:p>
        </w:tc>
      </w:tr>
      <w:tr w14:paraId="03721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4655B0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多年平均气压（hPa）</w:t>
            </w:r>
          </w:p>
        </w:tc>
        <w:tc>
          <w:tcPr>
            <w:tcW w:w="817" w:type="pct"/>
            <w:tcBorders>
              <w:tl2br w:val="nil"/>
              <w:tr2bl w:val="nil"/>
            </w:tcBorders>
            <w:vAlign w:val="center"/>
          </w:tcPr>
          <w:p w14:paraId="7A489F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1003.7</w:t>
            </w:r>
          </w:p>
        </w:tc>
        <w:tc>
          <w:tcPr>
            <w:tcW w:w="1050" w:type="pct"/>
            <w:tcBorders>
              <w:tl2br w:val="nil"/>
              <w:tr2bl w:val="nil"/>
            </w:tcBorders>
            <w:vAlign w:val="center"/>
          </w:tcPr>
          <w:p w14:paraId="629522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02C32F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2F48E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60AF3F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多年平均水汽压（hPa）</w:t>
            </w:r>
          </w:p>
        </w:tc>
        <w:tc>
          <w:tcPr>
            <w:tcW w:w="817" w:type="pct"/>
            <w:tcBorders>
              <w:tl2br w:val="nil"/>
              <w:tr2bl w:val="nil"/>
            </w:tcBorders>
            <w:vAlign w:val="center"/>
          </w:tcPr>
          <w:p w14:paraId="76E6C9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8.4</w:t>
            </w:r>
          </w:p>
        </w:tc>
        <w:tc>
          <w:tcPr>
            <w:tcW w:w="1050" w:type="pct"/>
            <w:tcBorders>
              <w:tl2br w:val="nil"/>
              <w:tr2bl w:val="nil"/>
            </w:tcBorders>
            <w:vAlign w:val="center"/>
          </w:tcPr>
          <w:p w14:paraId="08D257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3FB71D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2A6EF4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39B132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多年平均相对湿度(%)</w:t>
            </w:r>
          </w:p>
        </w:tc>
        <w:tc>
          <w:tcPr>
            <w:tcW w:w="817" w:type="pct"/>
            <w:tcBorders>
              <w:tl2br w:val="nil"/>
              <w:tr2bl w:val="nil"/>
            </w:tcBorders>
            <w:vAlign w:val="center"/>
          </w:tcPr>
          <w:p w14:paraId="0716A9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65.8</w:t>
            </w:r>
          </w:p>
        </w:tc>
        <w:tc>
          <w:tcPr>
            <w:tcW w:w="1050" w:type="pct"/>
            <w:tcBorders>
              <w:tl2br w:val="nil"/>
              <w:tr2bl w:val="nil"/>
            </w:tcBorders>
            <w:vAlign w:val="center"/>
          </w:tcPr>
          <w:p w14:paraId="5193B9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56D84E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6DA83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2ADA5F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多年平均年降水量(mm)</w:t>
            </w:r>
          </w:p>
        </w:tc>
        <w:tc>
          <w:tcPr>
            <w:tcW w:w="817" w:type="pct"/>
            <w:tcBorders>
              <w:tl2br w:val="nil"/>
              <w:tr2bl w:val="nil"/>
            </w:tcBorders>
            <w:vAlign w:val="center"/>
          </w:tcPr>
          <w:p w14:paraId="623A2B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567.5</w:t>
            </w:r>
          </w:p>
        </w:tc>
        <w:tc>
          <w:tcPr>
            <w:tcW w:w="1050" w:type="pct"/>
            <w:tcBorders>
              <w:tl2br w:val="nil"/>
              <w:tr2bl w:val="nil"/>
            </w:tcBorders>
            <w:shd w:val="clear" w:color="auto" w:fill="auto"/>
            <w:vAlign w:val="center"/>
          </w:tcPr>
          <w:p w14:paraId="394E85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2023.8.10</w:t>
            </w:r>
          </w:p>
        </w:tc>
        <w:tc>
          <w:tcPr>
            <w:tcW w:w="812" w:type="pct"/>
            <w:tcBorders>
              <w:tl2br w:val="nil"/>
              <w:tr2bl w:val="nil"/>
            </w:tcBorders>
            <w:shd w:val="clear" w:color="auto" w:fill="auto"/>
            <w:vAlign w:val="center"/>
          </w:tcPr>
          <w:p w14:paraId="7CDBE5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86.7</w:t>
            </w:r>
          </w:p>
        </w:tc>
      </w:tr>
      <w:tr w14:paraId="46B1CA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28" w:type="pct"/>
            <w:vMerge w:val="restart"/>
            <w:tcBorders>
              <w:tl2br w:val="nil"/>
              <w:tr2bl w:val="nil"/>
            </w:tcBorders>
            <w:vAlign w:val="center"/>
          </w:tcPr>
          <w:p w14:paraId="332D66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灾害天气</w:t>
            </w:r>
          </w:p>
          <w:p w14:paraId="72DE7F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统计</w:t>
            </w:r>
          </w:p>
        </w:tc>
        <w:tc>
          <w:tcPr>
            <w:tcW w:w="1590" w:type="pct"/>
            <w:tcBorders>
              <w:tl2br w:val="nil"/>
              <w:tr2bl w:val="nil"/>
            </w:tcBorders>
            <w:shd w:val="clear" w:color="auto" w:fill="auto"/>
            <w:vAlign w:val="center"/>
          </w:tcPr>
          <w:p w14:paraId="7DD32D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多年平均雷暴日数(d)</w:t>
            </w:r>
          </w:p>
        </w:tc>
        <w:tc>
          <w:tcPr>
            <w:tcW w:w="817" w:type="pct"/>
            <w:tcBorders>
              <w:tl2br w:val="nil"/>
              <w:tr2bl w:val="nil"/>
            </w:tcBorders>
            <w:shd w:val="clear" w:color="auto" w:fill="auto"/>
            <w:vAlign w:val="center"/>
          </w:tcPr>
          <w:p w14:paraId="178068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16.8</w:t>
            </w:r>
          </w:p>
        </w:tc>
        <w:tc>
          <w:tcPr>
            <w:tcW w:w="1050" w:type="pct"/>
            <w:tcBorders>
              <w:tl2br w:val="nil"/>
              <w:tr2bl w:val="nil"/>
            </w:tcBorders>
            <w:vAlign w:val="center"/>
          </w:tcPr>
          <w:p w14:paraId="214ACF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65389E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2D42B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28" w:type="pct"/>
            <w:vMerge w:val="continue"/>
            <w:tcBorders>
              <w:tl2br w:val="nil"/>
              <w:tr2bl w:val="nil"/>
            </w:tcBorders>
            <w:vAlign w:val="center"/>
          </w:tcPr>
          <w:p w14:paraId="3FFB72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90" w:type="pct"/>
            <w:tcBorders>
              <w:tl2br w:val="nil"/>
              <w:tr2bl w:val="nil"/>
            </w:tcBorders>
            <w:shd w:val="clear" w:color="auto" w:fill="auto"/>
            <w:vAlign w:val="center"/>
          </w:tcPr>
          <w:p w14:paraId="1D418C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多年平均冰雹日数(d)</w:t>
            </w:r>
          </w:p>
        </w:tc>
        <w:tc>
          <w:tcPr>
            <w:tcW w:w="817" w:type="pct"/>
            <w:tcBorders>
              <w:tl2br w:val="nil"/>
              <w:tr2bl w:val="nil"/>
            </w:tcBorders>
            <w:shd w:val="clear" w:color="auto" w:fill="auto"/>
            <w:vAlign w:val="center"/>
          </w:tcPr>
          <w:p w14:paraId="02BDFB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0.8</w:t>
            </w:r>
          </w:p>
        </w:tc>
        <w:tc>
          <w:tcPr>
            <w:tcW w:w="1050" w:type="pct"/>
            <w:tcBorders>
              <w:tl2br w:val="nil"/>
              <w:tr2bl w:val="nil"/>
            </w:tcBorders>
            <w:vAlign w:val="center"/>
          </w:tcPr>
          <w:p w14:paraId="1418BC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222B58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7F078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28" w:type="pct"/>
            <w:vMerge w:val="continue"/>
            <w:tcBorders>
              <w:tl2br w:val="nil"/>
              <w:tr2bl w:val="nil"/>
            </w:tcBorders>
            <w:vAlign w:val="center"/>
          </w:tcPr>
          <w:p w14:paraId="2D7B24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90" w:type="pct"/>
            <w:tcBorders>
              <w:tl2br w:val="nil"/>
              <w:tr2bl w:val="nil"/>
            </w:tcBorders>
            <w:shd w:val="clear" w:color="auto" w:fill="auto"/>
            <w:vAlign w:val="center"/>
          </w:tcPr>
          <w:p w14:paraId="5DF190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多年平均大风日数(d)</w:t>
            </w:r>
          </w:p>
        </w:tc>
        <w:tc>
          <w:tcPr>
            <w:tcW w:w="817" w:type="pct"/>
            <w:tcBorders>
              <w:tl2br w:val="nil"/>
              <w:tr2bl w:val="nil"/>
            </w:tcBorders>
            <w:shd w:val="clear" w:color="auto" w:fill="auto"/>
            <w:vAlign w:val="center"/>
          </w:tcPr>
          <w:p w14:paraId="66C232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10.5</w:t>
            </w:r>
          </w:p>
        </w:tc>
        <w:tc>
          <w:tcPr>
            <w:tcW w:w="1050" w:type="pct"/>
            <w:tcBorders>
              <w:tl2br w:val="nil"/>
              <w:tr2bl w:val="nil"/>
            </w:tcBorders>
            <w:vAlign w:val="center"/>
          </w:tcPr>
          <w:p w14:paraId="16DEB9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102867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7FF3B5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2632EC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多年实测极大风速（m/s）</w:t>
            </w:r>
          </w:p>
        </w:tc>
        <w:tc>
          <w:tcPr>
            <w:tcW w:w="817" w:type="pct"/>
            <w:tcBorders>
              <w:tl2br w:val="nil"/>
              <w:tr2bl w:val="nil"/>
            </w:tcBorders>
            <w:vAlign w:val="center"/>
          </w:tcPr>
          <w:p w14:paraId="4F6AD7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22.7</w:t>
            </w:r>
          </w:p>
        </w:tc>
        <w:tc>
          <w:tcPr>
            <w:tcW w:w="1050" w:type="pct"/>
            <w:tcBorders>
              <w:tl2br w:val="nil"/>
              <w:tr2bl w:val="nil"/>
            </w:tcBorders>
            <w:vAlign w:val="center"/>
          </w:tcPr>
          <w:p w14:paraId="4B0123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2017.10.1</w:t>
            </w:r>
          </w:p>
        </w:tc>
        <w:tc>
          <w:tcPr>
            <w:tcW w:w="812" w:type="pct"/>
            <w:tcBorders>
              <w:tl2br w:val="nil"/>
              <w:tr2bl w:val="nil"/>
            </w:tcBorders>
            <w:vAlign w:val="center"/>
          </w:tcPr>
          <w:p w14:paraId="49AEE2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30.6</w:t>
            </w:r>
          </w:p>
        </w:tc>
      </w:tr>
      <w:tr w14:paraId="1EE23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7932BD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多年平均风速（m/s）</w:t>
            </w:r>
          </w:p>
        </w:tc>
        <w:tc>
          <w:tcPr>
            <w:tcW w:w="817" w:type="pct"/>
            <w:tcBorders>
              <w:tl2br w:val="nil"/>
              <w:tr2bl w:val="nil"/>
            </w:tcBorders>
            <w:vAlign w:val="center"/>
          </w:tcPr>
          <w:p w14:paraId="3EF344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2.9</w:t>
            </w:r>
          </w:p>
        </w:tc>
        <w:tc>
          <w:tcPr>
            <w:tcW w:w="1050" w:type="pct"/>
            <w:tcBorders>
              <w:tl2br w:val="nil"/>
              <w:tr2bl w:val="nil"/>
            </w:tcBorders>
            <w:vAlign w:val="center"/>
          </w:tcPr>
          <w:p w14:paraId="1B7B88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5A28BF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57650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319" w:type="pct"/>
            <w:gridSpan w:val="2"/>
            <w:tcBorders>
              <w:tl2br w:val="nil"/>
              <w:tr2bl w:val="nil"/>
            </w:tcBorders>
            <w:vAlign w:val="center"/>
          </w:tcPr>
          <w:p w14:paraId="260F60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多年主导风向、风向频率(%)</w:t>
            </w:r>
          </w:p>
        </w:tc>
        <w:tc>
          <w:tcPr>
            <w:tcW w:w="817" w:type="pct"/>
            <w:tcBorders>
              <w:tl2br w:val="nil"/>
              <w:tr2bl w:val="nil"/>
            </w:tcBorders>
            <w:vAlign w:val="center"/>
          </w:tcPr>
          <w:p w14:paraId="073F0C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NW/13</w:t>
            </w:r>
          </w:p>
        </w:tc>
        <w:tc>
          <w:tcPr>
            <w:tcW w:w="1050" w:type="pct"/>
            <w:tcBorders>
              <w:tl2br w:val="nil"/>
              <w:tr2bl w:val="nil"/>
            </w:tcBorders>
            <w:vAlign w:val="center"/>
          </w:tcPr>
          <w:p w14:paraId="633FF5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12" w:type="pct"/>
            <w:tcBorders>
              <w:tl2br w:val="nil"/>
              <w:tr2bl w:val="nil"/>
            </w:tcBorders>
            <w:vAlign w:val="center"/>
          </w:tcPr>
          <w:p w14:paraId="4BAD2E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bl>
    <w:p w14:paraId="247978E9">
      <w:pPr>
        <w:spacing w:line="480" w:lineRule="exact"/>
        <w:ind w:firstLine="480" w:firstLineChars="200"/>
        <w:jc w:val="center"/>
        <w:rPr>
          <w:rFonts w:ascii="Times New Roman" w:hAnsi="Times New Roman" w:eastAsia="黑体"/>
          <w:color w:val="auto"/>
        </w:rPr>
      </w:pPr>
    </w:p>
    <w:p w14:paraId="7C2D7613">
      <w:pPr>
        <w:spacing w:line="480" w:lineRule="exact"/>
        <w:rPr>
          <w:rFonts w:ascii="Times New Roman" w:hAnsi="Times New Roman" w:eastAsia="黑体"/>
          <w:color w:val="auto"/>
        </w:rPr>
      </w:pPr>
    </w:p>
    <w:p w14:paraId="18E2099B">
      <w:pPr>
        <w:pStyle w:val="15"/>
        <w:ind w:firstLine="0" w:firstLineChars="0"/>
        <w:rPr>
          <w:rFonts w:ascii="Times New Roman" w:hAnsi="Times New Roman"/>
          <w:color w:val="auto"/>
        </w:rPr>
        <w:sectPr>
          <w:pgSz w:w="11906" w:h="16838"/>
          <w:pgMar w:top="1417" w:right="1417" w:bottom="1417" w:left="1417" w:header="1191" w:footer="1191" w:gutter="0"/>
          <w:pgBorders>
            <w:top w:val="none" w:sz="0" w:space="0"/>
            <w:left w:val="none" w:sz="0" w:space="0"/>
            <w:bottom w:val="none" w:sz="0" w:space="0"/>
            <w:right w:val="none" w:sz="0" w:space="0"/>
          </w:pgBorders>
          <w:cols w:space="720" w:num="1"/>
          <w:docGrid w:linePitch="312" w:charSpace="0"/>
        </w:sectPr>
      </w:pPr>
    </w:p>
    <w:p w14:paraId="17521695">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8</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2005-2024年</w:t>
      </w:r>
      <w:r>
        <w:rPr>
          <w:rFonts w:hint="default" w:ascii="Times New Roman" w:hAnsi="Times New Roman" w:eastAsia="宋体" w:cs="Times New Roman"/>
          <w:b/>
          <w:bCs/>
          <w:color w:val="auto"/>
          <w:sz w:val="24"/>
          <w:szCs w:val="24"/>
          <w:lang w:val="en-US" w:eastAsia="zh-CN"/>
        </w:rPr>
        <w:t>风向频率表（%）</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782"/>
        <w:gridCol w:w="664"/>
        <w:gridCol w:w="1137"/>
        <w:gridCol w:w="740"/>
        <w:gridCol w:w="743"/>
        <w:gridCol w:w="743"/>
        <w:gridCol w:w="744"/>
        <w:gridCol w:w="744"/>
        <w:gridCol w:w="741"/>
        <w:gridCol w:w="744"/>
        <w:gridCol w:w="744"/>
        <w:gridCol w:w="865"/>
        <w:gridCol w:w="741"/>
        <w:gridCol w:w="744"/>
        <w:gridCol w:w="744"/>
        <w:gridCol w:w="944"/>
        <w:gridCol w:w="744"/>
        <w:gridCol w:w="744"/>
      </w:tblGrid>
      <w:tr w14:paraId="4A70E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78" w:type="pct"/>
            <w:tcBorders>
              <w:tl2br w:val="nil"/>
              <w:tr2bl w:val="nil"/>
            </w:tcBorders>
            <w:vAlign w:val="center"/>
          </w:tcPr>
          <w:p w14:paraId="4A95DA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风向</w:t>
            </w:r>
          </w:p>
        </w:tc>
        <w:tc>
          <w:tcPr>
            <w:tcW w:w="236" w:type="pct"/>
            <w:tcBorders>
              <w:tl2br w:val="nil"/>
              <w:tr2bl w:val="nil"/>
            </w:tcBorders>
            <w:vAlign w:val="center"/>
          </w:tcPr>
          <w:p w14:paraId="5E3CD5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t>
            </w:r>
          </w:p>
        </w:tc>
        <w:tc>
          <w:tcPr>
            <w:tcW w:w="404" w:type="pct"/>
            <w:tcBorders>
              <w:tl2br w:val="nil"/>
              <w:tr2bl w:val="nil"/>
            </w:tcBorders>
            <w:vAlign w:val="center"/>
          </w:tcPr>
          <w:p w14:paraId="6BF1AD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NNE</w:t>
            </w:r>
          </w:p>
        </w:tc>
        <w:tc>
          <w:tcPr>
            <w:tcW w:w="263" w:type="pct"/>
            <w:tcBorders>
              <w:tl2br w:val="nil"/>
              <w:tr2bl w:val="nil"/>
            </w:tcBorders>
            <w:vAlign w:val="center"/>
          </w:tcPr>
          <w:p w14:paraId="59FC17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NE</w:t>
            </w:r>
          </w:p>
        </w:tc>
        <w:tc>
          <w:tcPr>
            <w:tcW w:w="264" w:type="pct"/>
            <w:tcBorders>
              <w:tl2br w:val="nil"/>
              <w:tr2bl w:val="nil"/>
            </w:tcBorders>
            <w:vAlign w:val="center"/>
          </w:tcPr>
          <w:p w14:paraId="5B317F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ENE</w:t>
            </w:r>
          </w:p>
        </w:tc>
        <w:tc>
          <w:tcPr>
            <w:tcW w:w="264" w:type="pct"/>
            <w:tcBorders>
              <w:tl2br w:val="nil"/>
              <w:tr2bl w:val="nil"/>
            </w:tcBorders>
            <w:vAlign w:val="center"/>
          </w:tcPr>
          <w:p w14:paraId="080FCF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w:t>
            </w:r>
          </w:p>
        </w:tc>
        <w:tc>
          <w:tcPr>
            <w:tcW w:w="264" w:type="pct"/>
            <w:tcBorders>
              <w:tl2br w:val="nil"/>
              <w:tr2bl w:val="nil"/>
            </w:tcBorders>
            <w:vAlign w:val="center"/>
          </w:tcPr>
          <w:p w14:paraId="5C6637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ESE</w:t>
            </w:r>
          </w:p>
        </w:tc>
        <w:tc>
          <w:tcPr>
            <w:tcW w:w="264" w:type="pct"/>
            <w:tcBorders>
              <w:tl2br w:val="nil"/>
              <w:tr2bl w:val="nil"/>
            </w:tcBorders>
            <w:vAlign w:val="center"/>
          </w:tcPr>
          <w:p w14:paraId="23A4C5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SE</w:t>
            </w:r>
          </w:p>
        </w:tc>
        <w:tc>
          <w:tcPr>
            <w:tcW w:w="263" w:type="pct"/>
            <w:tcBorders>
              <w:tl2br w:val="nil"/>
              <w:tr2bl w:val="nil"/>
            </w:tcBorders>
            <w:vAlign w:val="center"/>
          </w:tcPr>
          <w:p w14:paraId="2CA68A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SSE</w:t>
            </w:r>
          </w:p>
        </w:tc>
        <w:tc>
          <w:tcPr>
            <w:tcW w:w="264" w:type="pct"/>
            <w:tcBorders>
              <w:tl2br w:val="nil"/>
              <w:tr2bl w:val="nil"/>
            </w:tcBorders>
            <w:vAlign w:val="center"/>
          </w:tcPr>
          <w:p w14:paraId="495724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t>
            </w:r>
          </w:p>
        </w:tc>
        <w:tc>
          <w:tcPr>
            <w:tcW w:w="264" w:type="pct"/>
            <w:tcBorders>
              <w:tl2br w:val="nil"/>
              <w:tr2bl w:val="nil"/>
            </w:tcBorders>
            <w:vAlign w:val="center"/>
          </w:tcPr>
          <w:p w14:paraId="3AC9E1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SSW</w:t>
            </w:r>
          </w:p>
        </w:tc>
        <w:tc>
          <w:tcPr>
            <w:tcW w:w="307" w:type="pct"/>
            <w:tcBorders>
              <w:tl2br w:val="nil"/>
              <w:tr2bl w:val="nil"/>
            </w:tcBorders>
            <w:vAlign w:val="center"/>
          </w:tcPr>
          <w:p w14:paraId="56ACFC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c>
          <w:tcPr>
            <w:tcW w:w="263" w:type="pct"/>
            <w:tcBorders>
              <w:tl2br w:val="nil"/>
              <w:tr2bl w:val="nil"/>
            </w:tcBorders>
            <w:vAlign w:val="center"/>
          </w:tcPr>
          <w:p w14:paraId="1FCFE9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WSW</w:t>
            </w:r>
          </w:p>
        </w:tc>
        <w:tc>
          <w:tcPr>
            <w:tcW w:w="264" w:type="pct"/>
            <w:tcBorders>
              <w:tl2br w:val="nil"/>
              <w:tr2bl w:val="nil"/>
            </w:tcBorders>
            <w:vAlign w:val="center"/>
          </w:tcPr>
          <w:p w14:paraId="42C1A9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w:t>
            </w:r>
          </w:p>
        </w:tc>
        <w:tc>
          <w:tcPr>
            <w:tcW w:w="264" w:type="pct"/>
            <w:tcBorders>
              <w:tl2br w:val="nil"/>
              <w:tr2bl w:val="nil"/>
            </w:tcBorders>
            <w:vAlign w:val="center"/>
          </w:tcPr>
          <w:p w14:paraId="28DD93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WNW</w:t>
            </w:r>
          </w:p>
        </w:tc>
        <w:tc>
          <w:tcPr>
            <w:tcW w:w="335" w:type="pct"/>
            <w:tcBorders>
              <w:tl2br w:val="nil"/>
              <w:tr2bl w:val="nil"/>
            </w:tcBorders>
            <w:vAlign w:val="center"/>
          </w:tcPr>
          <w:p w14:paraId="2564DF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w:t>
            </w:r>
          </w:p>
        </w:tc>
        <w:tc>
          <w:tcPr>
            <w:tcW w:w="264" w:type="pct"/>
            <w:tcBorders>
              <w:tl2br w:val="nil"/>
              <w:tr2bl w:val="nil"/>
            </w:tcBorders>
            <w:vAlign w:val="center"/>
          </w:tcPr>
          <w:p w14:paraId="639A2D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NNW</w:t>
            </w:r>
          </w:p>
        </w:tc>
        <w:tc>
          <w:tcPr>
            <w:tcW w:w="264" w:type="pct"/>
            <w:tcBorders>
              <w:tl2br w:val="nil"/>
              <w:tr2bl w:val="nil"/>
            </w:tcBorders>
            <w:vAlign w:val="center"/>
          </w:tcPr>
          <w:p w14:paraId="0528D6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C</w:t>
            </w:r>
          </w:p>
        </w:tc>
      </w:tr>
      <w:tr w14:paraId="3D567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78" w:type="pct"/>
            <w:tcBorders>
              <w:tl2br w:val="nil"/>
              <w:tr2bl w:val="nil"/>
            </w:tcBorders>
            <w:vAlign w:val="center"/>
          </w:tcPr>
          <w:p w14:paraId="6B8E5E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频率</w:t>
            </w:r>
          </w:p>
        </w:tc>
        <w:tc>
          <w:tcPr>
            <w:tcW w:w="236" w:type="pct"/>
            <w:tcBorders>
              <w:tl2br w:val="nil"/>
              <w:tr2bl w:val="nil"/>
            </w:tcBorders>
            <w:vAlign w:val="bottom"/>
          </w:tcPr>
          <w:p w14:paraId="28B86D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3.2</w:t>
            </w:r>
          </w:p>
        </w:tc>
        <w:tc>
          <w:tcPr>
            <w:tcW w:w="404" w:type="pct"/>
            <w:tcBorders>
              <w:tl2br w:val="nil"/>
              <w:tr2bl w:val="nil"/>
            </w:tcBorders>
            <w:vAlign w:val="bottom"/>
          </w:tcPr>
          <w:p w14:paraId="273DB8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w:t>
            </w:r>
          </w:p>
        </w:tc>
        <w:tc>
          <w:tcPr>
            <w:tcW w:w="263" w:type="pct"/>
            <w:tcBorders>
              <w:tl2br w:val="nil"/>
              <w:tr2bl w:val="nil"/>
            </w:tcBorders>
            <w:vAlign w:val="bottom"/>
          </w:tcPr>
          <w:p w14:paraId="1465EC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1.95</w:t>
            </w:r>
          </w:p>
        </w:tc>
        <w:tc>
          <w:tcPr>
            <w:tcW w:w="264" w:type="pct"/>
            <w:tcBorders>
              <w:tl2br w:val="nil"/>
              <w:tr2bl w:val="nil"/>
            </w:tcBorders>
            <w:vAlign w:val="bottom"/>
          </w:tcPr>
          <w:p w14:paraId="5D10E1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1.65</w:t>
            </w:r>
          </w:p>
        </w:tc>
        <w:tc>
          <w:tcPr>
            <w:tcW w:w="264" w:type="pct"/>
            <w:tcBorders>
              <w:tl2br w:val="nil"/>
              <w:tr2bl w:val="nil"/>
            </w:tcBorders>
            <w:vAlign w:val="bottom"/>
          </w:tcPr>
          <w:p w14:paraId="69BCBC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2.1</w:t>
            </w:r>
          </w:p>
        </w:tc>
        <w:tc>
          <w:tcPr>
            <w:tcW w:w="264" w:type="pct"/>
            <w:tcBorders>
              <w:tl2br w:val="nil"/>
              <w:tr2bl w:val="nil"/>
            </w:tcBorders>
            <w:vAlign w:val="bottom"/>
          </w:tcPr>
          <w:p w14:paraId="6502DF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264" w:type="pct"/>
            <w:tcBorders>
              <w:tl2br w:val="nil"/>
              <w:tr2bl w:val="nil"/>
            </w:tcBorders>
            <w:vAlign w:val="bottom"/>
          </w:tcPr>
          <w:p w14:paraId="7DD708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6.45</w:t>
            </w:r>
          </w:p>
        </w:tc>
        <w:tc>
          <w:tcPr>
            <w:tcW w:w="263" w:type="pct"/>
            <w:tcBorders>
              <w:tl2br w:val="nil"/>
              <w:tr2bl w:val="nil"/>
            </w:tcBorders>
            <w:vAlign w:val="bottom"/>
          </w:tcPr>
          <w:p w14:paraId="00385D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9.1</w:t>
            </w:r>
          </w:p>
        </w:tc>
        <w:tc>
          <w:tcPr>
            <w:tcW w:w="264" w:type="pct"/>
            <w:tcBorders>
              <w:tl2br w:val="nil"/>
              <w:tr2bl w:val="nil"/>
            </w:tcBorders>
            <w:vAlign w:val="bottom"/>
          </w:tcPr>
          <w:p w14:paraId="4B7973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11.65</w:t>
            </w:r>
          </w:p>
        </w:tc>
        <w:tc>
          <w:tcPr>
            <w:tcW w:w="264" w:type="pct"/>
            <w:tcBorders>
              <w:tl2br w:val="nil"/>
              <w:tr2bl w:val="nil"/>
            </w:tcBorders>
            <w:vAlign w:val="bottom"/>
          </w:tcPr>
          <w:p w14:paraId="3FB283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10.85</w:t>
            </w:r>
          </w:p>
        </w:tc>
        <w:tc>
          <w:tcPr>
            <w:tcW w:w="307" w:type="pct"/>
            <w:tcBorders>
              <w:tl2br w:val="nil"/>
              <w:tr2bl w:val="nil"/>
            </w:tcBorders>
            <w:vAlign w:val="bottom"/>
          </w:tcPr>
          <w:p w14:paraId="6BE060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5.9</w:t>
            </w:r>
          </w:p>
        </w:tc>
        <w:tc>
          <w:tcPr>
            <w:tcW w:w="263" w:type="pct"/>
            <w:tcBorders>
              <w:tl2br w:val="nil"/>
              <w:tr2bl w:val="nil"/>
            </w:tcBorders>
            <w:vAlign w:val="bottom"/>
          </w:tcPr>
          <w:p w14:paraId="655362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5.85</w:t>
            </w:r>
          </w:p>
        </w:tc>
        <w:tc>
          <w:tcPr>
            <w:tcW w:w="264" w:type="pct"/>
            <w:tcBorders>
              <w:tl2br w:val="nil"/>
              <w:tr2bl w:val="nil"/>
            </w:tcBorders>
            <w:vAlign w:val="bottom"/>
          </w:tcPr>
          <w:p w14:paraId="3E04BB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5.8</w:t>
            </w:r>
          </w:p>
        </w:tc>
        <w:tc>
          <w:tcPr>
            <w:tcW w:w="264" w:type="pct"/>
            <w:tcBorders>
              <w:tl2br w:val="nil"/>
              <w:tr2bl w:val="nil"/>
            </w:tcBorders>
            <w:vAlign w:val="bottom"/>
          </w:tcPr>
          <w:p w14:paraId="63C712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7.65</w:t>
            </w:r>
          </w:p>
        </w:tc>
        <w:tc>
          <w:tcPr>
            <w:tcW w:w="335" w:type="pct"/>
            <w:tcBorders>
              <w:tl2br w:val="nil"/>
              <w:tr2bl w:val="nil"/>
            </w:tcBorders>
            <w:vAlign w:val="bottom"/>
          </w:tcPr>
          <w:p w14:paraId="623EE6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w:t>
            </w:r>
          </w:p>
        </w:tc>
        <w:tc>
          <w:tcPr>
            <w:tcW w:w="264" w:type="pct"/>
            <w:tcBorders>
              <w:tl2br w:val="nil"/>
              <w:tr2bl w:val="nil"/>
            </w:tcBorders>
            <w:vAlign w:val="bottom"/>
          </w:tcPr>
          <w:p w14:paraId="3CD15B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5.95</w:t>
            </w:r>
          </w:p>
        </w:tc>
        <w:tc>
          <w:tcPr>
            <w:tcW w:w="264" w:type="pct"/>
            <w:tcBorders>
              <w:tl2br w:val="nil"/>
              <w:tr2bl w:val="nil"/>
            </w:tcBorders>
            <w:vAlign w:val="bottom"/>
          </w:tcPr>
          <w:p w14:paraId="2A1876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4.8</w:t>
            </w:r>
          </w:p>
        </w:tc>
      </w:tr>
    </w:tbl>
    <w:p w14:paraId="434B8112">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w:t>
      </w:r>
      <w:r>
        <w:rPr>
          <w:rFonts w:hint="default" w:ascii="Times New Roman" w:hAnsi="Times New Roman" w:eastAsia="宋体" w:cs="Times New Roman"/>
          <w:b/>
          <w:bCs/>
          <w:color w:val="auto"/>
          <w:sz w:val="24"/>
          <w:szCs w:val="24"/>
          <w:lang w:val="en-US" w:eastAsia="zh-CN"/>
        </w:rPr>
        <w:t>1-</w:t>
      </w:r>
      <w:r>
        <w:rPr>
          <w:rFonts w:hint="eastAsia" w:ascii="Times New Roman" w:hAnsi="Times New Roman" w:eastAsia="宋体" w:cs="Times New Roman"/>
          <w:b/>
          <w:bCs/>
          <w:color w:val="auto"/>
          <w:sz w:val="24"/>
          <w:szCs w:val="24"/>
          <w:lang w:val="en-US" w:eastAsia="zh-CN"/>
        </w:rPr>
        <w:t xml:space="preserve">9  </w:t>
      </w:r>
      <w:r>
        <w:rPr>
          <w:rFonts w:hint="default" w:ascii="Times New Roman" w:hAnsi="Times New Roman" w:eastAsia="宋体" w:cs="Times New Roman"/>
          <w:b/>
          <w:bCs/>
          <w:color w:val="auto"/>
          <w:sz w:val="24"/>
          <w:szCs w:val="24"/>
          <w:lang w:val="en-US" w:eastAsia="zh-CN"/>
        </w:rPr>
        <w:t>200</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val="en-US" w:eastAsia="zh-CN"/>
        </w:rPr>
        <w:t>-202</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年各月风向频率表（%）</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
        <w:gridCol w:w="757"/>
        <w:gridCol w:w="877"/>
        <w:gridCol w:w="669"/>
        <w:gridCol w:w="709"/>
        <w:gridCol w:w="783"/>
        <w:gridCol w:w="797"/>
        <w:gridCol w:w="789"/>
        <w:gridCol w:w="789"/>
        <w:gridCol w:w="789"/>
        <w:gridCol w:w="823"/>
        <w:gridCol w:w="769"/>
        <w:gridCol w:w="988"/>
        <w:gridCol w:w="789"/>
        <w:gridCol w:w="863"/>
        <w:gridCol w:w="934"/>
        <w:gridCol w:w="769"/>
        <w:gridCol w:w="851"/>
      </w:tblGrid>
      <w:tr w14:paraId="0EDA0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2F915A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266" w:type="pct"/>
            <w:tcBorders>
              <w:tl2br w:val="nil"/>
              <w:tr2bl w:val="nil"/>
            </w:tcBorders>
            <w:vAlign w:val="center"/>
          </w:tcPr>
          <w:p w14:paraId="57044C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t>
            </w:r>
          </w:p>
        </w:tc>
        <w:tc>
          <w:tcPr>
            <w:tcW w:w="308" w:type="pct"/>
            <w:tcBorders>
              <w:tl2br w:val="nil"/>
              <w:tr2bl w:val="nil"/>
            </w:tcBorders>
            <w:vAlign w:val="center"/>
          </w:tcPr>
          <w:p w14:paraId="39D4B9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NNE</w:t>
            </w:r>
          </w:p>
        </w:tc>
        <w:tc>
          <w:tcPr>
            <w:tcW w:w="235" w:type="pct"/>
            <w:tcBorders>
              <w:tl2br w:val="nil"/>
              <w:tr2bl w:val="nil"/>
            </w:tcBorders>
            <w:vAlign w:val="center"/>
          </w:tcPr>
          <w:p w14:paraId="01CE5D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NE</w:t>
            </w:r>
          </w:p>
        </w:tc>
        <w:tc>
          <w:tcPr>
            <w:tcW w:w="249" w:type="pct"/>
            <w:tcBorders>
              <w:tl2br w:val="nil"/>
              <w:tr2bl w:val="nil"/>
            </w:tcBorders>
            <w:vAlign w:val="center"/>
          </w:tcPr>
          <w:p w14:paraId="44EB13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ENE</w:t>
            </w:r>
          </w:p>
        </w:tc>
        <w:tc>
          <w:tcPr>
            <w:tcW w:w="275" w:type="pct"/>
            <w:tcBorders>
              <w:tl2br w:val="nil"/>
              <w:tr2bl w:val="nil"/>
            </w:tcBorders>
            <w:vAlign w:val="center"/>
          </w:tcPr>
          <w:p w14:paraId="6FF193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w:t>
            </w:r>
          </w:p>
        </w:tc>
        <w:tc>
          <w:tcPr>
            <w:tcW w:w="280" w:type="pct"/>
            <w:tcBorders>
              <w:tl2br w:val="nil"/>
              <w:tr2bl w:val="nil"/>
            </w:tcBorders>
            <w:vAlign w:val="center"/>
          </w:tcPr>
          <w:p w14:paraId="547034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ESE</w:t>
            </w:r>
          </w:p>
        </w:tc>
        <w:tc>
          <w:tcPr>
            <w:tcW w:w="277" w:type="pct"/>
            <w:tcBorders>
              <w:tl2br w:val="nil"/>
              <w:tr2bl w:val="nil"/>
            </w:tcBorders>
            <w:vAlign w:val="center"/>
          </w:tcPr>
          <w:p w14:paraId="2143C2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SE</w:t>
            </w:r>
          </w:p>
        </w:tc>
        <w:tc>
          <w:tcPr>
            <w:tcW w:w="277" w:type="pct"/>
            <w:tcBorders>
              <w:tl2br w:val="nil"/>
              <w:tr2bl w:val="nil"/>
            </w:tcBorders>
            <w:vAlign w:val="center"/>
          </w:tcPr>
          <w:p w14:paraId="4DE468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SSE</w:t>
            </w:r>
          </w:p>
        </w:tc>
        <w:tc>
          <w:tcPr>
            <w:tcW w:w="277" w:type="pct"/>
            <w:tcBorders>
              <w:tl2br w:val="nil"/>
              <w:tr2bl w:val="nil"/>
            </w:tcBorders>
            <w:vAlign w:val="center"/>
          </w:tcPr>
          <w:p w14:paraId="17A581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t>
            </w:r>
          </w:p>
        </w:tc>
        <w:tc>
          <w:tcPr>
            <w:tcW w:w="289" w:type="pct"/>
            <w:tcBorders>
              <w:tl2br w:val="nil"/>
              <w:tr2bl w:val="nil"/>
            </w:tcBorders>
            <w:vAlign w:val="center"/>
          </w:tcPr>
          <w:p w14:paraId="09CCCC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SSW</w:t>
            </w:r>
          </w:p>
        </w:tc>
        <w:tc>
          <w:tcPr>
            <w:tcW w:w="270" w:type="pct"/>
            <w:tcBorders>
              <w:tl2br w:val="nil"/>
              <w:tr2bl w:val="nil"/>
            </w:tcBorders>
            <w:vAlign w:val="center"/>
          </w:tcPr>
          <w:p w14:paraId="40DD7A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c>
          <w:tcPr>
            <w:tcW w:w="347" w:type="pct"/>
            <w:tcBorders>
              <w:tl2br w:val="nil"/>
              <w:tr2bl w:val="nil"/>
            </w:tcBorders>
            <w:vAlign w:val="center"/>
          </w:tcPr>
          <w:p w14:paraId="0C901E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WSW</w:t>
            </w:r>
          </w:p>
        </w:tc>
        <w:tc>
          <w:tcPr>
            <w:tcW w:w="277" w:type="pct"/>
            <w:tcBorders>
              <w:tl2br w:val="nil"/>
              <w:tr2bl w:val="nil"/>
            </w:tcBorders>
            <w:vAlign w:val="center"/>
          </w:tcPr>
          <w:p w14:paraId="01B61A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w:t>
            </w:r>
          </w:p>
        </w:tc>
        <w:tc>
          <w:tcPr>
            <w:tcW w:w="303" w:type="pct"/>
            <w:tcBorders>
              <w:tl2br w:val="nil"/>
              <w:tr2bl w:val="nil"/>
            </w:tcBorders>
            <w:vAlign w:val="center"/>
          </w:tcPr>
          <w:p w14:paraId="22F529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WNW</w:t>
            </w:r>
          </w:p>
        </w:tc>
        <w:tc>
          <w:tcPr>
            <w:tcW w:w="328" w:type="pct"/>
            <w:tcBorders>
              <w:tl2br w:val="nil"/>
              <w:tr2bl w:val="nil"/>
            </w:tcBorders>
            <w:vAlign w:val="center"/>
          </w:tcPr>
          <w:p w14:paraId="20E6AC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w:t>
            </w:r>
          </w:p>
        </w:tc>
        <w:tc>
          <w:tcPr>
            <w:tcW w:w="270" w:type="pct"/>
            <w:tcBorders>
              <w:tl2br w:val="nil"/>
              <w:tr2bl w:val="nil"/>
            </w:tcBorders>
            <w:vAlign w:val="center"/>
          </w:tcPr>
          <w:p w14:paraId="201D3A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NNW</w:t>
            </w:r>
          </w:p>
        </w:tc>
        <w:tc>
          <w:tcPr>
            <w:tcW w:w="299" w:type="pct"/>
            <w:tcBorders>
              <w:tl2br w:val="nil"/>
              <w:tr2bl w:val="nil"/>
            </w:tcBorders>
            <w:vAlign w:val="center"/>
          </w:tcPr>
          <w:p w14:paraId="1B4436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C</w:t>
            </w:r>
          </w:p>
        </w:tc>
      </w:tr>
      <w:tr w14:paraId="050E7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0305B1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266" w:type="pct"/>
            <w:tcBorders>
              <w:tl2br w:val="nil"/>
              <w:tr2bl w:val="nil"/>
            </w:tcBorders>
            <w:vAlign w:val="bottom"/>
          </w:tcPr>
          <w:p w14:paraId="626536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w:t>
            </w:r>
          </w:p>
        </w:tc>
        <w:tc>
          <w:tcPr>
            <w:tcW w:w="308" w:type="pct"/>
            <w:tcBorders>
              <w:tl2br w:val="nil"/>
              <w:tr2bl w:val="nil"/>
            </w:tcBorders>
            <w:vAlign w:val="bottom"/>
          </w:tcPr>
          <w:p w14:paraId="0E3EEB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235" w:type="pct"/>
            <w:tcBorders>
              <w:tl2br w:val="nil"/>
              <w:tr2bl w:val="nil"/>
            </w:tcBorders>
            <w:vAlign w:val="bottom"/>
          </w:tcPr>
          <w:p w14:paraId="7CAE61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49" w:type="pct"/>
            <w:tcBorders>
              <w:tl2br w:val="nil"/>
              <w:tr2bl w:val="nil"/>
            </w:tcBorders>
            <w:vAlign w:val="bottom"/>
          </w:tcPr>
          <w:p w14:paraId="0388B7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75" w:type="pct"/>
            <w:tcBorders>
              <w:tl2br w:val="nil"/>
              <w:tr2bl w:val="nil"/>
            </w:tcBorders>
            <w:vAlign w:val="bottom"/>
          </w:tcPr>
          <w:p w14:paraId="634B17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w:t>
            </w:r>
          </w:p>
        </w:tc>
        <w:tc>
          <w:tcPr>
            <w:tcW w:w="280" w:type="pct"/>
            <w:tcBorders>
              <w:tl2br w:val="nil"/>
              <w:tr2bl w:val="nil"/>
            </w:tcBorders>
            <w:vAlign w:val="bottom"/>
          </w:tcPr>
          <w:p w14:paraId="66B8D5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2.9</w:t>
            </w:r>
          </w:p>
        </w:tc>
        <w:tc>
          <w:tcPr>
            <w:tcW w:w="277" w:type="pct"/>
            <w:tcBorders>
              <w:tl2br w:val="nil"/>
              <w:tr2bl w:val="nil"/>
            </w:tcBorders>
            <w:vAlign w:val="bottom"/>
          </w:tcPr>
          <w:p w14:paraId="7BED94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w:t>
            </w:r>
          </w:p>
        </w:tc>
        <w:tc>
          <w:tcPr>
            <w:tcW w:w="277" w:type="pct"/>
            <w:tcBorders>
              <w:tl2br w:val="nil"/>
              <w:tr2bl w:val="nil"/>
            </w:tcBorders>
            <w:vAlign w:val="bottom"/>
          </w:tcPr>
          <w:p w14:paraId="45640E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6.2</w:t>
            </w:r>
          </w:p>
        </w:tc>
        <w:tc>
          <w:tcPr>
            <w:tcW w:w="277" w:type="pct"/>
            <w:tcBorders>
              <w:tl2br w:val="nil"/>
              <w:tr2bl w:val="nil"/>
            </w:tcBorders>
            <w:vAlign w:val="bottom"/>
          </w:tcPr>
          <w:p w14:paraId="17E70F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8.9</w:t>
            </w:r>
          </w:p>
        </w:tc>
        <w:tc>
          <w:tcPr>
            <w:tcW w:w="289" w:type="pct"/>
            <w:tcBorders>
              <w:tl2br w:val="nil"/>
              <w:tr2bl w:val="nil"/>
            </w:tcBorders>
            <w:vAlign w:val="bottom"/>
          </w:tcPr>
          <w:p w14:paraId="47310F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9.2</w:t>
            </w:r>
          </w:p>
        </w:tc>
        <w:tc>
          <w:tcPr>
            <w:tcW w:w="270" w:type="pct"/>
            <w:tcBorders>
              <w:tl2br w:val="nil"/>
              <w:tr2bl w:val="nil"/>
            </w:tcBorders>
            <w:vAlign w:val="bottom"/>
          </w:tcPr>
          <w:p w14:paraId="7516D6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w:t>
            </w:r>
          </w:p>
        </w:tc>
        <w:tc>
          <w:tcPr>
            <w:tcW w:w="347" w:type="pct"/>
            <w:tcBorders>
              <w:tl2br w:val="nil"/>
              <w:tr2bl w:val="nil"/>
            </w:tcBorders>
            <w:vAlign w:val="bottom"/>
          </w:tcPr>
          <w:p w14:paraId="7E3CF2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4.8</w:t>
            </w:r>
          </w:p>
        </w:tc>
        <w:tc>
          <w:tcPr>
            <w:tcW w:w="277" w:type="pct"/>
            <w:tcBorders>
              <w:tl2br w:val="nil"/>
              <w:tr2bl w:val="nil"/>
            </w:tcBorders>
            <w:vAlign w:val="bottom"/>
          </w:tcPr>
          <w:p w14:paraId="1C5DC8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5.3</w:t>
            </w:r>
          </w:p>
        </w:tc>
        <w:tc>
          <w:tcPr>
            <w:tcW w:w="303" w:type="pct"/>
            <w:tcBorders>
              <w:tl2br w:val="nil"/>
              <w:tr2bl w:val="nil"/>
            </w:tcBorders>
            <w:vAlign w:val="bottom"/>
          </w:tcPr>
          <w:p w14:paraId="705D64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11.3</w:t>
            </w:r>
          </w:p>
        </w:tc>
        <w:tc>
          <w:tcPr>
            <w:tcW w:w="328" w:type="pct"/>
            <w:tcBorders>
              <w:tl2br w:val="nil"/>
              <w:tr2bl w:val="nil"/>
            </w:tcBorders>
            <w:vAlign w:val="bottom"/>
          </w:tcPr>
          <w:p w14:paraId="7CB0EB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270" w:type="pct"/>
            <w:tcBorders>
              <w:tl2br w:val="nil"/>
              <w:tr2bl w:val="nil"/>
            </w:tcBorders>
            <w:vAlign w:val="bottom"/>
          </w:tcPr>
          <w:p w14:paraId="453F35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6.4</w:t>
            </w:r>
          </w:p>
        </w:tc>
        <w:tc>
          <w:tcPr>
            <w:tcW w:w="299" w:type="pct"/>
            <w:tcBorders>
              <w:tl2br w:val="nil"/>
              <w:tr2bl w:val="nil"/>
            </w:tcBorders>
            <w:vAlign w:val="bottom"/>
          </w:tcPr>
          <w:p w14:paraId="580F58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7.8</w:t>
            </w:r>
          </w:p>
        </w:tc>
      </w:tr>
      <w:tr w14:paraId="3E278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41D609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266" w:type="pct"/>
            <w:tcBorders>
              <w:tl2br w:val="nil"/>
              <w:tr2bl w:val="nil"/>
            </w:tcBorders>
            <w:vAlign w:val="bottom"/>
          </w:tcPr>
          <w:p w14:paraId="68812A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w:t>
            </w:r>
          </w:p>
        </w:tc>
        <w:tc>
          <w:tcPr>
            <w:tcW w:w="308" w:type="pct"/>
            <w:tcBorders>
              <w:tl2br w:val="nil"/>
              <w:tr2bl w:val="nil"/>
            </w:tcBorders>
            <w:vAlign w:val="bottom"/>
          </w:tcPr>
          <w:p w14:paraId="274405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0.9</w:t>
            </w:r>
          </w:p>
        </w:tc>
        <w:tc>
          <w:tcPr>
            <w:tcW w:w="235" w:type="pct"/>
            <w:tcBorders>
              <w:tl2br w:val="nil"/>
              <w:tr2bl w:val="nil"/>
            </w:tcBorders>
            <w:vAlign w:val="bottom"/>
          </w:tcPr>
          <w:p w14:paraId="0AF240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0.9</w:t>
            </w:r>
          </w:p>
        </w:tc>
        <w:tc>
          <w:tcPr>
            <w:tcW w:w="249" w:type="pct"/>
            <w:tcBorders>
              <w:tl2br w:val="nil"/>
              <w:tr2bl w:val="nil"/>
            </w:tcBorders>
            <w:vAlign w:val="bottom"/>
          </w:tcPr>
          <w:p w14:paraId="2463A2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275" w:type="pct"/>
            <w:tcBorders>
              <w:tl2br w:val="nil"/>
              <w:tr2bl w:val="nil"/>
            </w:tcBorders>
            <w:vAlign w:val="bottom"/>
          </w:tcPr>
          <w:p w14:paraId="1B2C1A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280" w:type="pct"/>
            <w:tcBorders>
              <w:tl2br w:val="nil"/>
              <w:tr2bl w:val="nil"/>
            </w:tcBorders>
            <w:vAlign w:val="bottom"/>
          </w:tcPr>
          <w:p w14:paraId="010FD1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2.9</w:t>
            </w:r>
          </w:p>
        </w:tc>
        <w:tc>
          <w:tcPr>
            <w:tcW w:w="277" w:type="pct"/>
            <w:tcBorders>
              <w:tl2br w:val="nil"/>
              <w:tr2bl w:val="nil"/>
            </w:tcBorders>
            <w:vAlign w:val="bottom"/>
          </w:tcPr>
          <w:p w14:paraId="2F5B33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w:t>
            </w:r>
          </w:p>
        </w:tc>
        <w:tc>
          <w:tcPr>
            <w:tcW w:w="277" w:type="pct"/>
            <w:tcBorders>
              <w:tl2br w:val="nil"/>
              <w:tr2bl w:val="nil"/>
            </w:tcBorders>
            <w:vAlign w:val="bottom"/>
          </w:tcPr>
          <w:p w14:paraId="091D4A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5.8</w:t>
            </w:r>
          </w:p>
        </w:tc>
        <w:tc>
          <w:tcPr>
            <w:tcW w:w="277" w:type="pct"/>
            <w:tcBorders>
              <w:tl2br w:val="nil"/>
              <w:tr2bl w:val="nil"/>
            </w:tcBorders>
            <w:vAlign w:val="bottom"/>
          </w:tcPr>
          <w:p w14:paraId="195C16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w:t>
            </w:r>
          </w:p>
        </w:tc>
        <w:tc>
          <w:tcPr>
            <w:tcW w:w="289" w:type="pct"/>
            <w:tcBorders>
              <w:tl2br w:val="nil"/>
              <w:tr2bl w:val="nil"/>
            </w:tcBorders>
            <w:vAlign w:val="bottom"/>
          </w:tcPr>
          <w:p w14:paraId="2A24A6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9.3</w:t>
            </w:r>
          </w:p>
        </w:tc>
        <w:tc>
          <w:tcPr>
            <w:tcW w:w="270" w:type="pct"/>
            <w:tcBorders>
              <w:tl2br w:val="nil"/>
              <w:tr2bl w:val="nil"/>
            </w:tcBorders>
            <w:vAlign w:val="bottom"/>
          </w:tcPr>
          <w:p w14:paraId="4463D3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5.9</w:t>
            </w:r>
          </w:p>
        </w:tc>
        <w:tc>
          <w:tcPr>
            <w:tcW w:w="347" w:type="pct"/>
            <w:tcBorders>
              <w:tl2br w:val="nil"/>
              <w:tr2bl w:val="nil"/>
            </w:tcBorders>
            <w:vAlign w:val="bottom"/>
          </w:tcPr>
          <w:p w14:paraId="2AF56A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6.2</w:t>
            </w:r>
          </w:p>
        </w:tc>
        <w:tc>
          <w:tcPr>
            <w:tcW w:w="277" w:type="pct"/>
            <w:tcBorders>
              <w:tl2br w:val="nil"/>
              <w:tr2bl w:val="nil"/>
            </w:tcBorders>
            <w:vAlign w:val="bottom"/>
          </w:tcPr>
          <w:p w14:paraId="6B47FA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w:t>
            </w:r>
          </w:p>
        </w:tc>
        <w:tc>
          <w:tcPr>
            <w:tcW w:w="303" w:type="pct"/>
            <w:tcBorders>
              <w:tl2br w:val="nil"/>
              <w:tr2bl w:val="nil"/>
            </w:tcBorders>
            <w:vAlign w:val="bottom"/>
          </w:tcPr>
          <w:p w14:paraId="1A2D0E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10.9</w:t>
            </w:r>
          </w:p>
        </w:tc>
        <w:tc>
          <w:tcPr>
            <w:tcW w:w="328" w:type="pct"/>
            <w:tcBorders>
              <w:tl2br w:val="nil"/>
              <w:tr2bl w:val="nil"/>
            </w:tcBorders>
            <w:vAlign w:val="bottom"/>
          </w:tcPr>
          <w:p w14:paraId="1985F8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18.7</w:t>
            </w:r>
          </w:p>
        </w:tc>
        <w:tc>
          <w:tcPr>
            <w:tcW w:w="270" w:type="pct"/>
            <w:tcBorders>
              <w:tl2br w:val="nil"/>
              <w:tr2bl w:val="nil"/>
            </w:tcBorders>
            <w:vAlign w:val="bottom"/>
          </w:tcPr>
          <w:p w14:paraId="00814A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w:t>
            </w:r>
          </w:p>
        </w:tc>
        <w:tc>
          <w:tcPr>
            <w:tcW w:w="299" w:type="pct"/>
            <w:tcBorders>
              <w:tl2br w:val="nil"/>
              <w:tr2bl w:val="nil"/>
            </w:tcBorders>
            <w:vAlign w:val="bottom"/>
          </w:tcPr>
          <w:p w14:paraId="70204D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w:t>
            </w:r>
          </w:p>
        </w:tc>
      </w:tr>
      <w:tr w14:paraId="258B2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499D1A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266" w:type="pct"/>
            <w:tcBorders>
              <w:tl2br w:val="nil"/>
              <w:tr2bl w:val="nil"/>
            </w:tcBorders>
            <w:vAlign w:val="bottom"/>
          </w:tcPr>
          <w:p w14:paraId="1D4B7C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2.9</w:t>
            </w:r>
          </w:p>
        </w:tc>
        <w:tc>
          <w:tcPr>
            <w:tcW w:w="308" w:type="pct"/>
            <w:tcBorders>
              <w:tl2br w:val="nil"/>
              <w:tr2bl w:val="nil"/>
            </w:tcBorders>
            <w:vAlign w:val="bottom"/>
          </w:tcPr>
          <w:p w14:paraId="264921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w:t>
            </w:r>
          </w:p>
        </w:tc>
        <w:tc>
          <w:tcPr>
            <w:tcW w:w="235" w:type="pct"/>
            <w:tcBorders>
              <w:tl2br w:val="nil"/>
              <w:tr2bl w:val="nil"/>
            </w:tcBorders>
            <w:vAlign w:val="bottom"/>
          </w:tcPr>
          <w:p w14:paraId="6AF5CB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c>
          <w:tcPr>
            <w:tcW w:w="249" w:type="pct"/>
            <w:tcBorders>
              <w:tl2br w:val="nil"/>
              <w:tr2bl w:val="nil"/>
            </w:tcBorders>
            <w:vAlign w:val="bottom"/>
          </w:tcPr>
          <w:p w14:paraId="59FD8D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275" w:type="pct"/>
            <w:tcBorders>
              <w:tl2br w:val="nil"/>
              <w:tr2bl w:val="nil"/>
            </w:tcBorders>
            <w:vAlign w:val="bottom"/>
          </w:tcPr>
          <w:p w14:paraId="3C025E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w:t>
            </w:r>
          </w:p>
        </w:tc>
        <w:tc>
          <w:tcPr>
            <w:tcW w:w="280" w:type="pct"/>
            <w:tcBorders>
              <w:tl2br w:val="nil"/>
              <w:tr2bl w:val="nil"/>
            </w:tcBorders>
            <w:vAlign w:val="bottom"/>
          </w:tcPr>
          <w:p w14:paraId="7062AB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w:t>
            </w:r>
          </w:p>
        </w:tc>
        <w:tc>
          <w:tcPr>
            <w:tcW w:w="277" w:type="pct"/>
            <w:tcBorders>
              <w:tl2br w:val="nil"/>
              <w:tr2bl w:val="nil"/>
            </w:tcBorders>
            <w:vAlign w:val="bottom"/>
          </w:tcPr>
          <w:p w14:paraId="645912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4.5</w:t>
            </w:r>
          </w:p>
        </w:tc>
        <w:tc>
          <w:tcPr>
            <w:tcW w:w="277" w:type="pct"/>
            <w:tcBorders>
              <w:tl2br w:val="nil"/>
              <w:tr2bl w:val="nil"/>
            </w:tcBorders>
            <w:vAlign w:val="bottom"/>
          </w:tcPr>
          <w:p w14:paraId="278EF7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6.9</w:t>
            </w:r>
          </w:p>
        </w:tc>
        <w:tc>
          <w:tcPr>
            <w:tcW w:w="277" w:type="pct"/>
            <w:tcBorders>
              <w:tl2br w:val="nil"/>
              <w:tr2bl w:val="nil"/>
            </w:tcBorders>
            <w:vAlign w:val="bottom"/>
          </w:tcPr>
          <w:p w14:paraId="5D4532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8.5</w:t>
            </w:r>
          </w:p>
        </w:tc>
        <w:tc>
          <w:tcPr>
            <w:tcW w:w="289" w:type="pct"/>
            <w:tcBorders>
              <w:tl2br w:val="nil"/>
              <w:tr2bl w:val="nil"/>
            </w:tcBorders>
            <w:vAlign w:val="bottom"/>
          </w:tcPr>
          <w:p w14:paraId="632AEB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270" w:type="pct"/>
            <w:tcBorders>
              <w:tl2br w:val="nil"/>
              <w:tr2bl w:val="nil"/>
            </w:tcBorders>
            <w:vAlign w:val="bottom"/>
          </w:tcPr>
          <w:p w14:paraId="2E00C0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5.5</w:t>
            </w:r>
          </w:p>
        </w:tc>
        <w:tc>
          <w:tcPr>
            <w:tcW w:w="347" w:type="pct"/>
            <w:tcBorders>
              <w:tl2br w:val="nil"/>
              <w:tr2bl w:val="nil"/>
            </w:tcBorders>
            <w:vAlign w:val="bottom"/>
          </w:tcPr>
          <w:p w14:paraId="44F4F4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6.9</w:t>
            </w:r>
          </w:p>
        </w:tc>
        <w:tc>
          <w:tcPr>
            <w:tcW w:w="277" w:type="pct"/>
            <w:tcBorders>
              <w:tl2br w:val="nil"/>
              <w:tr2bl w:val="nil"/>
            </w:tcBorders>
            <w:vAlign w:val="bottom"/>
          </w:tcPr>
          <w:p w14:paraId="356A0D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7.7</w:t>
            </w:r>
          </w:p>
        </w:tc>
        <w:tc>
          <w:tcPr>
            <w:tcW w:w="303" w:type="pct"/>
            <w:tcBorders>
              <w:tl2br w:val="nil"/>
              <w:tr2bl w:val="nil"/>
            </w:tcBorders>
            <w:vAlign w:val="bottom"/>
          </w:tcPr>
          <w:p w14:paraId="0AE8B6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9.7</w:t>
            </w:r>
          </w:p>
        </w:tc>
        <w:tc>
          <w:tcPr>
            <w:tcW w:w="328" w:type="pct"/>
            <w:tcBorders>
              <w:tl2br w:val="nil"/>
              <w:tr2bl w:val="nil"/>
            </w:tcBorders>
            <w:vAlign w:val="bottom"/>
          </w:tcPr>
          <w:p w14:paraId="73EEED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18.5</w:t>
            </w:r>
          </w:p>
        </w:tc>
        <w:tc>
          <w:tcPr>
            <w:tcW w:w="270" w:type="pct"/>
            <w:tcBorders>
              <w:tl2br w:val="nil"/>
              <w:tr2bl w:val="nil"/>
            </w:tcBorders>
            <w:vAlign w:val="bottom"/>
          </w:tcPr>
          <w:p w14:paraId="432B11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7.4</w:t>
            </w:r>
          </w:p>
        </w:tc>
        <w:tc>
          <w:tcPr>
            <w:tcW w:w="299" w:type="pct"/>
            <w:tcBorders>
              <w:tl2br w:val="nil"/>
              <w:tr2bl w:val="nil"/>
            </w:tcBorders>
            <w:vAlign w:val="bottom"/>
          </w:tcPr>
          <w:p w14:paraId="128CA8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4.1</w:t>
            </w:r>
          </w:p>
        </w:tc>
      </w:tr>
      <w:tr w14:paraId="671EC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2CBF8A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c>
          <w:tcPr>
            <w:tcW w:w="266" w:type="pct"/>
            <w:tcBorders>
              <w:tl2br w:val="nil"/>
              <w:tr2bl w:val="nil"/>
            </w:tcBorders>
            <w:vAlign w:val="bottom"/>
          </w:tcPr>
          <w:p w14:paraId="1D7D9E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4.3</w:t>
            </w:r>
          </w:p>
        </w:tc>
        <w:tc>
          <w:tcPr>
            <w:tcW w:w="308" w:type="pct"/>
            <w:tcBorders>
              <w:tl2br w:val="nil"/>
              <w:tr2bl w:val="nil"/>
            </w:tcBorders>
            <w:vAlign w:val="bottom"/>
          </w:tcPr>
          <w:p w14:paraId="536581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w:t>
            </w:r>
          </w:p>
        </w:tc>
        <w:tc>
          <w:tcPr>
            <w:tcW w:w="235" w:type="pct"/>
            <w:tcBorders>
              <w:tl2br w:val="nil"/>
              <w:tr2bl w:val="nil"/>
            </w:tcBorders>
            <w:vAlign w:val="bottom"/>
          </w:tcPr>
          <w:p w14:paraId="0DFA23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w:t>
            </w:r>
          </w:p>
        </w:tc>
        <w:tc>
          <w:tcPr>
            <w:tcW w:w="249" w:type="pct"/>
            <w:tcBorders>
              <w:tl2br w:val="nil"/>
              <w:tr2bl w:val="nil"/>
            </w:tcBorders>
            <w:vAlign w:val="bottom"/>
          </w:tcPr>
          <w:p w14:paraId="2D4B68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w:t>
            </w:r>
          </w:p>
        </w:tc>
        <w:tc>
          <w:tcPr>
            <w:tcW w:w="275" w:type="pct"/>
            <w:tcBorders>
              <w:tl2br w:val="nil"/>
              <w:tr2bl w:val="nil"/>
            </w:tcBorders>
            <w:vAlign w:val="bottom"/>
          </w:tcPr>
          <w:p w14:paraId="4B36C3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1.9</w:t>
            </w:r>
          </w:p>
        </w:tc>
        <w:tc>
          <w:tcPr>
            <w:tcW w:w="280" w:type="pct"/>
            <w:tcBorders>
              <w:tl2br w:val="nil"/>
              <w:tr2bl w:val="nil"/>
            </w:tcBorders>
            <w:vAlign w:val="bottom"/>
          </w:tcPr>
          <w:p w14:paraId="055600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2.7</w:t>
            </w:r>
          </w:p>
        </w:tc>
        <w:tc>
          <w:tcPr>
            <w:tcW w:w="277" w:type="pct"/>
            <w:tcBorders>
              <w:tl2br w:val="nil"/>
              <w:tr2bl w:val="nil"/>
            </w:tcBorders>
            <w:vAlign w:val="bottom"/>
          </w:tcPr>
          <w:p w14:paraId="0A5874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5.1</w:t>
            </w:r>
          </w:p>
        </w:tc>
        <w:tc>
          <w:tcPr>
            <w:tcW w:w="277" w:type="pct"/>
            <w:tcBorders>
              <w:tl2br w:val="nil"/>
              <w:tr2bl w:val="nil"/>
            </w:tcBorders>
            <w:vAlign w:val="bottom"/>
          </w:tcPr>
          <w:p w14:paraId="50607A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7.2</w:t>
            </w:r>
          </w:p>
        </w:tc>
        <w:tc>
          <w:tcPr>
            <w:tcW w:w="277" w:type="pct"/>
            <w:tcBorders>
              <w:tl2br w:val="nil"/>
              <w:tr2bl w:val="nil"/>
            </w:tcBorders>
            <w:vAlign w:val="bottom"/>
          </w:tcPr>
          <w:p w14:paraId="4B6C97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10.9</w:t>
            </w:r>
          </w:p>
        </w:tc>
        <w:tc>
          <w:tcPr>
            <w:tcW w:w="289" w:type="pct"/>
            <w:tcBorders>
              <w:tl2br w:val="nil"/>
              <w:tr2bl w:val="nil"/>
            </w:tcBorders>
            <w:vAlign w:val="bottom"/>
          </w:tcPr>
          <w:p w14:paraId="1B51C3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11.4</w:t>
            </w:r>
          </w:p>
        </w:tc>
        <w:tc>
          <w:tcPr>
            <w:tcW w:w="270" w:type="pct"/>
            <w:tcBorders>
              <w:tl2br w:val="nil"/>
              <w:tr2bl w:val="nil"/>
            </w:tcBorders>
            <w:vAlign w:val="bottom"/>
          </w:tcPr>
          <w:p w14:paraId="081589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5.8</w:t>
            </w:r>
          </w:p>
        </w:tc>
        <w:tc>
          <w:tcPr>
            <w:tcW w:w="347" w:type="pct"/>
            <w:tcBorders>
              <w:tl2br w:val="nil"/>
              <w:tr2bl w:val="nil"/>
            </w:tcBorders>
            <w:vAlign w:val="bottom"/>
          </w:tcPr>
          <w:p w14:paraId="4FB3C9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6.2</w:t>
            </w:r>
          </w:p>
        </w:tc>
        <w:tc>
          <w:tcPr>
            <w:tcW w:w="277" w:type="pct"/>
            <w:tcBorders>
              <w:tl2br w:val="nil"/>
              <w:tr2bl w:val="nil"/>
            </w:tcBorders>
            <w:vAlign w:val="bottom"/>
          </w:tcPr>
          <w:p w14:paraId="7C066B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6.2</w:t>
            </w:r>
          </w:p>
        </w:tc>
        <w:tc>
          <w:tcPr>
            <w:tcW w:w="303" w:type="pct"/>
            <w:tcBorders>
              <w:tl2br w:val="nil"/>
              <w:tr2bl w:val="nil"/>
            </w:tcBorders>
            <w:vAlign w:val="bottom"/>
          </w:tcPr>
          <w:p w14:paraId="6BA5E3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9.5</w:t>
            </w:r>
          </w:p>
        </w:tc>
        <w:tc>
          <w:tcPr>
            <w:tcW w:w="328" w:type="pct"/>
            <w:tcBorders>
              <w:tl2br w:val="nil"/>
              <w:tr2bl w:val="nil"/>
            </w:tcBorders>
            <w:vAlign w:val="bottom"/>
          </w:tcPr>
          <w:p w14:paraId="1B6019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12.9</w:t>
            </w:r>
          </w:p>
        </w:tc>
        <w:tc>
          <w:tcPr>
            <w:tcW w:w="270" w:type="pct"/>
            <w:tcBorders>
              <w:tl2br w:val="nil"/>
              <w:tr2bl w:val="nil"/>
            </w:tcBorders>
            <w:vAlign w:val="bottom"/>
          </w:tcPr>
          <w:p w14:paraId="2CB3BB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7.2</w:t>
            </w:r>
          </w:p>
        </w:tc>
        <w:tc>
          <w:tcPr>
            <w:tcW w:w="299" w:type="pct"/>
            <w:tcBorders>
              <w:tl2br w:val="nil"/>
              <w:tr2bl w:val="nil"/>
            </w:tcBorders>
            <w:vAlign w:val="bottom"/>
          </w:tcPr>
          <w:p w14:paraId="6D2809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2.7</w:t>
            </w:r>
          </w:p>
        </w:tc>
      </w:tr>
      <w:tr w14:paraId="244C5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17B431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266" w:type="pct"/>
            <w:tcBorders>
              <w:tl2br w:val="nil"/>
              <w:tr2bl w:val="nil"/>
            </w:tcBorders>
            <w:vAlign w:val="bottom"/>
          </w:tcPr>
          <w:p w14:paraId="6E9DBB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4.5</w:t>
            </w:r>
          </w:p>
        </w:tc>
        <w:tc>
          <w:tcPr>
            <w:tcW w:w="308" w:type="pct"/>
            <w:tcBorders>
              <w:tl2br w:val="nil"/>
              <w:tr2bl w:val="nil"/>
            </w:tcBorders>
            <w:vAlign w:val="bottom"/>
          </w:tcPr>
          <w:p w14:paraId="032660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w:t>
            </w:r>
          </w:p>
        </w:tc>
        <w:tc>
          <w:tcPr>
            <w:tcW w:w="235" w:type="pct"/>
            <w:tcBorders>
              <w:tl2br w:val="nil"/>
              <w:tr2bl w:val="nil"/>
            </w:tcBorders>
            <w:vAlign w:val="bottom"/>
          </w:tcPr>
          <w:p w14:paraId="776906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3.6</w:t>
            </w:r>
          </w:p>
        </w:tc>
        <w:tc>
          <w:tcPr>
            <w:tcW w:w="249" w:type="pct"/>
            <w:tcBorders>
              <w:tl2br w:val="nil"/>
              <w:tr2bl w:val="nil"/>
            </w:tcBorders>
            <w:vAlign w:val="bottom"/>
          </w:tcPr>
          <w:p w14:paraId="21FB87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275" w:type="pct"/>
            <w:tcBorders>
              <w:tl2br w:val="nil"/>
              <w:tr2bl w:val="nil"/>
            </w:tcBorders>
            <w:vAlign w:val="bottom"/>
          </w:tcPr>
          <w:p w14:paraId="4442CA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w:t>
            </w:r>
          </w:p>
        </w:tc>
        <w:tc>
          <w:tcPr>
            <w:tcW w:w="280" w:type="pct"/>
            <w:tcBorders>
              <w:tl2br w:val="nil"/>
              <w:tr2bl w:val="nil"/>
            </w:tcBorders>
            <w:vAlign w:val="bottom"/>
          </w:tcPr>
          <w:p w14:paraId="20F615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3.5</w:t>
            </w:r>
          </w:p>
        </w:tc>
        <w:tc>
          <w:tcPr>
            <w:tcW w:w="277" w:type="pct"/>
            <w:tcBorders>
              <w:tl2br w:val="nil"/>
              <w:tr2bl w:val="nil"/>
            </w:tcBorders>
            <w:vAlign w:val="bottom"/>
          </w:tcPr>
          <w:p w14:paraId="791E1F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w:t>
            </w:r>
          </w:p>
        </w:tc>
        <w:tc>
          <w:tcPr>
            <w:tcW w:w="277" w:type="pct"/>
            <w:tcBorders>
              <w:tl2br w:val="nil"/>
              <w:tr2bl w:val="nil"/>
            </w:tcBorders>
            <w:vAlign w:val="bottom"/>
          </w:tcPr>
          <w:p w14:paraId="0FF023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9.6</w:t>
            </w:r>
          </w:p>
        </w:tc>
        <w:tc>
          <w:tcPr>
            <w:tcW w:w="277" w:type="pct"/>
            <w:tcBorders>
              <w:tl2br w:val="nil"/>
              <w:tr2bl w:val="nil"/>
            </w:tcBorders>
            <w:vAlign w:val="bottom"/>
          </w:tcPr>
          <w:p w14:paraId="20DC73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12.8</w:t>
            </w:r>
          </w:p>
        </w:tc>
        <w:tc>
          <w:tcPr>
            <w:tcW w:w="289" w:type="pct"/>
            <w:tcBorders>
              <w:tl2br w:val="nil"/>
              <w:tr2bl w:val="nil"/>
            </w:tcBorders>
            <w:vAlign w:val="bottom"/>
          </w:tcPr>
          <w:p w14:paraId="349BFD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11.1</w:t>
            </w:r>
          </w:p>
        </w:tc>
        <w:tc>
          <w:tcPr>
            <w:tcW w:w="270" w:type="pct"/>
            <w:tcBorders>
              <w:tl2br w:val="nil"/>
              <w:tr2bl w:val="nil"/>
            </w:tcBorders>
            <w:vAlign w:val="bottom"/>
          </w:tcPr>
          <w:p w14:paraId="4CD4F4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5.1</w:t>
            </w:r>
          </w:p>
        </w:tc>
        <w:tc>
          <w:tcPr>
            <w:tcW w:w="347" w:type="pct"/>
            <w:tcBorders>
              <w:tl2br w:val="nil"/>
              <w:tr2bl w:val="nil"/>
            </w:tcBorders>
            <w:vAlign w:val="bottom"/>
          </w:tcPr>
          <w:p w14:paraId="6E6EE7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4.8</w:t>
            </w:r>
          </w:p>
        </w:tc>
        <w:tc>
          <w:tcPr>
            <w:tcW w:w="277" w:type="pct"/>
            <w:tcBorders>
              <w:tl2br w:val="nil"/>
              <w:tr2bl w:val="nil"/>
            </w:tcBorders>
            <w:vAlign w:val="bottom"/>
          </w:tcPr>
          <w:p w14:paraId="06AD45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4.9</w:t>
            </w:r>
          </w:p>
        </w:tc>
        <w:tc>
          <w:tcPr>
            <w:tcW w:w="303" w:type="pct"/>
            <w:tcBorders>
              <w:tl2br w:val="nil"/>
              <w:tr2bl w:val="nil"/>
            </w:tcBorders>
            <w:vAlign w:val="bottom"/>
          </w:tcPr>
          <w:p w14:paraId="48AAC0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4.7</w:t>
            </w:r>
          </w:p>
        </w:tc>
        <w:tc>
          <w:tcPr>
            <w:tcW w:w="328" w:type="pct"/>
            <w:tcBorders>
              <w:tl2br w:val="nil"/>
              <w:tr2bl w:val="nil"/>
            </w:tcBorders>
            <w:vAlign w:val="bottom"/>
          </w:tcPr>
          <w:p w14:paraId="000484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9.5</w:t>
            </w:r>
          </w:p>
        </w:tc>
        <w:tc>
          <w:tcPr>
            <w:tcW w:w="270" w:type="pct"/>
            <w:tcBorders>
              <w:tl2br w:val="nil"/>
              <w:tr2bl w:val="nil"/>
            </w:tcBorders>
            <w:vAlign w:val="bottom"/>
          </w:tcPr>
          <w:p w14:paraId="583AE6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5.5</w:t>
            </w:r>
          </w:p>
        </w:tc>
        <w:tc>
          <w:tcPr>
            <w:tcW w:w="299" w:type="pct"/>
            <w:tcBorders>
              <w:tl2br w:val="nil"/>
              <w:tr2bl w:val="nil"/>
            </w:tcBorders>
            <w:vAlign w:val="bottom"/>
          </w:tcPr>
          <w:p w14:paraId="2009B8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w:t>
            </w:r>
          </w:p>
        </w:tc>
      </w:tr>
      <w:tr w14:paraId="4BB63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6A40D1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w:t>
            </w:r>
          </w:p>
        </w:tc>
        <w:tc>
          <w:tcPr>
            <w:tcW w:w="266" w:type="pct"/>
            <w:tcBorders>
              <w:tl2br w:val="nil"/>
              <w:tr2bl w:val="nil"/>
            </w:tcBorders>
            <w:vAlign w:val="bottom"/>
          </w:tcPr>
          <w:p w14:paraId="1DDF37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w:t>
            </w:r>
          </w:p>
        </w:tc>
        <w:tc>
          <w:tcPr>
            <w:tcW w:w="308" w:type="pct"/>
            <w:tcBorders>
              <w:tl2br w:val="nil"/>
              <w:tr2bl w:val="nil"/>
            </w:tcBorders>
            <w:vAlign w:val="bottom"/>
          </w:tcPr>
          <w:p w14:paraId="3C079B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3.8</w:t>
            </w:r>
          </w:p>
        </w:tc>
        <w:tc>
          <w:tcPr>
            <w:tcW w:w="235" w:type="pct"/>
            <w:tcBorders>
              <w:tl2br w:val="nil"/>
              <w:tr2bl w:val="nil"/>
            </w:tcBorders>
            <w:vAlign w:val="bottom"/>
          </w:tcPr>
          <w:p w14:paraId="649D69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3.8</w:t>
            </w:r>
          </w:p>
        </w:tc>
        <w:tc>
          <w:tcPr>
            <w:tcW w:w="249" w:type="pct"/>
            <w:tcBorders>
              <w:tl2br w:val="nil"/>
              <w:tr2bl w:val="nil"/>
            </w:tcBorders>
            <w:vAlign w:val="bottom"/>
          </w:tcPr>
          <w:p w14:paraId="47223F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w:t>
            </w:r>
          </w:p>
        </w:tc>
        <w:tc>
          <w:tcPr>
            <w:tcW w:w="275" w:type="pct"/>
            <w:tcBorders>
              <w:tl2br w:val="nil"/>
              <w:tr2bl w:val="nil"/>
            </w:tcBorders>
            <w:vAlign w:val="bottom"/>
          </w:tcPr>
          <w:p w14:paraId="15BDCC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3.2</w:t>
            </w:r>
          </w:p>
        </w:tc>
        <w:tc>
          <w:tcPr>
            <w:tcW w:w="280" w:type="pct"/>
            <w:tcBorders>
              <w:tl2br w:val="nil"/>
              <w:tr2bl w:val="nil"/>
            </w:tcBorders>
            <w:vAlign w:val="bottom"/>
          </w:tcPr>
          <w:p w14:paraId="44DDCB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277" w:type="pct"/>
            <w:tcBorders>
              <w:tl2br w:val="nil"/>
              <w:tr2bl w:val="nil"/>
            </w:tcBorders>
            <w:vAlign w:val="bottom"/>
          </w:tcPr>
          <w:p w14:paraId="75ED85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10.2</w:t>
            </w:r>
          </w:p>
        </w:tc>
        <w:tc>
          <w:tcPr>
            <w:tcW w:w="277" w:type="pct"/>
            <w:tcBorders>
              <w:tl2br w:val="nil"/>
              <w:tr2bl w:val="nil"/>
            </w:tcBorders>
            <w:vAlign w:val="bottom"/>
          </w:tcPr>
          <w:p w14:paraId="5ED736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12.6</w:t>
            </w:r>
          </w:p>
        </w:tc>
        <w:tc>
          <w:tcPr>
            <w:tcW w:w="277" w:type="pct"/>
            <w:tcBorders>
              <w:tl2br w:val="nil"/>
              <w:tr2bl w:val="nil"/>
            </w:tcBorders>
            <w:vAlign w:val="bottom"/>
          </w:tcPr>
          <w:p w14:paraId="51C062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15.9</w:t>
            </w:r>
          </w:p>
        </w:tc>
        <w:tc>
          <w:tcPr>
            <w:tcW w:w="289" w:type="pct"/>
            <w:tcBorders>
              <w:tl2br w:val="nil"/>
              <w:tr2bl w:val="nil"/>
            </w:tcBorders>
            <w:vAlign w:val="bottom"/>
          </w:tcPr>
          <w:p w14:paraId="071DFD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270" w:type="pct"/>
            <w:tcBorders>
              <w:tl2br w:val="nil"/>
              <w:tr2bl w:val="nil"/>
            </w:tcBorders>
            <w:vAlign w:val="bottom"/>
          </w:tcPr>
          <w:p w14:paraId="0CE9E5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4.9</w:t>
            </w:r>
          </w:p>
        </w:tc>
        <w:tc>
          <w:tcPr>
            <w:tcW w:w="347" w:type="pct"/>
            <w:tcBorders>
              <w:tl2br w:val="nil"/>
              <w:tr2bl w:val="nil"/>
            </w:tcBorders>
            <w:vAlign w:val="bottom"/>
          </w:tcPr>
          <w:p w14:paraId="160CED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3.7</w:t>
            </w:r>
          </w:p>
        </w:tc>
        <w:tc>
          <w:tcPr>
            <w:tcW w:w="277" w:type="pct"/>
            <w:tcBorders>
              <w:tl2br w:val="nil"/>
              <w:tr2bl w:val="nil"/>
            </w:tcBorders>
            <w:vAlign w:val="bottom"/>
          </w:tcPr>
          <w:p w14:paraId="170450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3.1</w:t>
            </w:r>
          </w:p>
        </w:tc>
        <w:tc>
          <w:tcPr>
            <w:tcW w:w="303" w:type="pct"/>
            <w:tcBorders>
              <w:tl2br w:val="nil"/>
              <w:tr2bl w:val="nil"/>
            </w:tcBorders>
            <w:vAlign w:val="bottom"/>
          </w:tcPr>
          <w:p w14:paraId="53ABC5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w:t>
            </w:r>
          </w:p>
        </w:tc>
        <w:tc>
          <w:tcPr>
            <w:tcW w:w="328" w:type="pct"/>
            <w:tcBorders>
              <w:tl2br w:val="nil"/>
              <w:tr2bl w:val="nil"/>
            </w:tcBorders>
            <w:vAlign w:val="bottom"/>
          </w:tcPr>
          <w:p w14:paraId="61FE31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4.9</w:t>
            </w:r>
          </w:p>
        </w:tc>
        <w:tc>
          <w:tcPr>
            <w:tcW w:w="270" w:type="pct"/>
            <w:tcBorders>
              <w:tl2br w:val="nil"/>
              <w:tr2bl w:val="nil"/>
            </w:tcBorders>
            <w:vAlign w:val="bottom"/>
          </w:tcPr>
          <w:p w14:paraId="7002D8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4.6</w:t>
            </w:r>
          </w:p>
        </w:tc>
        <w:tc>
          <w:tcPr>
            <w:tcW w:w="299" w:type="pct"/>
            <w:tcBorders>
              <w:tl2br w:val="nil"/>
              <w:tr2bl w:val="nil"/>
            </w:tcBorders>
            <w:vAlign w:val="bottom"/>
          </w:tcPr>
          <w:p w14:paraId="215F59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3.3</w:t>
            </w:r>
          </w:p>
        </w:tc>
      </w:tr>
      <w:tr w14:paraId="007ED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382FB1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w:t>
            </w:r>
          </w:p>
        </w:tc>
        <w:tc>
          <w:tcPr>
            <w:tcW w:w="266" w:type="pct"/>
            <w:tcBorders>
              <w:tl2br w:val="nil"/>
              <w:tr2bl w:val="nil"/>
            </w:tcBorders>
            <w:vAlign w:val="bottom"/>
          </w:tcPr>
          <w:p w14:paraId="5E5570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3.3</w:t>
            </w:r>
          </w:p>
        </w:tc>
        <w:tc>
          <w:tcPr>
            <w:tcW w:w="308" w:type="pct"/>
            <w:tcBorders>
              <w:tl2br w:val="nil"/>
              <w:tr2bl w:val="nil"/>
            </w:tcBorders>
            <w:vAlign w:val="bottom"/>
          </w:tcPr>
          <w:p w14:paraId="4CD12B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235" w:type="pct"/>
            <w:tcBorders>
              <w:tl2br w:val="nil"/>
              <w:tr2bl w:val="nil"/>
            </w:tcBorders>
            <w:vAlign w:val="bottom"/>
          </w:tcPr>
          <w:p w14:paraId="3BFE42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w:t>
            </w:r>
          </w:p>
        </w:tc>
        <w:tc>
          <w:tcPr>
            <w:tcW w:w="249" w:type="pct"/>
            <w:tcBorders>
              <w:tl2br w:val="nil"/>
              <w:tr2bl w:val="nil"/>
            </w:tcBorders>
            <w:vAlign w:val="bottom"/>
          </w:tcPr>
          <w:p w14:paraId="110D62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2.7</w:t>
            </w:r>
          </w:p>
        </w:tc>
        <w:tc>
          <w:tcPr>
            <w:tcW w:w="275" w:type="pct"/>
            <w:tcBorders>
              <w:tl2br w:val="nil"/>
              <w:tr2bl w:val="nil"/>
            </w:tcBorders>
            <w:vAlign w:val="bottom"/>
          </w:tcPr>
          <w:p w14:paraId="5FAC3B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2.9</w:t>
            </w:r>
          </w:p>
        </w:tc>
        <w:tc>
          <w:tcPr>
            <w:tcW w:w="280" w:type="pct"/>
            <w:tcBorders>
              <w:tl2br w:val="nil"/>
              <w:tr2bl w:val="nil"/>
            </w:tcBorders>
            <w:vAlign w:val="bottom"/>
          </w:tcPr>
          <w:p w14:paraId="05B916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5.3</w:t>
            </w:r>
          </w:p>
        </w:tc>
        <w:tc>
          <w:tcPr>
            <w:tcW w:w="277" w:type="pct"/>
            <w:tcBorders>
              <w:tl2br w:val="nil"/>
              <w:tr2bl w:val="nil"/>
            </w:tcBorders>
            <w:vAlign w:val="bottom"/>
          </w:tcPr>
          <w:p w14:paraId="637441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10.4</w:t>
            </w:r>
          </w:p>
        </w:tc>
        <w:tc>
          <w:tcPr>
            <w:tcW w:w="277" w:type="pct"/>
            <w:tcBorders>
              <w:tl2br w:val="nil"/>
              <w:tr2bl w:val="nil"/>
            </w:tcBorders>
            <w:vAlign w:val="bottom"/>
          </w:tcPr>
          <w:p w14:paraId="4CC782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14.6</w:t>
            </w:r>
          </w:p>
        </w:tc>
        <w:tc>
          <w:tcPr>
            <w:tcW w:w="277" w:type="pct"/>
            <w:tcBorders>
              <w:tl2br w:val="nil"/>
              <w:tr2bl w:val="nil"/>
            </w:tcBorders>
            <w:vAlign w:val="bottom"/>
          </w:tcPr>
          <w:p w14:paraId="7F6B5C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16.7</w:t>
            </w:r>
          </w:p>
        </w:tc>
        <w:tc>
          <w:tcPr>
            <w:tcW w:w="289" w:type="pct"/>
            <w:tcBorders>
              <w:tl2br w:val="nil"/>
              <w:tr2bl w:val="nil"/>
            </w:tcBorders>
            <w:vAlign w:val="bottom"/>
          </w:tcPr>
          <w:p w14:paraId="5B60BD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12.3</w:t>
            </w:r>
          </w:p>
        </w:tc>
        <w:tc>
          <w:tcPr>
            <w:tcW w:w="270" w:type="pct"/>
            <w:tcBorders>
              <w:tl2br w:val="nil"/>
              <w:tr2bl w:val="nil"/>
            </w:tcBorders>
            <w:vAlign w:val="bottom"/>
          </w:tcPr>
          <w:p w14:paraId="564EEE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5.8</w:t>
            </w:r>
          </w:p>
        </w:tc>
        <w:tc>
          <w:tcPr>
            <w:tcW w:w="347" w:type="pct"/>
            <w:tcBorders>
              <w:tl2br w:val="nil"/>
              <w:tr2bl w:val="nil"/>
            </w:tcBorders>
            <w:vAlign w:val="bottom"/>
          </w:tcPr>
          <w:p w14:paraId="00FDCD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w:t>
            </w:r>
          </w:p>
        </w:tc>
        <w:tc>
          <w:tcPr>
            <w:tcW w:w="277" w:type="pct"/>
            <w:tcBorders>
              <w:tl2br w:val="nil"/>
              <w:tr2bl w:val="nil"/>
            </w:tcBorders>
            <w:vAlign w:val="bottom"/>
          </w:tcPr>
          <w:p w14:paraId="3D9E05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w:t>
            </w:r>
          </w:p>
        </w:tc>
        <w:tc>
          <w:tcPr>
            <w:tcW w:w="303" w:type="pct"/>
            <w:tcBorders>
              <w:tl2br w:val="nil"/>
              <w:tr2bl w:val="nil"/>
            </w:tcBorders>
            <w:vAlign w:val="bottom"/>
          </w:tcPr>
          <w:p w14:paraId="53573C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w:t>
            </w:r>
          </w:p>
        </w:tc>
        <w:tc>
          <w:tcPr>
            <w:tcW w:w="328" w:type="pct"/>
            <w:tcBorders>
              <w:tl2br w:val="nil"/>
              <w:tr2bl w:val="nil"/>
            </w:tcBorders>
            <w:vAlign w:val="bottom"/>
          </w:tcPr>
          <w:p w14:paraId="6F4200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5.4</w:t>
            </w:r>
          </w:p>
        </w:tc>
        <w:tc>
          <w:tcPr>
            <w:tcW w:w="270" w:type="pct"/>
            <w:tcBorders>
              <w:tl2br w:val="nil"/>
              <w:tr2bl w:val="nil"/>
            </w:tcBorders>
            <w:vAlign w:val="bottom"/>
          </w:tcPr>
          <w:p w14:paraId="760419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4.5</w:t>
            </w:r>
          </w:p>
        </w:tc>
        <w:tc>
          <w:tcPr>
            <w:tcW w:w="299" w:type="pct"/>
            <w:tcBorders>
              <w:tl2br w:val="nil"/>
              <w:tr2bl w:val="nil"/>
            </w:tcBorders>
            <w:vAlign w:val="bottom"/>
          </w:tcPr>
          <w:p w14:paraId="40D603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3.8</w:t>
            </w:r>
          </w:p>
        </w:tc>
      </w:tr>
      <w:tr w14:paraId="4103D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590D26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w:t>
            </w:r>
          </w:p>
        </w:tc>
        <w:tc>
          <w:tcPr>
            <w:tcW w:w="266" w:type="pct"/>
            <w:tcBorders>
              <w:tl2br w:val="nil"/>
              <w:tr2bl w:val="nil"/>
            </w:tcBorders>
            <w:vAlign w:val="bottom"/>
          </w:tcPr>
          <w:p w14:paraId="608C19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4.4</w:t>
            </w:r>
          </w:p>
        </w:tc>
        <w:tc>
          <w:tcPr>
            <w:tcW w:w="308" w:type="pct"/>
            <w:tcBorders>
              <w:tl2br w:val="nil"/>
              <w:tr2bl w:val="nil"/>
            </w:tcBorders>
            <w:vAlign w:val="bottom"/>
          </w:tcPr>
          <w:p w14:paraId="7CFDC8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235" w:type="pct"/>
            <w:tcBorders>
              <w:tl2br w:val="nil"/>
              <w:tr2bl w:val="nil"/>
            </w:tcBorders>
            <w:vAlign w:val="bottom"/>
          </w:tcPr>
          <w:p w14:paraId="2D99D3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2.7</w:t>
            </w:r>
          </w:p>
        </w:tc>
        <w:tc>
          <w:tcPr>
            <w:tcW w:w="249" w:type="pct"/>
            <w:tcBorders>
              <w:tl2br w:val="nil"/>
              <w:tr2bl w:val="nil"/>
            </w:tcBorders>
            <w:vAlign w:val="bottom"/>
          </w:tcPr>
          <w:p w14:paraId="73CB0A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275" w:type="pct"/>
            <w:tcBorders>
              <w:tl2br w:val="nil"/>
              <w:tr2bl w:val="nil"/>
            </w:tcBorders>
            <w:vAlign w:val="bottom"/>
          </w:tcPr>
          <w:p w14:paraId="4493AF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280" w:type="pct"/>
            <w:tcBorders>
              <w:tl2br w:val="nil"/>
              <w:tr2bl w:val="nil"/>
            </w:tcBorders>
            <w:vAlign w:val="bottom"/>
          </w:tcPr>
          <w:p w14:paraId="0859D4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3.6</w:t>
            </w:r>
          </w:p>
        </w:tc>
        <w:tc>
          <w:tcPr>
            <w:tcW w:w="277" w:type="pct"/>
            <w:tcBorders>
              <w:tl2br w:val="nil"/>
              <w:tr2bl w:val="nil"/>
            </w:tcBorders>
            <w:vAlign w:val="bottom"/>
          </w:tcPr>
          <w:p w14:paraId="742D2A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7.7</w:t>
            </w:r>
          </w:p>
        </w:tc>
        <w:tc>
          <w:tcPr>
            <w:tcW w:w="277" w:type="pct"/>
            <w:tcBorders>
              <w:tl2br w:val="nil"/>
              <w:tr2bl w:val="nil"/>
            </w:tcBorders>
            <w:vAlign w:val="bottom"/>
          </w:tcPr>
          <w:p w14:paraId="109FB4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10.8</w:t>
            </w:r>
          </w:p>
        </w:tc>
        <w:tc>
          <w:tcPr>
            <w:tcW w:w="277" w:type="pct"/>
            <w:tcBorders>
              <w:tl2br w:val="nil"/>
              <w:tr2bl w:val="nil"/>
            </w:tcBorders>
            <w:vAlign w:val="bottom"/>
          </w:tcPr>
          <w:p w14:paraId="27D46F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12.8</w:t>
            </w:r>
          </w:p>
        </w:tc>
        <w:tc>
          <w:tcPr>
            <w:tcW w:w="289" w:type="pct"/>
            <w:tcBorders>
              <w:tl2br w:val="nil"/>
              <w:tr2bl w:val="nil"/>
            </w:tcBorders>
            <w:vAlign w:val="bottom"/>
          </w:tcPr>
          <w:p w14:paraId="14609A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w:t>
            </w:r>
          </w:p>
        </w:tc>
        <w:tc>
          <w:tcPr>
            <w:tcW w:w="270" w:type="pct"/>
            <w:tcBorders>
              <w:tl2br w:val="nil"/>
              <w:tr2bl w:val="nil"/>
            </w:tcBorders>
            <w:vAlign w:val="bottom"/>
          </w:tcPr>
          <w:p w14:paraId="51B4CA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w:t>
            </w:r>
          </w:p>
        </w:tc>
        <w:tc>
          <w:tcPr>
            <w:tcW w:w="347" w:type="pct"/>
            <w:tcBorders>
              <w:tl2br w:val="nil"/>
              <w:tr2bl w:val="nil"/>
            </w:tcBorders>
            <w:vAlign w:val="bottom"/>
          </w:tcPr>
          <w:p w14:paraId="3C18E0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4.4</w:t>
            </w:r>
          </w:p>
        </w:tc>
        <w:tc>
          <w:tcPr>
            <w:tcW w:w="277" w:type="pct"/>
            <w:tcBorders>
              <w:tl2br w:val="nil"/>
              <w:tr2bl w:val="nil"/>
            </w:tcBorders>
            <w:vAlign w:val="bottom"/>
          </w:tcPr>
          <w:p w14:paraId="55F605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3.4</w:t>
            </w:r>
          </w:p>
        </w:tc>
        <w:tc>
          <w:tcPr>
            <w:tcW w:w="303" w:type="pct"/>
            <w:tcBorders>
              <w:tl2br w:val="nil"/>
              <w:tr2bl w:val="nil"/>
            </w:tcBorders>
            <w:vAlign w:val="bottom"/>
          </w:tcPr>
          <w:p w14:paraId="3CF044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4.1</w:t>
            </w:r>
          </w:p>
        </w:tc>
        <w:tc>
          <w:tcPr>
            <w:tcW w:w="328" w:type="pct"/>
            <w:tcBorders>
              <w:tl2br w:val="nil"/>
              <w:tr2bl w:val="nil"/>
            </w:tcBorders>
            <w:vAlign w:val="bottom"/>
          </w:tcPr>
          <w:p w14:paraId="01F43D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7.7</w:t>
            </w:r>
          </w:p>
        </w:tc>
        <w:tc>
          <w:tcPr>
            <w:tcW w:w="270" w:type="pct"/>
            <w:tcBorders>
              <w:tl2br w:val="nil"/>
              <w:tr2bl w:val="nil"/>
            </w:tcBorders>
            <w:vAlign w:val="bottom"/>
          </w:tcPr>
          <w:p w14:paraId="7E79B8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5.9</w:t>
            </w:r>
          </w:p>
        </w:tc>
        <w:tc>
          <w:tcPr>
            <w:tcW w:w="299" w:type="pct"/>
            <w:tcBorders>
              <w:tl2br w:val="nil"/>
              <w:tr2bl w:val="nil"/>
            </w:tcBorders>
            <w:vAlign w:val="bottom"/>
          </w:tcPr>
          <w:p w14:paraId="72635F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w:t>
            </w:r>
          </w:p>
        </w:tc>
      </w:tr>
      <w:tr w14:paraId="38CC1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654AF9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266" w:type="pct"/>
            <w:tcBorders>
              <w:tl2br w:val="nil"/>
              <w:tr2bl w:val="nil"/>
            </w:tcBorders>
            <w:vAlign w:val="bottom"/>
          </w:tcPr>
          <w:p w14:paraId="7974F4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308" w:type="pct"/>
            <w:tcBorders>
              <w:tl2br w:val="nil"/>
              <w:tr2bl w:val="nil"/>
            </w:tcBorders>
            <w:vAlign w:val="bottom"/>
          </w:tcPr>
          <w:p w14:paraId="5D9404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1.9</w:t>
            </w:r>
          </w:p>
        </w:tc>
        <w:tc>
          <w:tcPr>
            <w:tcW w:w="235" w:type="pct"/>
            <w:tcBorders>
              <w:tl2br w:val="nil"/>
              <w:tr2bl w:val="nil"/>
            </w:tcBorders>
            <w:vAlign w:val="bottom"/>
          </w:tcPr>
          <w:p w14:paraId="5C58DB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c>
          <w:tcPr>
            <w:tcW w:w="249" w:type="pct"/>
            <w:tcBorders>
              <w:tl2br w:val="nil"/>
              <w:tr2bl w:val="nil"/>
            </w:tcBorders>
            <w:vAlign w:val="bottom"/>
          </w:tcPr>
          <w:p w14:paraId="5A5037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275" w:type="pct"/>
            <w:tcBorders>
              <w:tl2br w:val="nil"/>
              <w:tr2bl w:val="nil"/>
            </w:tcBorders>
            <w:vAlign w:val="bottom"/>
          </w:tcPr>
          <w:p w14:paraId="6E952B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c>
          <w:tcPr>
            <w:tcW w:w="280" w:type="pct"/>
            <w:tcBorders>
              <w:tl2br w:val="nil"/>
              <w:tr2bl w:val="nil"/>
            </w:tcBorders>
            <w:vAlign w:val="bottom"/>
          </w:tcPr>
          <w:p w14:paraId="119178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277" w:type="pct"/>
            <w:tcBorders>
              <w:tl2br w:val="nil"/>
              <w:tr2bl w:val="nil"/>
            </w:tcBorders>
            <w:vAlign w:val="bottom"/>
          </w:tcPr>
          <w:p w14:paraId="272757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6.6</w:t>
            </w:r>
          </w:p>
        </w:tc>
        <w:tc>
          <w:tcPr>
            <w:tcW w:w="277" w:type="pct"/>
            <w:tcBorders>
              <w:tl2br w:val="nil"/>
              <w:tr2bl w:val="nil"/>
            </w:tcBorders>
            <w:vAlign w:val="bottom"/>
          </w:tcPr>
          <w:p w14:paraId="652DA8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10.5</w:t>
            </w:r>
          </w:p>
        </w:tc>
        <w:tc>
          <w:tcPr>
            <w:tcW w:w="277" w:type="pct"/>
            <w:tcBorders>
              <w:tl2br w:val="nil"/>
              <w:tr2bl w:val="nil"/>
            </w:tcBorders>
            <w:vAlign w:val="bottom"/>
          </w:tcPr>
          <w:p w14:paraId="034A1F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15.1</w:t>
            </w:r>
          </w:p>
        </w:tc>
        <w:tc>
          <w:tcPr>
            <w:tcW w:w="289" w:type="pct"/>
            <w:tcBorders>
              <w:tl2br w:val="nil"/>
              <w:tr2bl w:val="nil"/>
            </w:tcBorders>
            <w:vAlign w:val="bottom"/>
          </w:tcPr>
          <w:p w14:paraId="69B9C3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270" w:type="pct"/>
            <w:tcBorders>
              <w:tl2br w:val="nil"/>
              <w:tr2bl w:val="nil"/>
            </w:tcBorders>
            <w:vAlign w:val="bottom"/>
          </w:tcPr>
          <w:p w14:paraId="6995F8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6.6</w:t>
            </w:r>
          </w:p>
        </w:tc>
        <w:tc>
          <w:tcPr>
            <w:tcW w:w="347" w:type="pct"/>
            <w:tcBorders>
              <w:tl2br w:val="nil"/>
              <w:tr2bl w:val="nil"/>
            </w:tcBorders>
            <w:vAlign w:val="bottom"/>
          </w:tcPr>
          <w:p w14:paraId="77CE58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5.7</w:t>
            </w:r>
          </w:p>
        </w:tc>
        <w:tc>
          <w:tcPr>
            <w:tcW w:w="277" w:type="pct"/>
            <w:tcBorders>
              <w:tl2br w:val="nil"/>
              <w:tr2bl w:val="nil"/>
            </w:tcBorders>
            <w:vAlign w:val="bottom"/>
          </w:tcPr>
          <w:p w14:paraId="41E9A2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5.9</w:t>
            </w:r>
          </w:p>
        </w:tc>
        <w:tc>
          <w:tcPr>
            <w:tcW w:w="303" w:type="pct"/>
            <w:tcBorders>
              <w:tl2br w:val="nil"/>
              <w:tr2bl w:val="nil"/>
            </w:tcBorders>
            <w:vAlign w:val="bottom"/>
          </w:tcPr>
          <w:p w14:paraId="24E78C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w:t>
            </w:r>
          </w:p>
        </w:tc>
        <w:tc>
          <w:tcPr>
            <w:tcW w:w="328" w:type="pct"/>
            <w:tcBorders>
              <w:tl2br w:val="nil"/>
              <w:tr2bl w:val="nil"/>
            </w:tcBorders>
            <w:vAlign w:val="bottom"/>
          </w:tcPr>
          <w:p w14:paraId="0B3091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9.7</w:t>
            </w:r>
          </w:p>
        </w:tc>
        <w:tc>
          <w:tcPr>
            <w:tcW w:w="270" w:type="pct"/>
            <w:tcBorders>
              <w:tl2br w:val="nil"/>
              <w:tr2bl w:val="nil"/>
            </w:tcBorders>
            <w:vAlign w:val="bottom"/>
          </w:tcPr>
          <w:p w14:paraId="2D10B3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w:t>
            </w:r>
          </w:p>
        </w:tc>
        <w:tc>
          <w:tcPr>
            <w:tcW w:w="299" w:type="pct"/>
            <w:tcBorders>
              <w:tl2br w:val="nil"/>
              <w:tr2bl w:val="nil"/>
            </w:tcBorders>
            <w:vAlign w:val="bottom"/>
          </w:tcPr>
          <w:p w14:paraId="231534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5.1</w:t>
            </w:r>
          </w:p>
        </w:tc>
      </w:tr>
      <w:tr w14:paraId="48DB9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0AB3AA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c>
          <w:tcPr>
            <w:tcW w:w="266" w:type="pct"/>
            <w:tcBorders>
              <w:tl2br w:val="nil"/>
              <w:tr2bl w:val="nil"/>
            </w:tcBorders>
            <w:vAlign w:val="bottom"/>
          </w:tcPr>
          <w:p w14:paraId="545E48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2.1</w:t>
            </w:r>
          </w:p>
        </w:tc>
        <w:tc>
          <w:tcPr>
            <w:tcW w:w="308" w:type="pct"/>
            <w:tcBorders>
              <w:tl2br w:val="nil"/>
              <w:tr2bl w:val="nil"/>
            </w:tcBorders>
            <w:vAlign w:val="bottom"/>
          </w:tcPr>
          <w:p w14:paraId="1A39B9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35" w:type="pct"/>
            <w:tcBorders>
              <w:tl2br w:val="nil"/>
              <w:tr2bl w:val="nil"/>
            </w:tcBorders>
            <w:vAlign w:val="bottom"/>
          </w:tcPr>
          <w:p w14:paraId="69BDB0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0.8</w:t>
            </w:r>
          </w:p>
        </w:tc>
        <w:tc>
          <w:tcPr>
            <w:tcW w:w="249" w:type="pct"/>
            <w:tcBorders>
              <w:tl2br w:val="nil"/>
              <w:tr2bl w:val="nil"/>
            </w:tcBorders>
            <w:vAlign w:val="bottom"/>
          </w:tcPr>
          <w:p w14:paraId="658442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0.8</w:t>
            </w:r>
          </w:p>
        </w:tc>
        <w:tc>
          <w:tcPr>
            <w:tcW w:w="275" w:type="pct"/>
            <w:tcBorders>
              <w:tl2br w:val="nil"/>
              <w:tr2bl w:val="nil"/>
            </w:tcBorders>
            <w:vAlign w:val="bottom"/>
          </w:tcPr>
          <w:p w14:paraId="37974B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280" w:type="pct"/>
            <w:tcBorders>
              <w:tl2br w:val="nil"/>
              <w:tr2bl w:val="nil"/>
            </w:tcBorders>
            <w:vAlign w:val="bottom"/>
          </w:tcPr>
          <w:p w14:paraId="1707D1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277" w:type="pct"/>
            <w:tcBorders>
              <w:tl2br w:val="nil"/>
              <w:tr2bl w:val="nil"/>
            </w:tcBorders>
            <w:vAlign w:val="bottom"/>
          </w:tcPr>
          <w:p w14:paraId="79E414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4.7</w:t>
            </w:r>
          </w:p>
        </w:tc>
        <w:tc>
          <w:tcPr>
            <w:tcW w:w="277" w:type="pct"/>
            <w:tcBorders>
              <w:tl2br w:val="nil"/>
              <w:tr2bl w:val="nil"/>
            </w:tcBorders>
            <w:vAlign w:val="bottom"/>
          </w:tcPr>
          <w:p w14:paraId="24C400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8.5</w:t>
            </w:r>
          </w:p>
        </w:tc>
        <w:tc>
          <w:tcPr>
            <w:tcW w:w="277" w:type="pct"/>
            <w:tcBorders>
              <w:tl2br w:val="nil"/>
              <w:tr2bl w:val="nil"/>
            </w:tcBorders>
            <w:vAlign w:val="bottom"/>
          </w:tcPr>
          <w:p w14:paraId="5B36FB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11.7</w:t>
            </w:r>
          </w:p>
        </w:tc>
        <w:tc>
          <w:tcPr>
            <w:tcW w:w="289" w:type="pct"/>
            <w:tcBorders>
              <w:tl2br w:val="nil"/>
              <w:tr2bl w:val="nil"/>
            </w:tcBorders>
            <w:vAlign w:val="bottom"/>
          </w:tcPr>
          <w:p w14:paraId="0CFAAC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12.9</w:t>
            </w:r>
          </w:p>
        </w:tc>
        <w:tc>
          <w:tcPr>
            <w:tcW w:w="270" w:type="pct"/>
            <w:tcBorders>
              <w:tl2br w:val="nil"/>
              <w:tr2bl w:val="nil"/>
            </w:tcBorders>
            <w:vAlign w:val="bottom"/>
          </w:tcPr>
          <w:p w14:paraId="2AFDDA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5.3</w:t>
            </w:r>
          </w:p>
        </w:tc>
        <w:tc>
          <w:tcPr>
            <w:tcW w:w="347" w:type="pct"/>
            <w:tcBorders>
              <w:tl2br w:val="nil"/>
              <w:tr2bl w:val="nil"/>
            </w:tcBorders>
            <w:vAlign w:val="bottom"/>
          </w:tcPr>
          <w:p w14:paraId="230E8A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7.4</w:t>
            </w:r>
          </w:p>
        </w:tc>
        <w:tc>
          <w:tcPr>
            <w:tcW w:w="277" w:type="pct"/>
            <w:tcBorders>
              <w:tl2br w:val="nil"/>
              <w:tr2bl w:val="nil"/>
            </w:tcBorders>
            <w:vAlign w:val="bottom"/>
          </w:tcPr>
          <w:p w14:paraId="486A9D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7.8</w:t>
            </w:r>
          </w:p>
        </w:tc>
        <w:tc>
          <w:tcPr>
            <w:tcW w:w="303" w:type="pct"/>
            <w:tcBorders>
              <w:tl2br w:val="nil"/>
              <w:tr2bl w:val="nil"/>
            </w:tcBorders>
            <w:vAlign w:val="bottom"/>
          </w:tcPr>
          <w:p w14:paraId="00C485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9.9</w:t>
            </w:r>
          </w:p>
        </w:tc>
        <w:tc>
          <w:tcPr>
            <w:tcW w:w="328" w:type="pct"/>
            <w:tcBorders>
              <w:tl2br w:val="nil"/>
              <w:tr2bl w:val="nil"/>
            </w:tcBorders>
            <w:vAlign w:val="bottom"/>
          </w:tcPr>
          <w:p w14:paraId="668A38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14.7</w:t>
            </w:r>
          </w:p>
        </w:tc>
        <w:tc>
          <w:tcPr>
            <w:tcW w:w="270" w:type="pct"/>
            <w:tcBorders>
              <w:tl2br w:val="nil"/>
              <w:tr2bl w:val="nil"/>
            </w:tcBorders>
            <w:vAlign w:val="bottom"/>
          </w:tcPr>
          <w:p w14:paraId="1DBE42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5.4</w:t>
            </w:r>
          </w:p>
        </w:tc>
        <w:tc>
          <w:tcPr>
            <w:tcW w:w="299" w:type="pct"/>
            <w:tcBorders>
              <w:tl2br w:val="nil"/>
              <w:tr2bl w:val="nil"/>
            </w:tcBorders>
            <w:vAlign w:val="bottom"/>
          </w:tcPr>
          <w:p w14:paraId="2ADBED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4.2</w:t>
            </w:r>
          </w:p>
        </w:tc>
      </w:tr>
      <w:tr w14:paraId="6EDBE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19E10C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66" w:type="pct"/>
            <w:tcBorders>
              <w:tl2br w:val="nil"/>
              <w:tr2bl w:val="nil"/>
            </w:tcBorders>
            <w:vAlign w:val="bottom"/>
          </w:tcPr>
          <w:p w14:paraId="242D4C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2.7</w:t>
            </w:r>
          </w:p>
        </w:tc>
        <w:tc>
          <w:tcPr>
            <w:tcW w:w="308" w:type="pct"/>
            <w:tcBorders>
              <w:tl2br w:val="nil"/>
              <w:tr2bl w:val="nil"/>
            </w:tcBorders>
            <w:vAlign w:val="bottom"/>
          </w:tcPr>
          <w:p w14:paraId="585645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w:t>
            </w:r>
          </w:p>
        </w:tc>
        <w:tc>
          <w:tcPr>
            <w:tcW w:w="235" w:type="pct"/>
            <w:tcBorders>
              <w:tl2br w:val="nil"/>
              <w:tr2bl w:val="nil"/>
            </w:tcBorders>
            <w:vAlign w:val="bottom"/>
          </w:tcPr>
          <w:p w14:paraId="77151F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49" w:type="pct"/>
            <w:tcBorders>
              <w:tl2br w:val="nil"/>
              <w:tr2bl w:val="nil"/>
            </w:tcBorders>
            <w:vAlign w:val="bottom"/>
          </w:tcPr>
          <w:p w14:paraId="3CC416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75" w:type="pct"/>
            <w:tcBorders>
              <w:tl2br w:val="nil"/>
              <w:tr2bl w:val="nil"/>
            </w:tcBorders>
            <w:vAlign w:val="bottom"/>
          </w:tcPr>
          <w:p w14:paraId="5E1F4B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280" w:type="pct"/>
            <w:tcBorders>
              <w:tl2br w:val="nil"/>
              <w:tr2bl w:val="nil"/>
            </w:tcBorders>
            <w:vAlign w:val="bottom"/>
          </w:tcPr>
          <w:p w14:paraId="0C7770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2.1</w:t>
            </w:r>
          </w:p>
        </w:tc>
        <w:tc>
          <w:tcPr>
            <w:tcW w:w="277" w:type="pct"/>
            <w:tcBorders>
              <w:tl2br w:val="nil"/>
              <w:tr2bl w:val="nil"/>
            </w:tcBorders>
            <w:vAlign w:val="bottom"/>
          </w:tcPr>
          <w:p w14:paraId="00D5CE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5.3</w:t>
            </w:r>
          </w:p>
        </w:tc>
        <w:tc>
          <w:tcPr>
            <w:tcW w:w="277" w:type="pct"/>
            <w:tcBorders>
              <w:tl2br w:val="nil"/>
              <w:tr2bl w:val="nil"/>
            </w:tcBorders>
            <w:vAlign w:val="bottom"/>
          </w:tcPr>
          <w:p w14:paraId="5D0AA8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6.6</w:t>
            </w:r>
          </w:p>
        </w:tc>
        <w:tc>
          <w:tcPr>
            <w:tcW w:w="277" w:type="pct"/>
            <w:tcBorders>
              <w:tl2br w:val="nil"/>
              <w:tr2bl w:val="nil"/>
            </w:tcBorders>
            <w:vAlign w:val="bottom"/>
          </w:tcPr>
          <w:p w14:paraId="3498A4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9.2</w:t>
            </w:r>
          </w:p>
        </w:tc>
        <w:tc>
          <w:tcPr>
            <w:tcW w:w="289" w:type="pct"/>
            <w:tcBorders>
              <w:tl2br w:val="nil"/>
              <w:tr2bl w:val="nil"/>
            </w:tcBorders>
            <w:vAlign w:val="bottom"/>
          </w:tcPr>
          <w:p w14:paraId="451D8E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10.6</w:t>
            </w:r>
          </w:p>
        </w:tc>
        <w:tc>
          <w:tcPr>
            <w:tcW w:w="270" w:type="pct"/>
            <w:tcBorders>
              <w:tl2br w:val="nil"/>
              <w:tr2bl w:val="nil"/>
            </w:tcBorders>
            <w:vAlign w:val="bottom"/>
          </w:tcPr>
          <w:p w14:paraId="7ADC23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6.3</w:t>
            </w:r>
          </w:p>
        </w:tc>
        <w:tc>
          <w:tcPr>
            <w:tcW w:w="347" w:type="pct"/>
            <w:tcBorders>
              <w:tl2br w:val="nil"/>
              <w:tr2bl w:val="nil"/>
            </w:tcBorders>
            <w:vAlign w:val="bottom"/>
          </w:tcPr>
          <w:p w14:paraId="335671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277" w:type="pct"/>
            <w:tcBorders>
              <w:tl2br w:val="nil"/>
              <w:tr2bl w:val="nil"/>
            </w:tcBorders>
            <w:vAlign w:val="bottom"/>
          </w:tcPr>
          <w:p w14:paraId="1600C7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9.5</w:t>
            </w:r>
          </w:p>
        </w:tc>
        <w:tc>
          <w:tcPr>
            <w:tcW w:w="303" w:type="pct"/>
            <w:tcBorders>
              <w:tl2br w:val="nil"/>
              <w:tr2bl w:val="nil"/>
            </w:tcBorders>
            <w:vAlign w:val="bottom"/>
          </w:tcPr>
          <w:p w14:paraId="613493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8.3</w:t>
            </w:r>
          </w:p>
        </w:tc>
        <w:tc>
          <w:tcPr>
            <w:tcW w:w="328" w:type="pct"/>
            <w:tcBorders>
              <w:tl2br w:val="nil"/>
              <w:tr2bl w:val="nil"/>
            </w:tcBorders>
            <w:vAlign w:val="bottom"/>
          </w:tcPr>
          <w:p w14:paraId="1508DC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16.2</w:t>
            </w:r>
          </w:p>
        </w:tc>
        <w:tc>
          <w:tcPr>
            <w:tcW w:w="270" w:type="pct"/>
            <w:tcBorders>
              <w:tl2br w:val="nil"/>
              <w:tr2bl w:val="nil"/>
            </w:tcBorders>
            <w:vAlign w:val="bottom"/>
          </w:tcPr>
          <w:p w14:paraId="4B3D05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w:t>
            </w:r>
          </w:p>
        </w:tc>
        <w:tc>
          <w:tcPr>
            <w:tcW w:w="299" w:type="pct"/>
            <w:tcBorders>
              <w:tl2br w:val="nil"/>
              <w:tr2bl w:val="nil"/>
            </w:tcBorders>
            <w:vAlign w:val="bottom"/>
          </w:tcPr>
          <w:p w14:paraId="390EC9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3.7</w:t>
            </w:r>
          </w:p>
        </w:tc>
      </w:tr>
      <w:tr w14:paraId="28222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 w:type="pct"/>
            <w:tcBorders>
              <w:tl2br w:val="nil"/>
              <w:tr2bl w:val="nil"/>
            </w:tcBorders>
            <w:vAlign w:val="center"/>
          </w:tcPr>
          <w:p w14:paraId="738981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266" w:type="pct"/>
            <w:tcBorders>
              <w:tl2br w:val="nil"/>
              <w:tr2bl w:val="nil"/>
            </w:tcBorders>
            <w:vAlign w:val="bottom"/>
          </w:tcPr>
          <w:p w14:paraId="7030D8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2.1</w:t>
            </w:r>
          </w:p>
        </w:tc>
        <w:tc>
          <w:tcPr>
            <w:tcW w:w="308" w:type="pct"/>
            <w:tcBorders>
              <w:tl2br w:val="nil"/>
              <w:tr2bl w:val="nil"/>
            </w:tcBorders>
            <w:vAlign w:val="bottom"/>
          </w:tcPr>
          <w:p w14:paraId="1FCA2B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w:t>
            </w:r>
          </w:p>
        </w:tc>
        <w:tc>
          <w:tcPr>
            <w:tcW w:w="235" w:type="pct"/>
            <w:tcBorders>
              <w:tl2br w:val="nil"/>
              <w:tr2bl w:val="nil"/>
            </w:tcBorders>
            <w:vAlign w:val="bottom"/>
          </w:tcPr>
          <w:p w14:paraId="115CC7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0.9</w:t>
            </w:r>
          </w:p>
        </w:tc>
        <w:tc>
          <w:tcPr>
            <w:tcW w:w="249" w:type="pct"/>
            <w:tcBorders>
              <w:tl2br w:val="nil"/>
              <w:tr2bl w:val="nil"/>
            </w:tcBorders>
            <w:vAlign w:val="bottom"/>
          </w:tcPr>
          <w:p w14:paraId="40E54C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0.9</w:t>
            </w:r>
          </w:p>
        </w:tc>
        <w:tc>
          <w:tcPr>
            <w:tcW w:w="275" w:type="pct"/>
            <w:tcBorders>
              <w:tl2br w:val="nil"/>
              <w:tr2bl w:val="nil"/>
            </w:tcBorders>
            <w:vAlign w:val="bottom"/>
          </w:tcPr>
          <w:p w14:paraId="5D0362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280" w:type="pct"/>
            <w:tcBorders>
              <w:tl2br w:val="nil"/>
              <w:tr2bl w:val="nil"/>
            </w:tcBorders>
            <w:vAlign w:val="bottom"/>
          </w:tcPr>
          <w:p w14:paraId="177A2A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w:t>
            </w:r>
          </w:p>
        </w:tc>
        <w:tc>
          <w:tcPr>
            <w:tcW w:w="277" w:type="pct"/>
            <w:tcBorders>
              <w:tl2br w:val="nil"/>
              <w:tr2bl w:val="nil"/>
            </w:tcBorders>
            <w:vAlign w:val="bottom"/>
          </w:tcPr>
          <w:p w14:paraId="4A4166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4.6</w:t>
            </w:r>
          </w:p>
        </w:tc>
        <w:tc>
          <w:tcPr>
            <w:tcW w:w="277" w:type="pct"/>
            <w:tcBorders>
              <w:tl2br w:val="nil"/>
              <w:tr2bl w:val="nil"/>
            </w:tcBorders>
            <w:vAlign w:val="bottom"/>
          </w:tcPr>
          <w:p w14:paraId="55C49A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6.6</w:t>
            </w:r>
          </w:p>
        </w:tc>
        <w:tc>
          <w:tcPr>
            <w:tcW w:w="277" w:type="pct"/>
            <w:tcBorders>
              <w:tl2br w:val="nil"/>
              <w:tr2bl w:val="nil"/>
            </w:tcBorders>
            <w:vAlign w:val="bottom"/>
          </w:tcPr>
          <w:p w14:paraId="1695EA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289" w:type="pct"/>
            <w:tcBorders>
              <w:tl2br w:val="nil"/>
              <w:tr2bl w:val="nil"/>
            </w:tcBorders>
            <w:vAlign w:val="bottom"/>
          </w:tcPr>
          <w:p w14:paraId="31A38C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10.7</w:t>
            </w:r>
          </w:p>
        </w:tc>
        <w:tc>
          <w:tcPr>
            <w:tcW w:w="270" w:type="pct"/>
            <w:tcBorders>
              <w:tl2br w:val="nil"/>
              <w:tr2bl w:val="nil"/>
            </w:tcBorders>
            <w:vAlign w:val="bottom"/>
          </w:tcPr>
          <w:p w14:paraId="657E51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6.3</w:t>
            </w:r>
          </w:p>
        </w:tc>
        <w:tc>
          <w:tcPr>
            <w:tcW w:w="347" w:type="pct"/>
            <w:tcBorders>
              <w:tl2br w:val="nil"/>
              <w:tr2bl w:val="nil"/>
            </w:tcBorders>
            <w:vAlign w:val="bottom"/>
          </w:tcPr>
          <w:p w14:paraId="414BE6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w:t>
            </w:r>
          </w:p>
        </w:tc>
        <w:tc>
          <w:tcPr>
            <w:tcW w:w="277" w:type="pct"/>
            <w:tcBorders>
              <w:tl2br w:val="nil"/>
              <w:tr2bl w:val="nil"/>
            </w:tcBorders>
            <w:vAlign w:val="bottom"/>
          </w:tcPr>
          <w:p w14:paraId="4F067B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7.7</w:t>
            </w:r>
          </w:p>
        </w:tc>
        <w:tc>
          <w:tcPr>
            <w:tcW w:w="303" w:type="pct"/>
            <w:tcBorders>
              <w:tl2br w:val="nil"/>
              <w:tr2bl w:val="nil"/>
            </w:tcBorders>
            <w:vAlign w:val="bottom"/>
          </w:tcPr>
          <w:p w14:paraId="1258D3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11.3</w:t>
            </w:r>
          </w:p>
        </w:tc>
        <w:tc>
          <w:tcPr>
            <w:tcW w:w="328" w:type="pct"/>
            <w:tcBorders>
              <w:tl2br w:val="nil"/>
              <w:tr2bl w:val="nil"/>
            </w:tcBorders>
            <w:vAlign w:val="bottom"/>
          </w:tcPr>
          <w:p w14:paraId="0C6626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15.9</w:t>
            </w:r>
          </w:p>
        </w:tc>
        <w:tc>
          <w:tcPr>
            <w:tcW w:w="270" w:type="pct"/>
            <w:tcBorders>
              <w:tl2br w:val="nil"/>
              <w:tr2bl w:val="nil"/>
            </w:tcBorders>
            <w:vAlign w:val="bottom"/>
          </w:tcPr>
          <w:p w14:paraId="60AFFE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w:t>
            </w:r>
          </w:p>
        </w:tc>
        <w:tc>
          <w:tcPr>
            <w:tcW w:w="299" w:type="pct"/>
            <w:tcBorders>
              <w:tl2br w:val="nil"/>
              <w:tr2bl w:val="nil"/>
            </w:tcBorders>
            <w:vAlign w:val="bottom"/>
          </w:tcPr>
          <w:p w14:paraId="489573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w:t>
            </w:r>
          </w:p>
        </w:tc>
      </w:tr>
    </w:tbl>
    <w:p w14:paraId="5266068D">
      <w:pPr>
        <w:pStyle w:val="53"/>
        <w:rPr>
          <w:rFonts w:ascii="Times New Roman" w:cs="Times New Roman"/>
          <w:color w:val="auto"/>
          <w:sz w:val="21"/>
          <w:szCs w:val="21"/>
        </w:rPr>
        <w:sectPr>
          <w:pgSz w:w="16838" w:h="11906" w:orient="landscape"/>
          <w:pgMar w:top="1417" w:right="1417" w:bottom="1417" w:left="1417" w:header="1191" w:footer="1191" w:gutter="0"/>
          <w:pgBorders>
            <w:top w:val="none" w:sz="0" w:space="0"/>
            <w:left w:val="none" w:sz="0" w:space="0"/>
            <w:bottom w:val="none" w:sz="0" w:space="0"/>
            <w:right w:val="none" w:sz="0" w:space="0"/>
          </w:pgBorders>
          <w:cols w:space="720" w:num="1"/>
          <w:docGrid w:linePitch="312" w:charSpace="0"/>
        </w:sectPr>
      </w:pPr>
      <w:r>
        <w:rPr>
          <w:rFonts w:ascii="Times New Roman" w:cs="Times New Roman"/>
          <w:color w:val="auto"/>
          <w:sz w:val="21"/>
          <w:szCs w:val="21"/>
        </w:rPr>
        <w:t>注：3、4、5月为春季，6、7、8月为夏季，9、10</w:t>
      </w:r>
      <w:r>
        <w:rPr>
          <w:rFonts w:hint="eastAsia" w:ascii="Times New Roman" w:cs="Times New Roman"/>
          <w:color w:val="auto"/>
          <w:sz w:val="21"/>
          <w:szCs w:val="21"/>
          <w:lang w:eastAsia="zh-CN"/>
        </w:rPr>
        <w:t>、</w:t>
      </w:r>
      <w:r>
        <w:rPr>
          <w:rFonts w:hint="eastAsia" w:ascii="Times New Roman" w:cs="Times New Roman"/>
          <w:color w:val="auto"/>
          <w:sz w:val="21"/>
          <w:szCs w:val="21"/>
          <w:lang w:val="en-US" w:eastAsia="zh-CN"/>
        </w:rPr>
        <w:t>11</w:t>
      </w:r>
      <w:r>
        <w:rPr>
          <w:rFonts w:ascii="Times New Roman" w:cs="Times New Roman"/>
          <w:color w:val="auto"/>
          <w:sz w:val="21"/>
          <w:szCs w:val="21"/>
        </w:rPr>
        <w:t>为秋季，12、1、2为冬季。</w:t>
      </w:r>
    </w:p>
    <w:p w14:paraId="2EF50D86">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5.1.4 水文及地质</w:t>
      </w:r>
    </w:p>
    <w:p w14:paraId="20A4A929">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5.1.4.1 水文情况</w:t>
      </w:r>
    </w:p>
    <w:p w14:paraId="567B81F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宝清县境内有中小河流32条，一般从西南顺地势流向东北，其中以挠力河干流为主，流经境内165km，其余均为其支流，主要有：七星河、宝石河、蛤蟆通河、七里沁河、索伦河、小索伦河、小挠力河、金沙河等。县域水资源极为丰富，河流泡沼遍布，地表水资源量7.38亿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，其中较大支流有内七星河、宝石河，31条支流全部汇入挠力河后在七星沁河口出境，汇入乌苏里江。</w:t>
      </w:r>
    </w:p>
    <w:p w14:paraId="5199068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挠力河发源于三江平原西南部七台河市境内哈达岭的黑山。由西南向东北流经宝清县、富锦市、饶河县，于饶河县东安镇附近汇入乌苏里江，全长596km，其中河源至宝清县城为上游，长183km；宝清县到菜咀子为中游，长283km；菜咀子到东安镇为下游，长130km。宝清站以上多为山区，面积为10363k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，宝清站以下大部分为平原，面积为14500km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。挠力河宝清站集水面积3689km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宝清县城以上河道比降陡，宝清县城以下比降逐渐变缓，一般在1/15000~1/37000之间。挠力河由西向东北流，纵贯宝清全境，境内长度165公里，流经富锦市、饶河县汇于乌苏里江。宝清水文站测验断面径流多年最高14.6×10</w:t>
      </w:r>
      <w:r>
        <w:rPr>
          <w:rFonts w:hint="default" w:ascii="Times New Roman" w:hAnsi="Times New Roman" w:eastAsia="宋体" w:cs="Times New Roman"/>
          <w:color w:val="auto"/>
          <w:sz w:val="24"/>
          <w:szCs w:val="24"/>
          <w:highlight w:val="none"/>
          <w:vertAlign w:val="superscript"/>
          <w:lang w:val="en-US" w:eastAsia="zh-CN"/>
        </w:rPr>
        <w:t>8</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 xml:space="preserve"> ，多年最低0.75×10</w:t>
      </w:r>
      <w:r>
        <w:rPr>
          <w:rFonts w:hint="default" w:ascii="Times New Roman" w:hAnsi="Times New Roman" w:eastAsia="宋体" w:cs="Times New Roman"/>
          <w:color w:val="auto"/>
          <w:sz w:val="24"/>
          <w:szCs w:val="24"/>
          <w:highlight w:val="none"/>
          <w:vertAlign w:val="superscript"/>
          <w:lang w:val="en-US" w:eastAsia="zh-CN"/>
        </w:rPr>
        <w:t>8</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，多年平均6.1×10</w:t>
      </w:r>
      <w:r>
        <w:rPr>
          <w:rFonts w:hint="default" w:ascii="Times New Roman" w:hAnsi="Times New Roman" w:eastAsia="宋体" w:cs="Times New Roman"/>
          <w:color w:val="auto"/>
          <w:sz w:val="24"/>
          <w:szCs w:val="24"/>
          <w:highlight w:val="none"/>
          <w:vertAlign w:val="superscript"/>
          <w:lang w:val="en-US" w:eastAsia="zh-CN"/>
        </w:rPr>
        <w:t>8</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流域内多年平均降水量在500～600mm之间，降水量的年内分配不均匀，全年降水的65%～75%集中6～9月，非汛期8个月的降水量只占全年降水量的25%～35%。挠力河水系φ20cm蒸发皿年水面蒸发在950～1400mm之间，上游地区年蒸发量大于下游地区。冬季气温低，蒸发量小，最小月蒸发量不足年蒸发量的0.8%，随着气温升高，风速加大，蒸发量显著增大。挠力河水系上游有条块森林和次生林，中下游为农作物及草甸子，植被较好，含沙量较小，水系多年平均含沙量为4.5k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挠力河水系地处黑龙江省东北部，直接受台风影响机会少，主要受河套低压、华北低压的影响，形成的暴雨具有量级较小、面积不大、历时较短的特点。流域内最大24h降雨量为161.7mm，是当年降水量(679.9mm)的23.9%。</w:t>
      </w:r>
    </w:p>
    <w:p w14:paraId="5E4F002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蛤蟆通河为宝清县和农场界河，挠力河支流，由南流向北，在四合屯处折向西北，在河口处折向正北，全长150.3km，流域面积1174km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，流经八五二农场的一、二、六分场。蛤蟆通河发源于完达山蛤蟆通顶，上游山区坡降陡，水流湍急，自四合屯以下流出谷地后滩地开阔，坡降变缓，河道弯曲系数1.9，河宽10～20 米，河深1.5～2.5米，坡降1/5000～1/8000，蛤蟆通河出口处受挠力河顶托。对于蛤蟆通而言，枯水期为10月至次年4月，枯水期时基本断流，枯水位按河底高程确定。</w:t>
      </w:r>
    </w:p>
    <w:p w14:paraId="02C4040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宝清县境内（包括农场）共有大小水库29座，其中县属2座，一是龙头桥水库，水库控制流域面积1730km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，总库容6.15亿m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，兴利库容3.25亿m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；二是红新水库，库容112万m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w:t>
      </w:r>
    </w:p>
    <w:p w14:paraId="7DEF83FD">
      <w:pPr>
        <w:ind w:firstLine="0" w:firstLineChars="0"/>
        <w:jc w:val="center"/>
        <w:rPr>
          <w:color w:val="auto"/>
        </w:rPr>
      </w:pPr>
      <w:r>
        <w:rPr>
          <w:color w:val="auto"/>
          <w:position w:val="-124"/>
        </w:rPr>
        <w:drawing>
          <wp:inline distT="0" distB="0" distL="0" distR="0">
            <wp:extent cx="5432425" cy="3942080"/>
            <wp:effectExtent l="0" t="0" r="3175" b="7620"/>
            <wp:docPr id="11" name="IM 56"/>
            <wp:cNvGraphicFramePr/>
            <a:graphic xmlns:a="http://schemas.openxmlformats.org/drawingml/2006/main">
              <a:graphicData uri="http://schemas.openxmlformats.org/drawingml/2006/picture">
                <pic:pic xmlns:pic="http://schemas.openxmlformats.org/drawingml/2006/picture">
                  <pic:nvPicPr>
                    <pic:cNvPr id="11" name="IM 56"/>
                    <pic:cNvPicPr/>
                  </pic:nvPicPr>
                  <pic:blipFill>
                    <a:blip r:embed="rId79"/>
                    <a:stretch>
                      <a:fillRect/>
                    </a:stretch>
                  </pic:blipFill>
                  <pic:spPr>
                    <a:xfrm>
                      <a:off x="0" y="0"/>
                      <a:ext cx="5433059" cy="3942588"/>
                    </a:xfrm>
                    <a:prstGeom prst="rect">
                      <a:avLst/>
                    </a:prstGeom>
                  </pic:spPr>
                </pic:pic>
              </a:graphicData>
            </a:graphic>
          </wp:inline>
        </w:drawing>
      </w:r>
    </w:p>
    <w:p w14:paraId="406554FF">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图</w:t>
      </w:r>
      <w:r>
        <w:rPr>
          <w:rFonts w:hint="eastAsia" w:eastAsia="宋体" w:cs="Times New Roman"/>
          <w:b/>
          <w:bCs/>
          <w:color w:val="auto"/>
          <w:sz w:val="24"/>
          <w:szCs w:val="24"/>
          <w:lang w:val="en-US" w:eastAsia="zh-CN"/>
        </w:rPr>
        <w:t>5.1</w:t>
      </w:r>
      <w:r>
        <w:rPr>
          <w:rFonts w:hint="eastAsia" w:ascii="Times New Roman" w:hAnsi="Times New Roman" w:eastAsia="宋体" w:cs="Times New Roman"/>
          <w:b/>
          <w:bCs/>
          <w:color w:val="auto"/>
          <w:sz w:val="24"/>
          <w:szCs w:val="24"/>
          <w:lang w:val="en-US" w:eastAsia="zh-CN"/>
        </w:rPr>
        <w:t>-</w:t>
      </w:r>
      <w:r>
        <w:rPr>
          <w:rFonts w:hint="eastAsia" w:eastAsia="宋体" w:cs="Times New Roman"/>
          <w:b/>
          <w:bCs/>
          <w:color w:val="auto"/>
          <w:sz w:val="24"/>
          <w:szCs w:val="24"/>
          <w:lang w:val="en-US" w:eastAsia="zh-CN"/>
        </w:rPr>
        <w:t>7</w:t>
      </w:r>
      <w:r>
        <w:rPr>
          <w:rFonts w:hint="eastAsia" w:ascii="Times New Roman" w:hAnsi="Times New Roman" w:eastAsia="宋体" w:cs="Times New Roman"/>
          <w:b/>
          <w:bCs/>
          <w:color w:val="auto"/>
          <w:sz w:val="24"/>
          <w:szCs w:val="24"/>
          <w:lang w:val="en-US" w:eastAsia="zh-CN"/>
        </w:rPr>
        <w:t xml:space="preserve">  地表水系图</w:t>
      </w:r>
    </w:p>
    <w:p w14:paraId="32D641A4">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5.1.4.2 厂区地质概况</w:t>
      </w:r>
    </w:p>
    <w:p w14:paraId="4DAC46B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根据现有《八五二农场新建供热中心场地岩土工程勘察报告》，对厂区进行了钻探勘察工作，具体情况如下：</w:t>
      </w:r>
    </w:p>
    <w:p w14:paraId="69B521C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w:t>
      </w:r>
      <w:r>
        <w:rPr>
          <w:rFonts w:hint="eastAsia" w:ascii="Times New Roman" w:hAnsi="Times New Roman" w:eastAsia="宋体" w:cs="Times New Roman"/>
          <w:color w:val="auto"/>
          <w:sz w:val="24"/>
          <w:szCs w:val="24"/>
          <w:highlight w:val="none"/>
          <w:lang w:val="en-US" w:eastAsia="zh-CN"/>
        </w:rPr>
        <w:t>钻探、原位测试及室内土工试验，将地基土划分为下列各层</w:t>
      </w:r>
      <w:r>
        <w:rPr>
          <w:rFonts w:hint="default" w:ascii="Times New Roman" w:hAnsi="Times New Roman" w:eastAsia="宋体" w:cs="Times New Roman"/>
          <w:color w:val="auto"/>
          <w:sz w:val="24"/>
          <w:szCs w:val="24"/>
          <w:highlight w:val="none"/>
          <w:lang w:val="en-US" w:eastAsia="zh-CN"/>
        </w:rPr>
        <w:t>：</w:t>
      </w:r>
    </w:p>
    <w:p w14:paraId="7DBA5F0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①层耕植土：黑灰色，主要由粉质粘土组成，含少量植物根系。厚度0.20~0.30m。目前厂区内地面已进行硬化。</w:t>
      </w:r>
    </w:p>
    <w:p w14:paraId="2E03191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粉质粘土：黄褐色-黄灰色，局部红褐色，土质较均匀，含铁质结核，稍湿，硬塑~坚硬。无摇振反应，稍有光泽，干强度高，韧性高。为弱冻胀、中压缩性土，冻胀等级为Ⅱ级。顶板最小埋深0.20m，底板最大埋深2.40m。</w:t>
      </w:r>
    </w:p>
    <w:p w14:paraId="233103D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③含砾粉质粘土：黄褐色，土质较均匀，含铁质结核，稍湿，硬塑~坚硬。无摇振反应，稍有光泽，干强度高，韧性高。顶板最小埋深0.70m，底板最大埋深7.00m。</w:t>
      </w:r>
    </w:p>
    <w:p w14:paraId="6A895C0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④含砾粉土：黄褐色，色较杂，很湿~湿，稍密~中密。由细颗粒土（粉土）和粗颗粒土（砾石）混杂沉积，含砾石直径2~3cm，约占15-20%以上，砾石组织结构全部风化破坏，已风化成土状，用手易捻碎，吸水性很强。干钻易钻进，具可塑性。顶板最小埋深4.50m，底板最大埋深26.50m。</w:t>
      </w:r>
    </w:p>
    <w:p w14:paraId="0F85F94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⑤强风化粗砂岩：黄色~黄褐色，结构大部分破坏，矿物成分显著变化，风化裂隙很发育，冲击钻进呈砂状，局部冲击钻进较困难，此层无地下水。顶板最小埋深26.50m，底板未揭穿。</w:t>
      </w:r>
    </w:p>
    <w:p w14:paraId="5EDF743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5.1.4.3 区域水文地质条件</w:t>
      </w:r>
    </w:p>
    <w:p w14:paraId="31A0438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（1）地下水类型及其含水系统分布</w:t>
      </w:r>
    </w:p>
    <w:p w14:paraId="03D79B9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宝清县地下水的形成与分布除受气象水文条件影响外，还受地层岩性及地质构造条件的控制。根据含水介质岩性和含水空隙类型，将区内地下水划分为：</w:t>
      </w:r>
    </w:p>
    <w:p w14:paraId="220F84E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1）第四系松散岩类孔隙水</w:t>
      </w:r>
    </w:p>
    <w:p w14:paraId="18AF3C4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挠力河低平原第四纪以来一直处于间歇性沉积运动，形成一套不同成因的第四系积物，最厚处可达120m左右。由于颗粒松散，含水层厚，其中蕴藏着丰富的孔隙水除部分地区外，第四系上部普遍覆盖25m的粘性土，从山前台地向低平原中部方向由厚变薄，地下水类型由承压水过渡到微承压水(局部地区为潜水)，含水岩给由中更新统至全新统冲积、冲湖积、冲洪积砂、砂砾石组成。由于不同时代与成因的堆积物呈上迭结构，中部无明显的隔水层，形成统一的含水系统。含水岩组的富水性主要受岩性分选程度、厚度控制。一般从山前向低平原中部含水岩组由厚层粉质粘土夹薄层粉细砂到较单一的砂砾石。粒径由小到大；泥质由多到较纯；含水层由薄逐渐增厚。富水性相应地呈现出从弱到强的分带规律，单井涌水量从100-5000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/d。在横向上近河道粒径大，含水层厚；远离河道粒径小，含水层薄。富水性亦从强逐渐减弱。</w:t>
      </w:r>
    </w:p>
    <w:p w14:paraId="299DB9D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2）碎屑岩类裂隙孔隙水</w:t>
      </w:r>
    </w:p>
    <w:p w14:paraId="5EC8A67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主要分布于第三系沉积岩之中，含水层由富锦组泥质粉细砂岩、含砾砂岩组成。由于成岩作用不好，赋存裂隙孔隙水，在含水层上部有一层10-20m稳定的泥岩隔水顶板，故地下水有承压性，形成承压水盆地，顶板埋深30-130m，从盆地边缘向盆地中心逐渐变深，承压水头从18.58-107.70m。含水层富水性受盆地岩相控制，即从盆地两侧的河流相变为中部的湖相。富水性中部&lt;100m3/d，两侧100-1000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/d。</w:t>
      </w:r>
    </w:p>
    <w:p w14:paraId="7CAF91C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3）基岩风化裂隙水</w:t>
      </w:r>
    </w:p>
    <w:p w14:paraId="018FD7B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在南部山区分布古生界变质岩、中生界火山岩、第三系玄武岩以及华力西期与燕山期花岗岩。在各种内外应力作用下，形成不同性质的裂隙，为地下水的储存和运移提供了蓄存空间和径流通道。基岩裂隙水中分为：构造裂隙水、风化裂隙水、玄武岩孔洞裂隙水。</w:t>
      </w:r>
    </w:p>
    <w:p w14:paraId="2EE20DE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（2）地下水补给与排泄</w:t>
      </w:r>
    </w:p>
    <w:p w14:paraId="7CA00EC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宝清县地下水补给、径流、排泄条件主要受气象、水文、地貌、地质等诸多因素所控制。</w:t>
      </w:r>
    </w:p>
    <w:p w14:paraId="5229E4C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1）松散岩类孔隙水补给、径流、排泄条件</w:t>
      </w:r>
    </w:p>
    <w:p w14:paraId="178F969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广大低平原中部，地面坡降小，表层粘性土较薄，有利于大气降水入渗，加之平原上零星分布的残丘、砂岗、砂丘以及砂砾石直接出露地表的“天窗”皆可接受大气降水的入渗。地下水位升高的时间与汛期及雨季的时间基本一致，大气降水为低平原地下水主要补给来源。</w:t>
      </w:r>
    </w:p>
    <w:p w14:paraId="28AADB2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山前台地表层粘性土直接覆于基岩之上，在一定程度上减弱了山区地下水流向平原的侧向径流量，仅在砂砾石与基岩直接接触处侧向补给才起主导作用。</w:t>
      </w:r>
    </w:p>
    <w:p w14:paraId="0C6E384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本区河流从山区进入平原后，迂回曲折，河床浅平，每到汛期，雨季水量增加，河水漫溢淹没地表，滞留于沿河两侧低处，形成大面积沼泽，故河流与长期积于地面的地表水，透过粘性土层，补给地下水。</w:t>
      </w:r>
    </w:p>
    <w:p w14:paraId="585A3BA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综上所述，低平原区地下水补给来源以垂向补给为主，基岩裂隙水侧向补给为辅，向河谷方向径流排泄，人工开采及地下水蒸发亦是排泄的主要方式之一。</w:t>
      </w:r>
    </w:p>
    <w:p w14:paraId="03975F4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2）碎屑岩类裂隙孔隙水补给、径流、排泄条件</w:t>
      </w:r>
    </w:p>
    <w:p w14:paraId="1225845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由于该岩组埋藏较深，所以其周边基岩裂隙水的侧向径流补给是该含水层的主要补给来源，地下水主要通过径流方式排泄，排泄方向是由周边向盆地中心径流，有的以泉的形式排泄。</w:t>
      </w:r>
    </w:p>
    <w:p w14:paraId="5C4D848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3）基岩裂隙水的补给、径流、排泄条件</w:t>
      </w:r>
    </w:p>
    <w:p w14:paraId="51E756A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大气降水是基岩裂隙水的唯一补给来源，在其接受大气降水补给后，绝大部分就地或短途流向平原区，以泉的形式排出地表入河流。同时又有一部分潜流至沟谷的第四系砂砾石含水层，补给低平原地下水。在基岩与第三纪含水层直接接触时，尚有一部分地下水以侧向径流方式排泄。</w:t>
      </w:r>
    </w:p>
    <w:p w14:paraId="32971BC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5.1.5 自然资源</w:t>
      </w:r>
    </w:p>
    <w:p w14:paraId="51B943A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宝清县湿地资源占三江平原湿地总面积的40%左右，占全省湿地面积的15%。其中，2万hm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的七星河湿地自然保护区和1.6万hm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的部分挠力河湿地自然保护区，是三江平原保存最完善、最具代表性、典型性的湿地景观，现已经相继晋升为国家级自然保护区，1.9万hm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的东升湿地自然保护区晋升为省级自然保护区。区内有从低等到高等野生植物500余种、野生动物200余种，形成了野生动植物基因库和生物多样化繁殖基地，是我国东北三江平原原始湿地的缩影，是生态旅游的最佳场所。近几年由于湿地周边农业活动，湿地水分减少，稳定性受到影响，正在向草甸方向演化，因此必须加强对湿地的保护。</w:t>
      </w:r>
    </w:p>
    <w:p w14:paraId="1609E85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宝清县森林资源丰富，总经营面积15.5万hm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，其中有林地面积9.9万hm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，森林覆盖率46.3%，森林蓄积量1600万m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。其中，用材林（商品林）面积27870hm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，防护林面积70149hm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。防护林中纳入重点生态公益林（国家级生态林）面积6756hm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w:t>
      </w:r>
    </w:p>
    <w:p w14:paraId="218A488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宝清县境内藏有大量的煤炭资源，并且相对集中分布。宝清县煤炭总储量86亿t，占黑龙江省总储量的近45%，被列为全国14个煤炭重点矿区之一。宝清县是国家11个重点煤炭开发区和七个煤化工基地之一。煤炭储量86亿t，主要煤种有焦煤、褐煤、长焰煤、气煤等。储量在5000万吨以上的大煤田10个。主要分布在岚峰矿区、小城子矿区、西山煤矿、义合矿区、三合矿区、上游区、龙头矿区、索伦矿区、宝密区、千山区(含原十八里区)、方盛区、朝阳区、双柳区、七星河南区、七星河区及双河镇预测区等十六个煤区。</w:t>
      </w:r>
    </w:p>
    <w:p w14:paraId="3A379AA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宝清县石油、天然气储量大于10亿t，其中天然气储量大于600亿m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。硅藻土储量超过2亿t。</w:t>
      </w:r>
    </w:p>
    <w:p w14:paraId="7951899E">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361" w:name="_Toc28498"/>
      <w:bookmarkStart w:id="362" w:name="_Toc1263"/>
      <w:r>
        <w:rPr>
          <w:rFonts w:hint="eastAsia" w:ascii="Times New Roman" w:hAnsi="Times New Roman" w:cs="Times New Roman"/>
          <w:b/>
          <w:bCs/>
          <w:color w:val="auto"/>
          <w:lang w:val="en-US" w:eastAsia="zh-CN"/>
        </w:rPr>
        <w:t xml:space="preserve">5.2 </w:t>
      </w:r>
      <w:r>
        <w:rPr>
          <w:rFonts w:hint="default" w:ascii="Times New Roman" w:hAnsi="Times New Roman" w:eastAsia="宋体" w:cs="Times New Roman"/>
          <w:b/>
          <w:bCs/>
          <w:color w:val="auto"/>
        </w:rPr>
        <w:t>环境质量现状调查与评价</w:t>
      </w:r>
      <w:bookmarkEnd w:id="361"/>
      <w:bookmarkEnd w:id="362"/>
    </w:p>
    <w:p w14:paraId="7C4F98F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63" w:name="_Toc107238149"/>
      <w:bookmarkStart w:id="364" w:name="_Toc10075"/>
      <w:bookmarkStart w:id="365" w:name="_Toc14959"/>
      <w:bookmarkStart w:id="366" w:name="_Toc105659932"/>
      <w:bookmarkStart w:id="367" w:name="_Toc12634"/>
      <w:bookmarkStart w:id="368" w:name="_Toc3639"/>
      <w:r>
        <w:rPr>
          <w:rFonts w:hint="eastAsia" w:ascii="Times New Roman" w:hAnsi="Times New Roman" w:cs="Times New Roman"/>
          <w:b/>
          <w:bCs/>
          <w:color w:val="auto"/>
          <w:sz w:val="28"/>
          <w:szCs w:val="28"/>
          <w:lang w:val="en-US" w:eastAsia="zh-CN"/>
        </w:rPr>
        <w:t>5.2.1 环境空气质量现状调查与评价</w:t>
      </w:r>
      <w:bookmarkEnd w:id="363"/>
      <w:bookmarkEnd w:id="364"/>
      <w:bookmarkEnd w:id="365"/>
      <w:bookmarkEnd w:id="366"/>
      <w:bookmarkEnd w:id="367"/>
      <w:bookmarkEnd w:id="368"/>
    </w:p>
    <w:p w14:paraId="0989F72C">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w:t>
      </w:r>
      <w:r>
        <w:rPr>
          <w:rFonts w:hint="default" w:ascii="Times New Roman" w:hAnsi="Times New Roman" w:eastAsia="宋体" w:cs="Times New Roman"/>
          <w:b/>
          <w:bCs w:val="0"/>
          <w:color w:val="auto"/>
          <w:sz w:val="24"/>
          <w:szCs w:val="24"/>
          <w:lang w:val="en-US" w:eastAsia="zh-CN"/>
        </w:rPr>
        <w:t>.</w:t>
      </w:r>
      <w:r>
        <w:rPr>
          <w:rFonts w:hint="eastAsia" w:ascii="Times New Roman" w:hAnsi="Times New Roman" w:eastAsia="宋体" w:cs="Times New Roman"/>
          <w:b/>
          <w:bCs w:val="0"/>
          <w:color w:val="auto"/>
          <w:sz w:val="24"/>
          <w:szCs w:val="24"/>
          <w:lang w:val="en-US" w:eastAsia="zh-CN"/>
        </w:rPr>
        <w:t>2</w:t>
      </w:r>
      <w:r>
        <w:rPr>
          <w:rFonts w:hint="default" w:ascii="Times New Roman" w:hAnsi="Times New Roman" w:eastAsia="宋体" w:cs="Times New Roman"/>
          <w:b/>
          <w:bCs w:val="0"/>
          <w:color w:val="auto"/>
          <w:sz w:val="24"/>
          <w:szCs w:val="24"/>
          <w:lang w:val="en-US" w:eastAsia="zh-CN"/>
        </w:rPr>
        <w:t>.1.1 空气质量达标区判定</w:t>
      </w:r>
    </w:p>
    <w:p w14:paraId="7B45789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 xml:space="preserve">根据《环境影响评价技术导则 </w:t>
      </w:r>
      <w:r>
        <w:rPr>
          <w:rFonts w:hint="eastAsia" w:ascii="Times New Roman" w:hAnsi="Times New Roman" w:eastAsia="宋体" w:cs="Times New Roman"/>
          <w:color w:val="auto"/>
          <w:sz w:val="24"/>
          <w:szCs w:val="24"/>
          <w:highlight w:val="none"/>
          <w:lang w:val="en-US" w:eastAsia="zh-CN"/>
        </w:rPr>
        <w:t xml:space="preserve"> </w:t>
      </w:r>
      <w:r>
        <w:rPr>
          <w:rFonts w:hint="default" w:ascii="Times New Roman" w:hAnsi="Times New Roman" w:eastAsia="宋体" w:cs="Times New Roman"/>
          <w:color w:val="auto"/>
          <w:sz w:val="24"/>
          <w:szCs w:val="24"/>
          <w:highlight w:val="none"/>
          <w:lang w:val="en-US" w:eastAsia="zh-CN"/>
        </w:rPr>
        <w:t>大气环境》（HJ2.2-2018），城市环境空气质量达标情况评价指标为SO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、NO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、PM</w:t>
      </w:r>
      <w:r>
        <w:rPr>
          <w:rFonts w:hint="default" w:ascii="Times New Roman" w:hAnsi="Times New Roman" w:eastAsia="宋体" w:cs="Times New Roman"/>
          <w:color w:val="auto"/>
          <w:sz w:val="24"/>
          <w:szCs w:val="24"/>
          <w:highlight w:val="none"/>
          <w:vertAlign w:val="subscript"/>
          <w:lang w:val="en-US" w:eastAsia="zh-CN"/>
        </w:rPr>
        <w:t>10</w:t>
      </w:r>
      <w:r>
        <w:rPr>
          <w:rFonts w:hint="default" w:ascii="Times New Roman" w:hAnsi="Times New Roman" w:eastAsia="宋体" w:cs="Times New Roman"/>
          <w:color w:val="auto"/>
          <w:sz w:val="24"/>
          <w:szCs w:val="24"/>
          <w:highlight w:val="none"/>
          <w:lang w:val="en-US" w:eastAsia="zh-CN"/>
        </w:rPr>
        <w:t>、PM</w:t>
      </w:r>
      <w:r>
        <w:rPr>
          <w:rFonts w:hint="default" w:ascii="Times New Roman" w:hAnsi="Times New Roman" w:eastAsia="宋体" w:cs="Times New Roman"/>
          <w:color w:val="auto"/>
          <w:sz w:val="24"/>
          <w:szCs w:val="24"/>
          <w:highlight w:val="none"/>
          <w:vertAlign w:val="subscript"/>
          <w:lang w:val="en-US" w:eastAsia="zh-CN"/>
        </w:rPr>
        <w:t>2.5</w:t>
      </w:r>
      <w:r>
        <w:rPr>
          <w:rFonts w:hint="default" w:ascii="Times New Roman" w:hAnsi="Times New Roman" w:eastAsia="宋体" w:cs="Times New Roman"/>
          <w:color w:val="auto"/>
          <w:sz w:val="24"/>
          <w:szCs w:val="24"/>
          <w:highlight w:val="none"/>
          <w:lang w:val="en-US" w:eastAsia="zh-CN"/>
        </w:rPr>
        <w:t>、CO和O</w:t>
      </w:r>
      <w:r>
        <w:rPr>
          <w:rFonts w:hint="default" w:ascii="Times New Roman" w:hAnsi="Times New Roman" w:eastAsia="宋体" w:cs="Times New Roman"/>
          <w:color w:val="auto"/>
          <w:sz w:val="24"/>
          <w:szCs w:val="24"/>
          <w:highlight w:val="none"/>
          <w:vertAlign w:val="subscript"/>
          <w:lang w:val="en-US" w:eastAsia="zh-CN"/>
        </w:rPr>
        <w:t>3</w:t>
      </w:r>
      <w:r>
        <w:rPr>
          <w:rFonts w:hint="default" w:ascii="Times New Roman" w:hAnsi="Times New Roman" w:eastAsia="宋体" w:cs="Times New Roman"/>
          <w:color w:val="auto"/>
          <w:sz w:val="24"/>
          <w:szCs w:val="24"/>
          <w:highlight w:val="none"/>
          <w:lang w:val="en-US" w:eastAsia="zh-CN"/>
        </w:rPr>
        <w:t>，六项污染物全部达标即为城市环境空气质量达标。项目所在区域达标判定，优先采用国家或地方生态环境主管部门公开发布的评价基准年环境质量公告或环境质量报告中的数据或结论。根据《2024年双鸭山市环境空气质量状况》，双鸭山市区环境空气执行《环境空气质量标准》（GB3095-20</w:t>
      </w:r>
      <w:r>
        <w:rPr>
          <w:rFonts w:hint="eastAsia" w:ascii="Times New Roman" w:hAnsi="Times New Roman" w:eastAsia="宋体" w:cs="Times New Roman"/>
          <w:color w:val="auto"/>
          <w:sz w:val="24"/>
          <w:szCs w:val="24"/>
          <w:highlight w:val="none"/>
          <w:lang w:val="en-US" w:eastAsia="zh-CN"/>
        </w:rPr>
        <w:t>26</w:t>
      </w:r>
      <w:r>
        <w:rPr>
          <w:rFonts w:hint="default" w:ascii="Times New Roman" w:hAnsi="Times New Roman" w:eastAsia="宋体" w:cs="Times New Roman"/>
          <w:color w:val="auto"/>
          <w:sz w:val="24"/>
          <w:szCs w:val="24"/>
          <w:highlight w:val="none"/>
          <w:lang w:val="en-US" w:eastAsia="zh-CN"/>
        </w:rPr>
        <w:t>）中</w:t>
      </w:r>
      <w:r>
        <w:rPr>
          <w:rFonts w:hint="eastAsia" w:ascii="Times New Roman" w:hAnsi="Times New Roman" w:eastAsia="宋体" w:cs="Times New Roman"/>
          <w:color w:val="auto"/>
          <w:sz w:val="24"/>
          <w:szCs w:val="24"/>
          <w:highlight w:val="none"/>
          <w:lang w:val="en-US" w:eastAsia="zh-CN"/>
        </w:rPr>
        <w:t>过渡期</w:t>
      </w:r>
      <w:r>
        <w:rPr>
          <w:rFonts w:hint="default" w:ascii="Times New Roman" w:hAnsi="Times New Roman" w:eastAsia="宋体" w:cs="Times New Roman"/>
          <w:color w:val="auto"/>
          <w:sz w:val="24"/>
          <w:szCs w:val="24"/>
          <w:highlight w:val="none"/>
          <w:lang w:val="en-US" w:eastAsia="zh-CN"/>
        </w:rPr>
        <w:t>二级标准。2024年，双鸭山市区监测天数为366天，达标天数为352天。本年空气质量一级优236天，二级良116天，三级轻度污染10天，四至六级中度、重度、严重污染4天，优良率96.17%。</w:t>
      </w:r>
      <w:r>
        <w:rPr>
          <w:rFonts w:hint="eastAsia" w:ascii="Times New Roman" w:hAnsi="Times New Roman" w:eastAsia="宋体" w:cs="Times New Roman"/>
          <w:color w:val="auto"/>
          <w:sz w:val="24"/>
          <w:szCs w:val="24"/>
          <w:highlight w:val="none"/>
          <w:lang w:val="en-US" w:eastAsia="zh-CN"/>
        </w:rPr>
        <w:t>双鸭山市各污染物年均浓度情况为：</w:t>
      </w:r>
      <w:r>
        <w:rPr>
          <w:rFonts w:hint="default" w:ascii="Times New Roman" w:hAnsi="Times New Roman" w:eastAsia="宋体" w:cs="Times New Roman"/>
          <w:color w:val="auto"/>
          <w:sz w:val="24"/>
          <w:szCs w:val="24"/>
          <w:highlight w:val="none"/>
          <w:lang w:val="en-US" w:eastAsia="zh-CN"/>
        </w:rPr>
        <w:t>PM</w:t>
      </w:r>
      <w:r>
        <w:rPr>
          <w:rFonts w:hint="default" w:ascii="Times New Roman" w:hAnsi="Times New Roman" w:eastAsia="宋体" w:cs="Times New Roman"/>
          <w:color w:val="auto"/>
          <w:sz w:val="24"/>
          <w:szCs w:val="24"/>
          <w:highlight w:val="none"/>
          <w:vertAlign w:val="subscript"/>
          <w:lang w:val="en-US" w:eastAsia="zh-CN"/>
        </w:rPr>
        <w:t>2.5</w:t>
      </w:r>
      <w:r>
        <w:rPr>
          <w:rFonts w:hint="default" w:ascii="Times New Roman" w:hAnsi="Times New Roman" w:eastAsia="宋体" w:cs="Times New Roman"/>
          <w:color w:val="auto"/>
          <w:sz w:val="24"/>
          <w:szCs w:val="24"/>
          <w:highlight w:val="none"/>
          <w:lang w:val="en-US" w:eastAsia="zh-CN"/>
        </w:rPr>
        <w:t>、PM</w:t>
      </w:r>
      <w:r>
        <w:rPr>
          <w:rFonts w:hint="default" w:ascii="Times New Roman" w:hAnsi="Times New Roman" w:eastAsia="宋体" w:cs="Times New Roman"/>
          <w:color w:val="auto"/>
          <w:sz w:val="24"/>
          <w:szCs w:val="24"/>
          <w:highlight w:val="none"/>
          <w:vertAlign w:val="subscript"/>
          <w:lang w:val="en-US" w:eastAsia="zh-CN"/>
        </w:rPr>
        <w:t>10</w:t>
      </w:r>
      <w:r>
        <w:rPr>
          <w:rFonts w:hint="eastAsia" w:ascii="Times New Roman" w:hAnsi="Times New Roman" w:eastAsia="宋体" w:cs="Times New Roman"/>
          <w:color w:val="auto"/>
          <w:sz w:val="24"/>
          <w:szCs w:val="24"/>
          <w:highlight w:val="none"/>
          <w:lang w:val="en-US" w:eastAsia="zh-CN"/>
        </w:rPr>
        <w:t>、SO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、NO</w:t>
      </w:r>
      <w:r>
        <w:rPr>
          <w:rFonts w:hint="eastAsia"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年平均浓度值分别为</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7μg/m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43</w:t>
      </w:r>
      <w:r>
        <w:rPr>
          <w:rFonts w:hint="default" w:ascii="Times New Roman" w:hAnsi="Times New Roman" w:eastAsia="宋体" w:cs="Times New Roman"/>
          <w:color w:val="auto"/>
          <w:sz w:val="24"/>
          <w:szCs w:val="24"/>
          <w:highlight w:val="none"/>
          <w:lang w:val="en-US" w:eastAsia="zh-CN"/>
        </w:rPr>
        <w:t>μg/m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11</w:t>
      </w:r>
      <w:r>
        <w:rPr>
          <w:rFonts w:hint="default" w:ascii="Times New Roman" w:hAnsi="Times New Roman" w:eastAsia="宋体" w:cs="Times New Roman"/>
          <w:color w:val="auto"/>
          <w:sz w:val="24"/>
          <w:szCs w:val="24"/>
          <w:highlight w:val="none"/>
          <w:lang w:val="en-US" w:eastAsia="zh-CN"/>
        </w:rPr>
        <w:t>μg/m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15</w:t>
      </w:r>
      <w:r>
        <w:rPr>
          <w:rFonts w:hint="default" w:ascii="Times New Roman" w:hAnsi="Times New Roman" w:eastAsia="宋体" w:cs="Times New Roman"/>
          <w:color w:val="auto"/>
          <w:sz w:val="24"/>
          <w:szCs w:val="24"/>
          <w:highlight w:val="none"/>
          <w:lang w:val="en-US" w:eastAsia="zh-CN"/>
        </w:rPr>
        <w:t>μg/m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CO24小时平均第95百分位数平均值为0.9mg/m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。O</w:t>
      </w:r>
      <w:r>
        <w:rPr>
          <w:rFonts w:hint="eastAsia" w:ascii="Times New Roman" w:hAnsi="Times New Roman" w:eastAsia="宋体" w:cs="Times New Roman"/>
          <w:color w:val="auto"/>
          <w:sz w:val="24"/>
          <w:szCs w:val="24"/>
          <w:highlight w:val="none"/>
          <w:vertAlign w:val="subscript"/>
          <w:lang w:val="en-US" w:eastAsia="zh-CN"/>
        </w:rPr>
        <w:t>3</w:t>
      </w:r>
      <w:r>
        <w:rPr>
          <w:rFonts w:hint="default" w:ascii="Times New Roman" w:hAnsi="Times New Roman" w:eastAsia="宋体" w:cs="Times New Roman"/>
          <w:color w:val="auto"/>
          <w:sz w:val="24"/>
          <w:szCs w:val="24"/>
          <w:highlight w:val="none"/>
          <w:lang w:val="en-US" w:eastAsia="zh-CN"/>
        </w:rPr>
        <w:t>日最大8小时平均值的第90百分位数为10</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μg/m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。六项指标全部符合国家二级标准，城区环境空气质量达标，为达标区。</w:t>
      </w:r>
    </w:p>
    <w:p w14:paraId="1249BD7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1</w:t>
      </w:r>
      <w:r>
        <w:rPr>
          <w:rFonts w:hint="default" w:ascii="Times New Roman" w:hAnsi="Times New Roman" w:eastAsia="宋体" w:cs="Times New Roman"/>
          <w:b/>
          <w:bCs/>
          <w:color w:val="auto"/>
          <w:sz w:val="24"/>
          <w:szCs w:val="24"/>
          <w:lang w:eastAsia="zh-CN"/>
        </w:rPr>
        <w:t xml:space="preserve">  区域空气质量现状评价表</w:t>
      </w:r>
    </w:p>
    <w:tbl>
      <w:tblPr>
        <w:tblStyle w:val="4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787"/>
        <w:gridCol w:w="4292"/>
        <w:gridCol w:w="1137"/>
        <w:gridCol w:w="1137"/>
        <w:gridCol w:w="787"/>
        <w:gridCol w:w="547"/>
      </w:tblGrid>
      <w:tr w14:paraId="7E58E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0" w:hRule="atLeast"/>
        </w:trPr>
        <w:tc>
          <w:tcPr>
            <w:tcW w:w="453" w:type="pct"/>
            <w:tcBorders>
              <w:tl2br w:val="nil"/>
              <w:tr2bl w:val="nil"/>
            </w:tcBorders>
            <w:noWrap/>
            <w:vAlign w:val="center"/>
          </w:tcPr>
          <w:p w14:paraId="5E4A7F4E">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污染物</w:t>
            </w:r>
          </w:p>
        </w:tc>
        <w:tc>
          <w:tcPr>
            <w:tcW w:w="2469" w:type="pct"/>
            <w:tcBorders>
              <w:tl2br w:val="nil"/>
              <w:tr2bl w:val="nil"/>
            </w:tcBorders>
            <w:noWrap/>
            <w:vAlign w:val="center"/>
          </w:tcPr>
          <w:p w14:paraId="678D6AF5">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年评价指标</w:t>
            </w:r>
          </w:p>
        </w:tc>
        <w:tc>
          <w:tcPr>
            <w:tcW w:w="654" w:type="pct"/>
            <w:tcBorders>
              <w:tl2br w:val="nil"/>
              <w:tr2bl w:val="nil"/>
            </w:tcBorders>
            <w:noWrap/>
            <w:vAlign w:val="center"/>
          </w:tcPr>
          <w:p w14:paraId="7BE0EF23">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现状浓度</w:t>
            </w:r>
          </w:p>
          <w:p w14:paraId="3BAFC29F">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（µg/m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w:t>
            </w:r>
          </w:p>
        </w:tc>
        <w:tc>
          <w:tcPr>
            <w:tcW w:w="654" w:type="pct"/>
            <w:tcBorders>
              <w:tl2br w:val="nil"/>
              <w:tr2bl w:val="nil"/>
            </w:tcBorders>
            <w:noWrap/>
            <w:vAlign w:val="center"/>
          </w:tcPr>
          <w:p w14:paraId="182CE4C9">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标准值</w:t>
            </w:r>
          </w:p>
          <w:p w14:paraId="620A7C4E">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（µg/m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w:t>
            </w:r>
          </w:p>
        </w:tc>
        <w:tc>
          <w:tcPr>
            <w:tcW w:w="453" w:type="pct"/>
            <w:tcBorders>
              <w:tl2br w:val="nil"/>
              <w:tr2bl w:val="nil"/>
            </w:tcBorders>
            <w:noWrap/>
            <w:vAlign w:val="center"/>
          </w:tcPr>
          <w:p w14:paraId="7EC90521">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占标率</w:t>
            </w:r>
          </w:p>
          <w:p w14:paraId="4A9ACBCC">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314" w:type="pct"/>
            <w:tcBorders>
              <w:tl2br w:val="nil"/>
              <w:tr2bl w:val="nil"/>
            </w:tcBorders>
            <w:noWrap/>
            <w:vAlign w:val="center"/>
          </w:tcPr>
          <w:p w14:paraId="3771537F">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达标</w:t>
            </w:r>
          </w:p>
          <w:p w14:paraId="1F2E7D89">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情况</w:t>
            </w:r>
          </w:p>
        </w:tc>
      </w:tr>
      <w:tr w14:paraId="38931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0" w:hRule="atLeast"/>
        </w:trPr>
        <w:tc>
          <w:tcPr>
            <w:tcW w:w="453" w:type="pct"/>
            <w:tcBorders>
              <w:tl2br w:val="nil"/>
              <w:tr2bl w:val="nil"/>
            </w:tcBorders>
            <w:noWrap/>
            <w:vAlign w:val="center"/>
          </w:tcPr>
          <w:p w14:paraId="420E2F2B">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PM</w:t>
            </w:r>
            <w:r>
              <w:rPr>
                <w:rFonts w:hint="default" w:ascii="Times New Roman" w:hAnsi="Times New Roman" w:cs="Times New Roman"/>
                <w:color w:val="auto"/>
                <w:sz w:val="21"/>
                <w:szCs w:val="21"/>
                <w:highlight w:val="none"/>
                <w:vertAlign w:val="subscript"/>
              </w:rPr>
              <w:t>2.5</w:t>
            </w:r>
          </w:p>
        </w:tc>
        <w:tc>
          <w:tcPr>
            <w:tcW w:w="2469" w:type="pct"/>
            <w:tcBorders>
              <w:tl2br w:val="nil"/>
              <w:tr2bl w:val="nil"/>
            </w:tcBorders>
            <w:noWrap/>
            <w:vAlign w:val="center"/>
          </w:tcPr>
          <w:p w14:paraId="56D0ADB1">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年平均</w:t>
            </w:r>
          </w:p>
        </w:tc>
        <w:tc>
          <w:tcPr>
            <w:tcW w:w="654" w:type="pct"/>
            <w:tcBorders>
              <w:tl2br w:val="nil"/>
              <w:tr2bl w:val="nil"/>
            </w:tcBorders>
            <w:noWrap/>
            <w:vAlign w:val="center"/>
          </w:tcPr>
          <w:p w14:paraId="16C35DE8">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27</w:t>
            </w:r>
          </w:p>
        </w:tc>
        <w:tc>
          <w:tcPr>
            <w:tcW w:w="654" w:type="pct"/>
            <w:tcBorders>
              <w:tl2br w:val="nil"/>
              <w:tr2bl w:val="nil"/>
            </w:tcBorders>
            <w:noWrap/>
            <w:vAlign w:val="center"/>
          </w:tcPr>
          <w:p w14:paraId="7F74C971">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eastAsia" w:ascii="Times New Roman" w:hAnsi="Times New Roman" w:cs="Times New Roman" w:eastAsiaTheme="minorEastAsia"/>
                <w:color w:val="auto"/>
                <w:sz w:val="21"/>
                <w:szCs w:val="21"/>
                <w:highlight w:val="none"/>
                <w:lang w:eastAsia="zh-CN"/>
              </w:rPr>
            </w:pPr>
            <w:r>
              <w:rPr>
                <w:rFonts w:hint="default" w:ascii="Times New Roman" w:hAnsi="Times New Roman" w:cs="Times New Roman"/>
                <w:color w:val="auto"/>
                <w:sz w:val="21"/>
                <w:szCs w:val="21"/>
                <w:highlight w:val="none"/>
              </w:rPr>
              <w:t>3</w:t>
            </w:r>
            <w:r>
              <w:rPr>
                <w:rFonts w:hint="eastAsia" w:ascii="Times New Roman" w:hAnsi="Times New Roman" w:cs="Times New Roman"/>
                <w:color w:val="auto"/>
                <w:sz w:val="21"/>
                <w:szCs w:val="21"/>
                <w:highlight w:val="none"/>
                <w:lang w:val="en-US" w:eastAsia="zh-CN"/>
              </w:rPr>
              <w:t>0</w:t>
            </w:r>
          </w:p>
        </w:tc>
        <w:tc>
          <w:tcPr>
            <w:tcW w:w="453" w:type="pct"/>
            <w:tcBorders>
              <w:tl2br w:val="nil"/>
              <w:tr2bl w:val="nil"/>
            </w:tcBorders>
            <w:noWrap/>
            <w:vAlign w:val="bottom"/>
          </w:tcPr>
          <w:p w14:paraId="62EE729D">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rPr>
            </w:pPr>
            <w:r>
              <w:rPr>
                <w:rFonts w:hint="eastAsia" w:ascii="Times New Roman" w:hAnsi="Times New Roman" w:cs="Times New Roman"/>
                <w:color w:val="auto"/>
                <w:sz w:val="21"/>
                <w:szCs w:val="21"/>
                <w:highlight w:val="none"/>
                <w:lang w:val="en-US" w:eastAsia="zh-CN"/>
              </w:rPr>
              <w:t>90.00</w:t>
            </w:r>
          </w:p>
        </w:tc>
        <w:tc>
          <w:tcPr>
            <w:tcW w:w="314" w:type="pct"/>
            <w:tcBorders>
              <w:tl2br w:val="nil"/>
              <w:tr2bl w:val="nil"/>
            </w:tcBorders>
            <w:noWrap/>
            <w:vAlign w:val="center"/>
          </w:tcPr>
          <w:p w14:paraId="1B1B438C">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达标</w:t>
            </w:r>
          </w:p>
        </w:tc>
      </w:tr>
      <w:tr w14:paraId="3F309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0" w:hRule="atLeast"/>
        </w:trPr>
        <w:tc>
          <w:tcPr>
            <w:tcW w:w="453" w:type="pct"/>
            <w:tcBorders>
              <w:tl2br w:val="nil"/>
              <w:tr2bl w:val="nil"/>
            </w:tcBorders>
            <w:noWrap/>
            <w:vAlign w:val="center"/>
          </w:tcPr>
          <w:p w14:paraId="5D29E84D">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PM</w:t>
            </w:r>
            <w:r>
              <w:rPr>
                <w:rFonts w:hint="default" w:ascii="Times New Roman" w:hAnsi="Times New Roman" w:cs="Times New Roman"/>
                <w:color w:val="auto"/>
                <w:sz w:val="21"/>
                <w:szCs w:val="21"/>
                <w:highlight w:val="none"/>
                <w:vertAlign w:val="subscript"/>
              </w:rPr>
              <w:t>10</w:t>
            </w:r>
          </w:p>
        </w:tc>
        <w:tc>
          <w:tcPr>
            <w:tcW w:w="2469" w:type="pct"/>
            <w:tcBorders>
              <w:tl2br w:val="nil"/>
              <w:tr2bl w:val="nil"/>
            </w:tcBorders>
            <w:noWrap/>
            <w:vAlign w:val="center"/>
          </w:tcPr>
          <w:p w14:paraId="27784333">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年平均</w:t>
            </w:r>
          </w:p>
        </w:tc>
        <w:tc>
          <w:tcPr>
            <w:tcW w:w="654" w:type="pct"/>
            <w:tcBorders>
              <w:tl2br w:val="nil"/>
              <w:tr2bl w:val="nil"/>
            </w:tcBorders>
            <w:noWrap/>
            <w:vAlign w:val="center"/>
          </w:tcPr>
          <w:p w14:paraId="4FE70A41">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r>
              <w:rPr>
                <w:rFonts w:hint="eastAsia" w:cs="Times New Roman"/>
                <w:color w:val="auto"/>
                <w:sz w:val="21"/>
                <w:szCs w:val="21"/>
                <w:highlight w:val="none"/>
                <w:lang w:val="en-US" w:eastAsia="zh-CN"/>
              </w:rPr>
              <w:t>3</w:t>
            </w:r>
          </w:p>
        </w:tc>
        <w:tc>
          <w:tcPr>
            <w:tcW w:w="654" w:type="pct"/>
            <w:tcBorders>
              <w:tl2br w:val="nil"/>
              <w:tr2bl w:val="nil"/>
            </w:tcBorders>
            <w:noWrap/>
            <w:vAlign w:val="center"/>
          </w:tcPr>
          <w:p w14:paraId="3614E2D3">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6</w:t>
            </w:r>
            <w:r>
              <w:rPr>
                <w:rFonts w:hint="default" w:ascii="Times New Roman" w:hAnsi="Times New Roman" w:cs="Times New Roman"/>
                <w:color w:val="auto"/>
                <w:sz w:val="21"/>
                <w:szCs w:val="21"/>
                <w:highlight w:val="none"/>
              </w:rPr>
              <w:t>0</w:t>
            </w:r>
          </w:p>
        </w:tc>
        <w:tc>
          <w:tcPr>
            <w:tcW w:w="453" w:type="pct"/>
            <w:tcBorders>
              <w:tl2br w:val="nil"/>
              <w:tr2bl w:val="nil"/>
            </w:tcBorders>
            <w:noWrap/>
            <w:vAlign w:val="bottom"/>
          </w:tcPr>
          <w:p w14:paraId="4B362089">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rPr>
            </w:pPr>
            <w:r>
              <w:rPr>
                <w:rFonts w:hint="eastAsia" w:ascii="Times New Roman" w:hAnsi="Times New Roman" w:cs="Times New Roman"/>
                <w:color w:val="auto"/>
                <w:sz w:val="21"/>
                <w:szCs w:val="21"/>
                <w:highlight w:val="none"/>
                <w:lang w:val="en-US" w:eastAsia="zh-CN"/>
              </w:rPr>
              <w:t>7</w:t>
            </w:r>
            <w:r>
              <w:rPr>
                <w:rFonts w:hint="eastAsia" w:cs="Times New Roman"/>
                <w:color w:val="auto"/>
                <w:sz w:val="21"/>
                <w:szCs w:val="21"/>
                <w:highlight w:val="none"/>
                <w:lang w:val="en-US" w:eastAsia="zh-CN"/>
              </w:rPr>
              <w:t>1.67</w:t>
            </w:r>
          </w:p>
        </w:tc>
        <w:tc>
          <w:tcPr>
            <w:tcW w:w="314" w:type="pct"/>
            <w:tcBorders>
              <w:tl2br w:val="nil"/>
              <w:tr2bl w:val="nil"/>
            </w:tcBorders>
            <w:noWrap/>
            <w:vAlign w:val="center"/>
          </w:tcPr>
          <w:p w14:paraId="69D926D2">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达标</w:t>
            </w:r>
          </w:p>
        </w:tc>
      </w:tr>
      <w:tr w14:paraId="730EC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0" w:hRule="atLeast"/>
        </w:trPr>
        <w:tc>
          <w:tcPr>
            <w:tcW w:w="453" w:type="pct"/>
            <w:tcBorders>
              <w:tl2br w:val="nil"/>
              <w:tr2bl w:val="nil"/>
            </w:tcBorders>
            <w:shd w:val="clear" w:color="auto" w:fill="auto"/>
            <w:noWrap/>
            <w:vAlign w:val="center"/>
          </w:tcPr>
          <w:p w14:paraId="67414EE2">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SO</w:t>
            </w:r>
            <w:r>
              <w:rPr>
                <w:rFonts w:hint="default" w:ascii="Times New Roman" w:hAnsi="Times New Roman" w:cs="Times New Roman"/>
                <w:color w:val="auto"/>
                <w:sz w:val="21"/>
                <w:szCs w:val="21"/>
                <w:highlight w:val="none"/>
                <w:vertAlign w:val="subscript"/>
              </w:rPr>
              <w:t>2</w:t>
            </w:r>
          </w:p>
        </w:tc>
        <w:tc>
          <w:tcPr>
            <w:tcW w:w="2469" w:type="pct"/>
            <w:tcBorders>
              <w:tl2br w:val="nil"/>
              <w:tr2bl w:val="nil"/>
            </w:tcBorders>
            <w:shd w:val="clear" w:color="auto" w:fill="auto"/>
            <w:noWrap/>
            <w:vAlign w:val="center"/>
          </w:tcPr>
          <w:p w14:paraId="6DDA95C7">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年平均</w:t>
            </w:r>
          </w:p>
        </w:tc>
        <w:tc>
          <w:tcPr>
            <w:tcW w:w="654" w:type="pct"/>
            <w:tcBorders>
              <w:tl2br w:val="nil"/>
              <w:tr2bl w:val="nil"/>
            </w:tcBorders>
            <w:shd w:val="clear" w:color="auto" w:fill="auto"/>
            <w:noWrap/>
            <w:vAlign w:val="center"/>
          </w:tcPr>
          <w:p w14:paraId="5EC47F38">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w:t>
            </w:r>
          </w:p>
        </w:tc>
        <w:tc>
          <w:tcPr>
            <w:tcW w:w="654" w:type="pct"/>
            <w:tcBorders>
              <w:tl2br w:val="nil"/>
              <w:tr2bl w:val="nil"/>
            </w:tcBorders>
            <w:shd w:val="clear" w:color="auto" w:fill="auto"/>
            <w:noWrap/>
            <w:vAlign w:val="center"/>
          </w:tcPr>
          <w:p w14:paraId="51A32554">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60</w:t>
            </w:r>
          </w:p>
        </w:tc>
        <w:tc>
          <w:tcPr>
            <w:tcW w:w="453" w:type="pct"/>
            <w:tcBorders>
              <w:tl2br w:val="nil"/>
              <w:tr2bl w:val="nil"/>
            </w:tcBorders>
            <w:shd w:val="clear" w:color="auto" w:fill="auto"/>
            <w:noWrap/>
            <w:vAlign w:val="bottom"/>
          </w:tcPr>
          <w:p w14:paraId="27CFCB13">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20.00</w:t>
            </w:r>
          </w:p>
        </w:tc>
        <w:tc>
          <w:tcPr>
            <w:tcW w:w="314" w:type="pct"/>
            <w:tcBorders>
              <w:tl2br w:val="nil"/>
              <w:tr2bl w:val="nil"/>
            </w:tcBorders>
            <w:shd w:val="clear" w:color="auto" w:fill="auto"/>
            <w:noWrap/>
            <w:vAlign w:val="center"/>
          </w:tcPr>
          <w:p w14:paraId="192995F5">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达标</w:t>
            </w:r>
          </w:p>
        </w:tc>
      </w:tr>
      <w:tr w14:paraId="62178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0" w:hRule="atLeast"/>
        </w:trPr>
        <w:tc>
          <w:tcPr>
            <w:tcW w:w="453" w:type="pct"/>
            <w:tcBorders>
              <w:tl2br w:val="nil"/>
              <w:tr2bl w:val="nil"/>
            </w:tcBorders>
            <w:shd w:val="clear" w:color="auto" w:fill="auto"/>
            <w:noWrap/>
            <w:vAlign w:val="center"/>
          </w:tcPr>
          <w:p w14:paraId="32A7AAAA">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NO</w:t>
            </w:r>
            <w:r>
              <w:rPr>
                <w:rFonts w:hint="default" w:ascii="Times New Roman" w:hAnsi="Times New Roman" w:cs="Times New Roman"/>
                <w:color w:val="auto"/>
                <w:sz w:val="21"/>
                <w:szCs w:val="21"/>
                <w:highlight w:val="none"/>
                <w:vertAlign w:val="subscript"/>
              </w:rPr>
              <w:t>2</w:t>
            </w:r>
          </w:p>
        </w:tc>
        <w:tc>
          <w:tcPr>
            <w:tcW w:w="2469" w:type="pct"/>
            <w:tcBorders>
              <w:tl2br w:val="nil"/>
              <w:tr2bl w:val="nil"/>
            </w:tcBorders>
            <w:shd w:val="clear" w:color="auto" w:fill="auto"/>
            <w:noWrap/>
            <w:vAlign w:val="center"/>
          </w:tcPr>
          <w:p w14:paraId="235854AD">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年平均</w:t>
            </w:r>
          </w:p>
        </w:tc>
        <w:tc>
          <w:tcPr>
            <w:tcW w:w="654" w:type="pct"/>
            <w:tcBorders>
              <w:tl2br w:val="nil"/>
              <w:tr2bl w:val="nil"/>
            </w:tcBorders>
            <w:shd w:val="clear" w:color="auto" w:fill="auto"/>
            <w:noWrap/>
            <w:vAlign w:val="center"/>
          </w:tcPr>
          <w:p w14:paraId="679960DC">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w:t>
            </w:r>
          </w:p>
        </w:tc>
        <w:tc>
          <w:tcPr>
            <w:tcW w:w="654" w:type="pct"/>
            <w:tcBorders>
              <w:tl2br w:val="nil"/>
              <w:tr2bl w:val="nil"/>
            </w:tcBorders>
            <w:shd w:val="clear" w:color="auto" w:fill="auto"/>
            <w:noWrap/>
            <w:vAlign w:val="center"/>
          </w:tcPr>
          <w:p w14:paraId="6F794484">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40</w:t>
            </w:r>
          </w:p>
        </w:tc>
        <w:tc>
          <w:tcPr>
            <w:tcW w:w="453" w:type="pct"/>
            <w:tcBorders>
              <w:tl2br w:val="nil"/>
              <w:tr2bl w:val="nil"/>
            </w:tcBorders>
            <w:shd w:val="clear" w:color="auto" w:fill="auto"/>
            <w:noWrap/>
            <w:vAlign w:val="bottom"/>
          </w:tcPr>
          <w:p w14:paraId="53AB3A72">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37.50</w:t>
            </w:r>
          </w:p>
        </w:tc>
        <w:tc>
          <w:tcPr>
            <w:tcW w:w="314" w:type="pct"/>
            <w:tcBorders>
              <w:tl2br w:val="nil"/>
              <w:tr2bl w:val="nil"/>
            </w:tcBorders>
            <w:shd w:val="clear" w:color="auto" w:fill="auto"/>
            <w:noWrap/>
            <w:vAlign w:val="center"/>
          </w:tcPr>
          <w:p w14:paraId="30D21134">
            <w:pPr>
              <w:pStyle w:val="3"/>
              <w:keepNext w:val="0"/>
              <w:keepLines w:val="0"/>
              <w:pageBreakBefore w:val="0"/>
              <w:widowControl w:val="0"/>
              <w:kinsoku/>
              <w:wordWrap/>
              <w:overflowPunct/>
              <w:topLinePunct w:val="0"/>
              <w:autoSpaceDE/>
              <w:autoSpaceDN/>
              <w:bidi w:val="0"/>
              <w:adjustRightInd/>
              <w:snapToGrid/>
              <w:spacing w:after="0" w:line="24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达标</w:t>
            </w:r>
          </w:p>
        </w:tc>
      </w:tr>
      <w:tr w14:paraId="06986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0" w:hRule="atLeast"/>
        </w:trPr>
        <w:tc>
          <w:tcPr>
            <w:tcW w:w="453" w:type="pct"/>
            <w:tcBorders>
              <w:tl2br w:val="nil"/>
              <w:tr2bl w:val="nil"/>
            </w:tcBorders>
            <w:noWrap/>
            <w:vAlign w:val="center"/>
          </w:tcPr>
          <w:p w14:paraId="4009BC00">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CO</w:t>
            </w:r>
          </w:p>
        </w:tc>
        <w:tc>
          <w:tcPr>
            <w:tcW w:w="2469" w:type="pct"/>
            <w:tcBorders>
              <w:tl2br w:val="nil"/>
              <w:tr2bl w:val="nil"/>
            </w:tcBorders>
            <w:noWrap/>
            <w:vAlign w:val="center"/>
          </w:tcPr>
          <w:p w14:paraId="23536825">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24小时平均第95百分位数</w:t>
            </w:r>
          </w:p>
        </w:tc>
        <w:tc>
          <w:tcPr>
            <w:tcW w:w="654" w:type="pct"/>
            <w:tcBorders>
              <w:tl2br w:val="nil"/>
              <w:tr2bl w:val="nil"/>
            </w:tcBorders>
            <w:noWrap/>
            <w:vAlign w:val="center"/>
          </w:tcPr>
          <w:p w14:paraId="05F22F31">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900</w:t>
            </w:r>
          </w:p>
        </w:tc>
        <w:tc>
          <w:tcPr>
            <w:tcW w:w="654" w:type="pct"/>
            <w:tcBorders>
              <w:tl2br w:val="nil"/>
              <w:tr2bl w:val="nil"/>
            </w:tcBorders>
            <w:noWrap/>
            <w:vAlign w:val="center"/>
          </w:tcPr>
          <w:p w14:paraId="42665462">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4000</w:t>
            </w:r>
          </w:p>
        </w:tc>
        <w:tc>
          <w:tcPr>
            <w:tcW w:w="453" w:type="pct"/>
            <w:tcBorders>
              <w:tl2br w:val="nil"/>
              <w:tr2bl w:val="nil"/>
            </w:tcBorders>
            <w:noWrap/>
            <w:vAlign w:val="bottom"/>
          </w:tcPr>
          <w:p w14:paraId="6B4BB94B">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rPr>
            </w:pPr>
            <w:r>
              <w:rPr>
                <w:rFonts w:hint="eastAsia" w:ascii="Times New Roman" w:hAnsi="Times New Roman" w:cs="Times New Roman"/>
                <w:color w:val="auto"/>
                <w:sz w:val="21"/>
                <w:szCs w:val="21"/>
                <w:highlight w:val="none"/>
                <w:lang w:val="en-US" w:eastAsia="zh-CN"/>
              </w:rPr>
              <w:t>22.50</w:t>
            </w:r>
          </w:p>
        </w:tc>
        <w:tc>
          <w:tcPr>
            <w:tcW w:w="314" w:type="pct"/>
            <w:tcBorders>
              <w:tl2br w:val="nil"/>
              <w:tr2bl w:val="nil"/>
            </w:tcBorders>
            <w:noWrap/>
            <w:vAlign w:val="center"/>
          </w:tcPr>
          <w:p w14:paraId="31E02554">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达标</w:t>
            </w:r>
          </w:p>
        </w:tc>
      </w:tr>
      <w:tr w14:paraId="6F59C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0" w:hRule="atLeast"/>
        </w:trPr>
        <w:tc>
          <w:tcPr>
            <w:tcW w:w="453" w:type="pct"/>
            <w:tcBorders>
              <w:tl2br w:val="nil"/>
              <w:tr2bl w:val="nil"/>
            </w:tcBorders>
            <w:noWrap/>
            <w:vAlign w:val="center"/>
          </w:tcPr>
          <w:p w14:paraId="6EBFB25E">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O</w:t>
            </w:r>
            <w:r>
              <w:rPr>
                <w:rFonts w:hint="default" w:ascii="Times New Roman" w:hAnsi="Times New Roman" w:cs="Times New Roman"/>
                <w:color w:val="auto"/>
                <w:sz w:val="21"/>
                <w:szCs w:val="21"/>
                <w:highlight w:val="none"/>
                <w:vertAlign w:val="subscript"/>
              </w:rPr>
              <w:t>3</w:t>
            </w:r>
          </w:p>
        </w:tc>
        <w:tc>
          <w:tcPr>
            <w:tcW w:w="2469" w:type="pct"/>
            <w:tcBorders>
              <w:tl2br w:val="nil"/>
              <w:tr2bl w:val="nil"/>
            </w:tcBorders>
            <w:noWrap/>
            <w:vAlign w:val="center"/>
          </w:tcPr>
          <w:p w14:paraId="2256A608">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日最大8小时平均值第90百分位数</w:t>
            </w:r>
          </w:p>
        </w:tc>
        <w:tc>
          <w:tcPr>
            <w:tcW w:w="654" w:type="pct"/>
            <w:tcBorders>
              <w:tl2br w:val="nil"/>
              <w:tr2bl w:val="nil"/>
            </w:tcBorders>
            <w:noWrap/>
            <w:vAlign w:val="center"/>
          </w:tcPr>
          <w:p w14:paraId="3F7878F7">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105</w:t>
            </w:r>
          </w:p>
        </w:tc>
        <w:tc>
          <w:tcPr>
            <w:tcW w:w="654" w:type="pct"/>
            <w:tcBorders>
              <w:tl2br w:val="nil"/>
              <w:tr2bl w:val="nil"/>
            </w:tcBorders>
            <w:noWrap/>
            <w:vAlign w:val="center"/>
          </w:tcPr>
          <w:p w14:paraId="7C96E63A">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160</w:t>
            </w:r>
          </w:p>
        </w:tc>
        <w:tc>
          <w:tcPr>
            <w:tcW w:w="453" w:type="pct"/>
            <w:tcBorders>
              <w:tl2br w:val="nil"/>
              <w:tr2bl w:val="nil"/>
            </w:tcBorders>
            <w:noWrap/>
            <w:vAlign w:val="center"/>
          </w:tcPr>
          <w:p w14:paraId="49CF5C40">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65.63</w:t>
            </w:r>
          </w:p>
        </w:tc>
        <w:tc>
          <w:tcPr>
            <w:tcW w:w="314" w:type="pct"/>
            <w:tcBorders>
              <w:tl2br w:val="nil"/>
              <w:tr2bl w:val="nil"/>
            </w:tcBorders>
            <w:noWrap/>
            <w:vAlign w:val="center"/>
          </w:tcPr>
          <w:p w14:paraId="401C7E0B">
            <w:pPr>
              <w:pStyle w:val="3"/>
              <w:keepNext w:val="0"/>
              <w:keepLines w:val="0"/>
              <w:pageBreakBefore w:val="0"/>
              <w:widowControl w:val="0"/>
              <w:kinsoku/>
              <w:wordWrap/>
              <w:overflowPunct/>
              <w:topLinePunct w:val="0"/>
              <w:autoSpaceDE/>
              <w:autoSpaceDN/>
              <w:bidi w:val="0"/>
              <w:adjustRightInd/>
              <w:snapToGrid/>
              <w:spacing w:after="0" w:line="24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达标</w:t>
            </w:r>
          </w:p>
        </w:tc>
      </w:tr>
    </w:tbl>
    <w:p w14:paraId="64A02C2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w:t>
      </w:r>
      <w:r>
        <w:rPr>
          <w:rFonts w:hint="default" w:ascii="Times New Roman" w:hAnsi="Times New Roman" w:eastAsia="宋体" w:cs="Times New Roman"/>
          <w:b/>
          <w:bCs w:val="0"/>
          <w:color w:val="auto"/>
          <w:sz w:val="24"/>
          <w:szCs w:val="24"/>
          <w:lang w:val="en-US" w:eastAsia="zh-CN"/>
        </w:rPr>
        <w:t>.</w:t>
      </w:r>
      <w:r>
        <w:rPr>
          <w:rFonts w:hint="eastAsia" w:ascii="Times New Roman" w:hAnsi="Times New Roman" w:eastAsia="宋体" w:cs="Times New Roman"/>
          <w:b/>
          <w:bCs w:val="0"/>
          <w:color w:val="auto"/>
          <w:sz w:val="24"/>
          <w:szCs w:val="24"/>
          <w:lang w:val="en-US" w:eastAsia="zh-CN"/>
        </w:rPr>
        <w:t>2</w:t>
      </w:r>
      <w:r>
        <w:rPr>
          <w:rFonts w:hint="default" w:ascii="Times New Roman" w:hAnsi="Times New Roman" w:eastAsia="宋体" w:cs="Times New Roman"/>
          <w:b/>
          <w:bCs w:val="0"/>
          <w:color w:val="auto"/>
          <w:sz w:val="24"/>
          <w:szCs w:val="24"/>
          <w:lang w:val="en-US" w:eastAsia="zh-CN"/>
        </w:rPr>
        <w:t>.1.</w:t>
      </w:r>
      <w:r>
        <w:rPr>
          <w:rFonts w:hint="eastAsia" w:ascii="Times New Roman" w:hAnsi="Times New Roman" w:eastAsia="宋体" w:cs="Times New Roman"/>
          <w:b/>
          <w:bCs w:val="0"/>
          <w:color w:val="auto"/>
          <w:sz w:val="24"/>
          <w:szCs w:val="24"/>
          <w:lang w:val="en-US" w:eastAsia="zh-CN"/>
        </w:rPr>
        <w:t>2</w:t>
      </w:r>
      <w:r>
        <w:rPr>
          <w:rFonts w:hint="default" w:ascii="Times New Roman" w:hAnsi="Times New Roman" w:eastAsia="宋体" w:cs="Times New Roman"/>
          <w:b/>
          <w:bCs w:val="0"/>
          <w:color w:val="auto"/>
          <w:sz w:val="24"/>
          <w:szCs w:val="24"/>
          <w:lang w:val="en-US" w:eastAsia="zh-CN"/>
        </w:rPr>
        <w:t xml:space="preserve"> </w:t>
      </w:r>
      <w:r>
        <w:rPr>
          <w:rFonts w:hint="eastAsia" w:ascii="Times New Roman" w:hAnsi="Times New Roman" w:eastAsia="宋体" w:cs="Times New Roman"/>
          <w:b/>
          <w:bCs w:val="0"/>
          <w:color w:val="auto"/>
          <w:sz w:val="24"/>
          <w:szCs w:val="24"/>
          <w:lang w:val="en-US" w:eastAsia="zh-CN"/>
        </w:rPr>
        <w:t>补充监测</w:t>
      </w:r>
    </w:p>
    <w:p w14:paraId="7F66737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根据本项目特点，本项目进行</w:t>
      </w:r>
      <w:r>
        <w:rPr>
          <w:rFonts w:hint="eastAsia" w:ascii="Times New Roman" w:hAnsi="Times New Roman" w:eastAsia="宋体" w:cs="Times New Roman"/>
          <w:color w:val="auto"/>
          <w:sz w:val="24"/>
          <w:szCs w:val="24"/>
          <w:highlight w:val="none"/>
          <w:lang w:val="en-US" w:eastAsia="zh-CN"/>
        </w:rPr>
        <w:t>了特征污染物</w:t>
      </w:r>
      <w:r>
        <w:rPr>
          <w:rFonts w:hint="default" w:ascii="Times New Roman" w:hAnsi="Times New Roman" w:eastAsia="宋体" w:cs="Times New Roman"/>
          <w:color w:val="auto"/>
          <w:sz w:val="24"/>
          <w:szCs w:val="24"/>
          <w:highlight w:val="none"/>
          <w:lang w:val="en-US" w:eastAsia="zh-CN"/>
        </w:rPr>
        <w:t>补充监测，监测单位为</w:t>
      </w:r>
      <w:r>
        <w:rPr>
          <w:rFonts w:hint="eastAsia" w:ascii="Times New Roman" w:hAnsi="Times New Roman" w:eastAsia="宋体" w:cs="Times New Roman"/>
          <w:color w:val="auto"/>
          <w:sz w:val="24"/>
          <w:szCs w:val="24"/>
          <w:highlight w:val="none"/>
          <w:lang w:val="en-US" w:eastAsia="zh-CN"/>
        </w:rPr>
        <w:t>黑龙江汉风环境检测技术有限公司</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监测时间为2026年3月19日-2026年3月25日，监测期间企业</w:t>
      </w:r>
      <w:r>
        <w:rPr>
          <w:rFonts w:hint="default" w:ascii="Times New Roman" w:hAnsi="Times New Roman" w:eastAsia="宋体" w:cs="Times New Roman"/>
          <w:color w:val="auto"/>
          <w:sz w:val="24"/>
          <w:szCs w:val="24"/>
          <w:highlight w:val="none"/>
          <w:lang w:val="en-US" w:eastAsia="zh-CN"/>
        </w:rPr>
        <w:t>现有</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46</w:t>
      </w:r>
      <w:r>
        <w:rPr>
          <w:rFonts w:hint="default" w:ascii="Times New Roman" w:hAnsi="Times New Roman" w:eastAsia="宋体" w:cs="Times New Roman"/>
          <w:color w:val="auto"/>
          <w:sz w:val="24"/>
          <w:szCs w:val="24"/>
          <w:highlight w:val="none"/>
          <w:lang w:val="en-US" w:eastAsia="zh-CN"/>
        </w:rPr>
        <w:t>MW</w:t>
      </w:r>
      <w:r>
        <w:rPr>
          <w:rFonts w:hint="eastAsia" w:ascii="Times New Roman" w:hAnsi="Times New Roman" w:eastAsia="宋体" w:cs="Times New Roman"/>
          <w:color w:val="auto"/>
          <w:sz w:val="24"/>
          <w:szCs w:val="24"/>
          <w:highlight w:val="none"/>
          <w:lang w:val="en-US" w:eastAsia="zh-CN"/>
        </w:rPr>
        <w:t>燃煤锅炉正常运行。</w:t>
      </w:r>
    </w:p>
    <w:p w14:paraId="4704701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（1）监测因子</w:t>
      </w:r>
    </w:p>
    <w:p w14:paraId="37C8B62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氨、</w:t>
      </w:r>
      <w:r>
        <w:rPr>
          <w:rFonts w:hint="default" w:ascii="Times New Roman" w:hAnsi="Times New Roman" w:eastAsia="宋体" w:cs="Times New Roman"/>
          <w:color w:val="FF0000"/>
          <w:sz w:val="24"/>
          <w:szCs w:val="24"/>
          <w:highlight w:val="none"/>
          <w:lang w:val="en-US" w:eastAsia="zh-CN"/>
        </w:rPr>
        <w:t>汞、</w:t>
      </w:r>
      <w:r>
        <w:rPr>
          <w:rFonts w:hint="default" w:ascii="Times New Roman" w:hAnsi="Times New Roman" w:eastAsia="宋体" w:cs="Times New Roman"/>
          <w:color w:val="auto"/>
          <w:sz w:val="24"/>
          <w:szCs w:val="24"/>
          <w:highlight w:val="none"/>
          <w:lang w:val="en-US" w:eastAsia="zh-CN"/>
        </w:rPr>
        <w:t>TSP</w:t>
      </w:r>
      <w:r>
        <w:rPr>
          <w:rFonts w:hint="eastAsia" w:ascii="Times New Roman" w:hAnsi="Times New Roman" w:eastAsia="宋体" w:cs="Times New Roman"/>
          <w:color w:val="auto"/>
          <w:sz w:val="24"/>
          <w:szCs w:val="24"/>
          <w:highlight w:val="none"/>
          <w:lang w:val="en-US" w:eastAsia="zh-CN"/>
        </w:rPr>
        <w:t>、氮氧化物</w:t>
      </w:r>
    </w:p>
    <w:p w14:paraId="3D306D1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（2）监测分析方法及检出限</w:t>
      </w:r>
    </w:p>
    <w:p w14:paraId="63A8AC5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-2</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 xml:space="preserve"> 监测分析方法及检出限</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5"/>
        <w:gridCol w:w="1190"/>
        <w:gridCol w:w="2687"/>
        <w:gridCol w:w="1601"/>
        <w:gridCol w:w="1404"/>
        <w:gridCol w:w="1279"/>
      </w:tblGrid>
      <w:tr w14:paraId="2A575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90" w:type="pct"/>
            <w:noWrap w:val="0"/>
            <w:vAlign w:val="center"/>
          </w:tcPr>
          <w:p w14:paraId="720D70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类别</w:t>
            </w:r>
          </w:p>
        </w:tc>
        <w:tc>
          <w:tcPr>
            <w:tcW w:w="675" w:type="pct"/>
            <w:noWrap w:val="0"/>
            <w:vAlign w:val="center"/>
          </w:tcPr>
          <w:p w14:paraId="0100E4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检测项目</w:t>
            </w:r>
          </w:p>
        </w:tc>
        <w:tc>
          <w:tcPr>
            <w:tcW w:w="1521" w:type="pct"/>
            <w:noWrap w:val="0"/>
            <w:vAlign w:val="center"/>
          </w:tcPr>
          <w:p w14:paraId="3CD19E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检测依据</w:t>
            </w:r>
          </w:p>
        </w:tc>
        <w:tc>
          <w:tcPr>
            <w:tcW w:w="907" w:type="pct"/>
            <w:noWrap w:val="0"/>
            <w:vAlign w:val="center"/>
          </w:tcPr>
          <w:p w14:paraId="22DB09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仪器名称</w:t>
            </w:r>
          </w:p>
        </w:tc>
        <w:tc>
          <w:tcPr>
            <w:tcW w:w="796" w:type="pct"/>
            <w:noWrap w:val="0"/>
            <w:vAlign w:val="center"/>
          </w:tcPr>
          <w:p w14:paraId="6CD8EF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仪器型号</w:t>
            </w:r>
          </w:p>
        </w:tc>
        <w:tc>
          <w:tcPr>
            <w:tcW w:w="708" w:type="pct"/>
            <w:noWrap w:val="0"/>
            <w:vAlign w:val="center"/>
          </w:tcPr>
          <w:p w14:paraId="14A667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编号</w:t>
            </w:r>
          </w:p>
        </w:tc>
      </w:tr>
      <w:tr w14:paraId="357FF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restart"/>
            <w:noWrap w:val="0"/>
            <w:vAlign w:val="center"/>
          </w:tcPr>
          <w:p w14:paraId="1FE3E9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环境空气</w:t>
            </w:r>
          </w:p>
        </w:tc>
        <w:tc>
          <w:tcPr>
            <w:tcW w:w="675" w:type="pct"/>
            <w:vMerge w:val="restart"/>
            <w:noWrap w:val="0"/>
            <w:vAlign w:val="center"/>
          </w:tcPr>
          <w:p w14:paraId="27F7A5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总悬浮</w:t>
            </w:r>
            <w:r>
              <w:rPr>
                <w:rFonts w:hint="default" w:ascii="Times New Roman" w:hAnsi="Times New Roman" w:cs="Times New Roman"/>
                <w:color w:val="auto"/>
                <w:sz w:val="21"/>
                <w:szCs w:val="21"/>
                <w:highlight w:val="none"/>
                <w:lang w:val="en-US" w:eastAsia="zh-CN"/>
              </w:rPr>
              <w:t>颗粒物</w:t>
            </w:r>
          </w:p>
        </w:tc>
        <w:tc>
          <w:tcPr>
            <w:tcW w:w="1521" w:type="pct"/>
            <w:vMerge w:val="restart"/>
            <w:noWrap w:val="0"/>
            <w:vAlign w:val="center"/>
          </w:tcPr>
          <w:p w14:paraId="477E46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环境空气 总悬浮颗粒物的测定 重量法</w:t>
            </w:r>
          </w:p>
          <w:p w14:paraId="70F2A2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HJ 1263-2022</w:t>
            </w:r>
          </w:p>
        </w:tc>
        <w:tc>
          <w:tcPr>
            <w:tcW w:w="907" w:type="pct"/>
            <w:noWrap w:val="0"/>
            <w:vAlign w:val="center"/>
          </w:tcPr>
          <w:p w14:paraId="0F61F2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空气/智能TSP综合采样器</w:t>
            </w:r>
          </w:p>
        </w:tc>
        <w:tc>
          <w:tcPr>
            <w:tcW w:w="796" w:type="pct"/>
            <w:noWrap w:val="0"/>
            <w:vAlign w:val="center"/>
          </w:tcPr>
          <w:p w14:paraId="513F24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崂应2050型</w:t>
            </w:r>
          </w:p>
        </w:tc>
        <w:tc>
          <w:tcPr>
            <w:tcW w:w="708" w:type="pct"/>
            <w:noWrap w:val="0"/>
            <w:vAlign w:val="center"/>
          </w:tcPr>
          <w:p w14:paraId="57B392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HFYQ-2047</w:t>
            </w:r>
            <w:r>
              <w:rPr>
                <w:rFonts w:hint="eastAsia" w:ascii="Times New Roman" w:hAnsi="Times New Roman"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lang w:val="en-US" w:eastAsia="zh-CN"/>
              </w:rPr>
              <w:t>HFYQ-204</w:t>
            </w:r>
            <w:r>
              <w:rPr>
                <w:rFonts w:hint="eastAsia" w:ascii="Times New Roman" w:hAnsi="Times New Roman" w:cs="Times New Roman"/>
                <w:color w:val="auto"/>
                <w:sz w:val="21"/>
                <w:szCs w:val="21"/>
                <w:highlight w:val="none"/>
                <w:lang w:val="en-US" w:eastAsia="zh-CN"/>
              </w:rPr>
              <w:t>8</w:t>
            </w:r>
          </w:p>
        </w:tc>
      </w:tr>
      <w:tr w14:paraId="1A037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51ACC0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continue"/>
            <w:noWrap w:val="0"/>
            <w:vAlign w:val="center"/>
          </w:tcPr>
          <w:p w14:paraId="630AE0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21" w:type="pct"/>
            <w:vMerge w:val="continue"/>
            <w:noWrap w:val="0"/>
            <w:vAlign w:val="center"/>
          </w:tcPr>
          <w:p w14:paraId="0C45A4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907" w:type="pct"/>
            <w:noWrap w:val="0"/>
            <w:vAlign w:val="center"/>
          </w:tcPr>
          <w:p w14:paraId="29F185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fr-FR" w:eastAsia="zh-CN"/>
              </w:rPr>
              <w:t>真空干燥箱</w:t>
            </w:r>
          </w:p>
        </w:tc>
        <w:tc>
          <w:tcPr>
            <w:tcW w:w="796" w:type="pct"/>
            <w:noWrap w:val="0"/>
            <w:vAlign w:val="center"/>
          </w:tcPr>
          <w:p w14:paraId="3E2092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DZ-2BCⅣ</w:t>
            </w:r>
          </w:p>
        </w:tc>
        <w:tc>
          <w:tcPr>
            <w:tcW w:w="708" w:type="pct"/>
            <w:noWrap w:val="0"/>
            <w:vAlign w:val="center"/>
          </w:tcPr>
          <w:p w14:paraId="216431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HFYQ-1015</w:t>
            </w:r>
          </w:p>
        </w:tc>
      </w:tr>
      <w:tr w14:paraId="6DB72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4D020B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continue"/>
            <w:noWrap w:val="0"/>
            <w:vAlign w:val="center"/>
          </w:tcPr>
          <w:p w14:paraId="262AA4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21" w:type="pct"/>
            <w:vMerge w:val="continue"/>
            <w:noWrap w:val="0"/>
            <w:vAlign w:val="center"/>
          </w:tcPr>
          <w:p w14:paraId="2D2736B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907" w:type="pct"/>
            <w:noWrap w:val="0"/>
            <w:vAlign w:val="center"/>
          </w:tcPr>
          <w:p w14:paraId="2245A0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恒温恒湿称重系统</w:t>
            </w:r>
          </w:p>
        </w:tc>
        <w:tc>
          <w:tcPr>
            <w:tcW w:w="796" w:type="pct"/>
            <w:noWrap w:val="0"/>
            <w:vAlign w:val="center"/>
          </w:tcPr>
          <w:p w14:paraId="571FC7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LB-350N</w:t>
            </w:r>
          </w:p>
        </w:tc>
        <w:tc>
          <w:tcPr>
            <w:tcW w:w="708" w:type="pct"/>
            <w:noWrap w:val="0"/>
            <w:vAlign w:val="center"/>
          </w:tcPr>
          <w:p w14:paraId="4B82F9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HFYQ-1040</w:t>
            </w:r>
          </w:p>
        </w:tc>
      </w:tr>
      <w:tr w14:paraId="7DC4C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7ECB20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continue"/>
            <w:noWrap w:val="0"/>
            <w:vAlign w:val="center"/>
          </w:tcPr>
          <w:p w14:paraId="324B50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21" w:type="pct"/>
            <w:vMerge w:val="continue"/>
            <w:noWrap w:val="0"/>
            <w:vAlign w:val="center"/>
          </w:tcPr>
          <w:p w14:paraId="4B8AF2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907" w:type="pct"/>
            <w:noWrap w:val="0"/>
            <w:vAlign w:val="center"/>
          </w:tcPr>
          <w:p w14:paraId="2CFADF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分析天平</w:t>
            </w:r>
          </w:p>
        </w:tc>
        <w:tc>
          <w:tcPr>
            <w:tcW w:w="796" w:type="pct"/>
            <w:noWrap w:val="0"/>
            <w:vAlign w:val="center"/>
          </w:tcPr>
          <w:p w14:paraId="40705B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AUW220D</w:t>
            </w:r>
          </w:p>
        </w:tc>
        <w:tc>
          <w:tcPr>
            <w:tcW w:w="708" w:type="pct"/>
            <w:noWrap w:val="0"/>
            <w:vAlign w:val="center"/>
          </w:tcPr>
          <w:p w14:paraId="3C1DDF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HFYQ-1041</w:t>
            </w:r>
          </w:p>
        </w:tc>
      </w:tr>
      <w:tr w14:paraId="3E7B4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71AFBA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restart"/>
            <w:noWrap w:val="0"/>
            <w:vAlign w:val="center"/>
          </w:tcPr>
          <w:p w14:paraId="4E4A98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eastAsia="zh-CN"/>
              </w:rPr>
              <w:t>汞</w:t>
            </w:r>
          </w:p>
        </w:tc>
        <w:tc>
          <w:tcPr>
            <w:tcW w:w="1521" w:type="pct"/>
            <w:vMerge w:val="restart"/>
            <w:noWrap w:val="0"/>
            <w:vAlign w:val="center"/>
          </w:tcPr>
          <w:p w14:paraId="601DBA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环境空气 汞的测定 巯基棉富集-冷原子荧光分光光度法（暂行）</w:t>
            </w:r>
          </w:p>
          <w:p w14:paraId="53F7B2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HJ 542-2009</w:t>
            </w:r>
          </w:p>
        </w:tc>
        <w:tc>
          <w:tcPr>
            <w:tcW w:w="907" w:type="pct"/>
            <w:noWrap w:val="0"/>
            <w:vAlign w:val="center"/>
          </w:tcPr>
          <w:p w14:paraId="5F05FE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空气/智能TSP综合采样器</w:t>
            </w:r>
          </w:p>
        </w:tc>
        <w:tc>
          <w:tcPr>
            <w:tcW w:w="796" w:type="pct"/>
            <w:noWrap w:val="0"/>
            <w:vAlign w:val="center"/>
          </w:tcPr>
          <w:p w14:paraId="057881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崂应2050型</w:t>
            </w:r>
          </w:p>
        </w:tc>
        <w:tc>
          <w:tcPr>
            <w:tcW w:w="708" w:type="pct"/>
            <w:noWrap w:val="0"/>
            <w:vAlign w:val="center"/>
          </w:tcPr>
          <w:p w14:paraId="1F8D4B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HFYQ-2049</w:t>
            </w:r>
            <w:r>
              <w:rPr>
                <w:rFonts w:hint="eastAsia" w:ascii="Times New Roman" w:hAnsi="Times New Roman"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lang w:val="en-US" w:eastAsia="zh-CN"/>
              </w:rPr>
              <w:t>HFYQ-20</w:t>
            </w:r>
            <w:r>
              <w:rPr>
                <w:rFonts w:hint="eastAsia" w:ascii="Times New Roman" w:hAnsi="Times New Roman" w:cs="Times New Roman"/>
                <w:color w:val="auto"/>
                <w:sz w:val="21"/>
                <w:szCs w:val="21"/>
                <w:highlight w:val="none"/>
                <w:lang w:val="en-US" w:eastAsia="zh-CN"/>
              </w:rPr>
              <w:t>50</w:t>
            </w:r>
          </w:p>
        </w:tc>
      </w:tr>
      <w:tr w14:paraId="506EB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2EB118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continue"/>
            <w:noWrap w:val="0"/>
            <w:vAlign w:val="center"/>
          </w:tcPr>
          <w:p w14:paraId="46D203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21" w:type="pct"/>
            <w:vMerge w:val="continue"/>
            <w:noWrap w:val="0"/>
            <w:vAlign w:val="center"/>
          </w:tcPr>
          <w:p w14:paraId="1B000D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907" w:type="pct"/>
            <w:noWrap w:val="0"/>
            <w:vAlign w:val="center"/>
          </w:tcPr>
          <w:p w14:paraId="56D47C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测汞仪</w:t>
            </w:r>
          </w:p>
        </w:tc>
        <w:tc>
          <w:tcPr>
            <w:tcW w:w="796" w:type="pct"/>
            <w:noWrap w:val="0"/>
            <w:vAlign w:val="center"/>
          </w:tcPr>
          <w:p w14:paraId="50A429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F732-V</w:t>
            </w:r>
          </w:p>
        </w:tc>
        <w:tc>
          <w:tcPr>
            <w:tcW w:w="708" w:type="pct"/>
            <w:noWrap w:val="0"/>
            <w:vAlign w:val="center"/>
          </w:tcPr>
          <w:p w14:paraId="40EC07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HFYQ-1008</w:t>
            </w:r>
          </w:p>
        </w:tc>
      </w:tr>
      <w:tr w14:paraId="158F3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676360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restart"/>
            <w:noWrap w:val="0"/>
            <w:vAlign w:val="center"/>
          </w:tcPr>
          <w:p w14:paraId="084E90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eastAsia="zh-CN"/>
              </w:rPr>
              <w:t>氨</w:t>
            </w:r>
          </w:p>
        </w:tc>
        <w:tc>
          <w:tcPr>
            <w:tcW w:w="1521" w:type="pct"/>
            <w:vMerge w:val="restart"/>
            <w:noWrap w:val="0"/>
            <w:vAlign w:val="center"/>
          </w:tcPr>
          <w:p w14:paraId="60E31F3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环境空气和废气 氨的测定 纳氏试剂分光光度法HJ 533-2009</w:t>
            </w:r>
          </w:p>
        </w:tc>
        <w:tc>
          <w:tcPr>
            <w:tcW w:w="907" w:type="pct"/>
            <w:noWrap w:val="0"/>
            <w:vAlign w:val="center"/>
          </w:tcPr>
          <w:p w14:paraId="51CC32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空气/智能TSP综合采样器</w:t>
            </w:r>
          </w:p>
        </w:tc>
        <w:tc>
          <w:tcPr>
            <w:tcW w:w="796" w:type="pct"/>
            <w:noWrap w:val="0"/>
            <w:vAlign w:val="center"/>
          </w:tcPr>
          <w:p w14:paraId="197693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崂应2050型</w:t>
            </w:r>
          </w:p>
        </w:tc>
        <w:tc>
          <w:tcPr>
            <w:tcW w:w="708" w:type="pct"/>
            <w:noWrap w:val="0"/>
            <w:vAlign w:val="center"/>
          </w:tcPr>
          <w:p w14:paraId="19755A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HFYQ-2049</w:t>
            </w:r>
            <w:r>
              <w:rPr>
                <w:rFonts w:hint="eastAsia" w:ascii="Times New Roman" w:hAnsi="Times New Roman"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lang w:val="en-US" w:eastAsia="zh-CN"/>
              </w:rPr>
              <w:t>HFYQ-20</w:t>
            </w:r>
            <w:r>
              <w:rPr>
                <w:rFonts w:hint="eastAsia" w:ascii="Times New Roman" w:hAnsi="Times New Roman" w:cs="Times New Roman"/>
                <w:color w:val="auto"/>
                <w:sz w:val="21"/>
                <w:szCs w:val="21"/>
                <w:highlight w:val="none"/>
                <w:lang w:val="en-US" w:eastAsia="zh-CN"/>
              </w:rPr>
              <w:t>50</w:t>
            </w:r>
          </w:p>
        </w:tc>
      </w:tr>
      <w:tr w14:paraId="5F89E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671DE5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continue"/>
            <w:noWrap w:val="0"/>
            <w:vAlign w:val="center"/>
          </w:tcPr>
          <w:p w14:paraId="001D6D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21" w:type="pct"/>
            <w:vMerge w:val="continue"/>
            <w:noWrap w:val="0"/>
            <w:vAlign w:val="center"/>
          </w:tcPr>
          <w:p w14:paraId="5F9298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907" w:type="pct"/>
            <w:noWrap w:val="0"/>
            <w:vAlign w:val="center"/>
          </w:tcPr>
          <w:p w14:paraId="308437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紫外可见分光光度计</w:t>
            </w:r>
          </w:p>
        </w:tc>
        <w:tc>
          <w:tcPr>
            <w:tcW w:w="796" w:type="pct"/>
            <w:noWrap w:val="0"/>
            <w:vAlign w:val="center"/>
          </w:tcPr>
          <w:p w14:paraId="3B81EB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T6新世纪</w:t>
            </w:r>
          </w:p>
        </w:tc>
        <w:tc>
          <w:tcPr>
            <w:tcW w:w="708" w:type="pct"/>
            <w:noWrap w:val="0"/>
            <w:vAlign w:val="center"/>
          </w:tcPr>
          <w:p w14:paraId="4A813E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HFYQ-1049</w:t>
            </w:r>
          </w:p>
        </w:tc>
      </w:tr>
      <w:tr w14:paraId="2E298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46937B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restart"/>
            <w:noWrap w:val="0"/>
            <w:vAlign w:val="center"/>
          </w:tcPr>
          <w:p w14:paraId="0C6EF1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氮氧化物</w:t>
            </w:r>
          </w:p>
        </w:tc>
        <w:tc>
          <w:tcPr>
            <w:tcW w:w="1521" w:type="pct"/>
            <w:vMerge w:val="restart"/>
            <w:noWrap w:val="0"/>
            <w:vAlign w:val="center"/>
          </w:tcPr>
          <w:p w14:paraId="476A4F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环境空气 氮氧化物（一氧化氮和二氧化氮）的测定 盐酸萘乙二胺分光光度法HJ 479-2009</w:t>
            </w:r>
          </w:p>
        </w:tc>
        <w:tc>
          <w:tcPr>
            <w:tcW w:w="907" w:type="pct"/>
            <w:noWrap w:val="0"/>
            <w:vAlign w:val="center"/>
          </w:tcPr>
          <w:p w14:paraId="5C87B0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空气/智能TSP综合采样器</w:t>
            </w:r>
          </w:p>
        </w:tc>
        <w:tc>
          <w:tcPr>
            <w:tcW w:w="796" w:type="pct"/>
            <w:noWrap w:val="0"/>
            <w:vAlign w:val="center"/>
          </w:tcPr>
          <w:p w14:paraId="7DF630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崂应2050型</w:t>
            </w:r>
          </w:p>
        </w:tc>
        <w:tc>
          <w:tcPr>
            <w:tcW w:w="708" w:type="pct"/>
            <w:noWrap w:val="0"/>
            <w:vAlign w:val="center"/>
          </w:tcPr>
          <w:p w14:paraId="4E3A4D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HFYQ-2047</w:t>
            </w:r>
            <w:r>
              <w:rPr>
                <w:rFonts w:hint="eastAsia" w:ascii="Times New Roman" w:hAnsi="Times New Roman"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lang w:val="en-US" w:eastAsia="zh-CN"/>
              </w:rPr>
              <w:t>HFYQ-204</w:t>
            </w:r>
            <w:r>
              <w:rPr>
                <w:rFonts w:hint="eastAsia" w:ascii="Times New Roman" w:hAnsi="Times New Roman" w:cs="Times New Roman"/>
                <w:color w:val="auto"/>
                <w:sz w:val="21"/>
                <w:szCs w:val="21"/>
                <w:highlight w:val="none"/>
                <w:lang w:val="en-US" w:eastAsia="zh-CN"/>
              </w:rPr>
              <w:t>8</w:t>
            </w:r>
          </w:p>
        </w:tc>
      </w:tr>
      <w:tr w14:paraId="24E5E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90" w:type="pct"/>
            <w:vMerge w:val="continue"/>
            <w:noWrap w:val="0"/>
            <w:vAlign w:val="center"/>
          </w:tcPr>
          <w:p w14:paraId="2EF7F6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75" w:type="pct"/>
            <w:vMerge w:val="continue"/>
            <w:noWrap w:val="0"/>
            <w:vAlign w:val="center"/>
          </w:tcPr>
          <w:p w14:paraId="531A07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21" w:type="pct"/>
            <w:vMerge w:val="continue"/>
            <w:noWrap w:val="0"/>
            <w:vAlign w:val="center"/>
          </w:tcPr>
          <w:p w14:paraId="6D1FA9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907" w:type="pct"/>
            <w:noWrap w:val="0"/>
            <w:vAlign w:val="center"/>
          </w:tcPr>
          <w:p w14:paraId="28B6D4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紫外可见分光光度计</w:t>
            </w:r>
          </w:p>
        </w:tc>
        <w:tc>
          <w:tcPr>
            <w:tcW w:w="796" w:type="pct"/>
            <w:noWrap w:val="0"/>
            <w:vAlign w:val="center"/>
          </w:tcPr>
          <w:p w14:paraId="4B3B53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eastAsia="zh-CN"/>
              </w:rPr>
              <w:t>T6新世纪</w:t>
            </w:r>
          </w:p>
        </w:tc>
        <w:tc>
          <w:tcPr>
            <w:tcW w:w="708" w:type="pct"/>
            <w:noWrap w:val="0"/>
            <w:vAlign w:val="center"/>
          </w:tcPr>
          <w:p w14:paraId="09FF3B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eastAsia="zh-CN"/>
              </w:rPr>
              <w:t>HFYQ-1049</w:t>
            </w:r>
          </w:p>
        </w:tc>
      </w:tr>
    </w:tbl>
    <w:p w14:paraId="1D1C8FF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（3）监测点位基本信息</w:t>
      </w:r>
    </w:p>
    <w:p w14:paraId="74E3ABC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本项目监测点位基本信息见表</w:t>
      </w:r>
      <w:r>
        <w:rPr>
          <w:rFonts w:hint="eastAsia" w:ascii="Times New Roman" w:hAnsi="Times New Roman" w:eastAsia="宋体" w:cs="Times New Roman"/>
          <w:color w:val="auto"/>
          <w:sz w:val="24"/>
          <w:szCs w:val="24"/>
          <w:highlight w:val="none"/>
          <w:lang w:val="en-US" w:eastAsia="zh-CN"/>
        </w:rPr>
        <w:t>5.2</w:t>
      </w:r>
      <w:r>
        <w:rPr>
          <w:rFonts w:hint="default" w:ascii="Times New Roman" w:hAnsi="Times New Roman" w:eastAsia="宋体" w:cs="Times New Roman"/>
          <w:color w:val="auto"/>
          <w:sz w:val="24"/>
          <w:szCs w:val="24"/>
          <w:highlight w:val="none"/>
          <w:lang w:val="en-US" w:eastAsia="zh-CN"/>
        </w:rPr>
        <w:t>-3及图</w:t>
      </w:r>
      <w:r>
        <w:rPr>
          <w:rFonts w:hint="eastAsia" w:ascii="Times New Roman" w:hAnsi="Times New Roman" w:eastAsia="宋体" w:cs="Times New Roman"/>
          <w:color w:val="auto"/>
          <w:sz w:val="24"/>
          <w:szCs w:val="24"/>
          <w:highlight w:val="none"/>
          <w:lang w:val="en-US" w:eastAsia="zh-CN"/>
        </w:rPr>
        <w:t>5.2</w:t>
      </w:r>
      <w:r>
        <w:rPr>
          <w:rFonts w:hint="default" w:ascii="Times New Roman" w:hAnsi="Times New Roman" w:eastAsia="宋体" w:cs="Times New Roman"/>
          <w:color w:val="auto"/>
          <w:sz w:val="24"/>
          <w:szCs w:val="24"/>
          <w:highlight w:val="none"/>
          <w:lang w:val="en-US" w:eastAsia="zh-CN"/>
        </w:rPr>
        <w:t>-1。</w:t>
      </w:r>
    </w:p>
    <w:p w14:paraId="209A37A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其他污染物监测点位基本信息表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9"/>
        <w:gridCol w:w="2820"/>
        <w:gridCol w:w="881"/>
        <w:gridCol w:w="1481"/>
        <w:gridCol w:w="1515"/>
      </w:tblGrid>
      <w:tr w14:paraId="7FC70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DDCC9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采样地点</w:t>
            </w:r>
          </w:p>
        </w:tc>
        <w:tc>
          <w:tcPr>
            <w:tcW w:w="159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A3B79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检测项目</w:t>
            </w:r>
          </w:p>
        </w:tc>
        <w:tc>
          <w:tcPr>
            <w:tcW w:w="49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EF25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w:t>
            </w:r>
          </w:p>
          <w:p w14:paraId="6FD2B2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天数</w:t>
            </w:r>
          </w:p>
        </w:tc>
        <w:tc>
          <w:tcPr>
            <w:tcW w:w="8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5A2E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采样时间</w:t>
            </w:r>
          </w:p>
        </w:tc>
        <w:tc>
          <w:tcPr>
            <w:tcW w:w="85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86B4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w:t>
            </w:r>
          </w:p>
          <w:p w14:paraId="7695F0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频次</w:t>
            </w:r>
          </w:p>
        </w:tc>
      </w:tr>
      <w:tr w14:paraId="4762D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14" w:type="pct"/>
            <w:vMerge w:val="restart"/>
            <w:tcBorders>
              <w:top w:val="single" w:color="auto" w:sz="4" w:space="0"/>
              <w:left w:val="single" w:color="auto" w:sz="4" w:space="0"/>
              <w:right w:val="single" w:color="auto" w:sz="4" w:space="0"/>
              <w:tl2br w:val="nil"/>
              <w:tr2bl w:val="nil"/>
            </w:tcBorders>
            <w:noWrap w:val="0"/>
            <w:vAlign w:val="center"/>
          </w:tcPr>
          <w:p w14:paraId="0D559B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八五二农场G1</w:t>
            </w:r>
          </w:p>
        </w:tc>
        <w:tc>
          <w:tcPr>
            <w:tcW w:w="159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15FC4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TSP、汞、氮氧化物</w:t>
            </w:r>
          </w:p>
        </w:tc>
        <w:tc>
          <w:tcPr>
            <w:tcW w:w="498" w:type="pct"/>
            <w:vMerge w:val="restart"/>
            <w:tcBorders>
              <w:top w:val="single" w:color="auto" w:sz="4" w:space="0"/>
              <w:left w:val="single" w:color="auto" w:sz="4" w:space="0"/>
              <w:right w:val="single" w:color="auto" w:sz="4" w:space="0"/>
              <w:tl2br w:val="nil"/>
              <w:tr2bl w:val="nil"/>
            </w:tcBorders>
            <w:noWrap w:val="0"/>
            <w:vAlign w:val="center"/>
          </w:tcPr>
          <w:p w14:paraId="34312C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7天</w:t>
            </w:r>
          </w:p>
        </w:tc>
        <w:tc>
          <w:tcPr>
            <w:tcW w:w="8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EEA75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24小时均值</w:t>
            </w:r>
          </w:p>
        </w:tc>
        <w:tc>
          <w:tcPr>
            <w:tcW w:w="856" w:type="pct"/>
            <w:vMerge w:val="restart"/>
            <w:tcBorders>
              <w:top w:val="single" w:color="auto" w:sz="4" w:space="0"/>
              <w:left w:val="single" w:color="auto" w:sz="4" w:space="0"/>
              <w:right w:val="single" w:color="auto" w:sz="4" w:space="0"/>
              <w:tl2br w:val="nil"/>
              <w:tr2bl w:val="nil"/>
            </w:tcBorders>
            <w:noWrap w:val="0"/>
            <w:vAlign w:val="center"/>
          </w:tcPr>
          <w:p w14:paraId="759F4E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连续7天</w:t>
            </w:r>
          </w:p>
        </w:tc>
      </w:tr>
      <w:tr w14:paraId="5E31C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14" w:type="pct"/>
            <w:vMerge w:val="continue"/>
            <w:tcBorders>
              <w:left w:val="single" w:color="auto" w:sz="4" w:space="0"/>
              <w:right w:val="single" w:color="auto" w:sz="4" w:space="0"/>
              <w:tl2br w:val="nil"/>
              <w:tr2bl w:val="nil"/>
            </w:tcBorders>
            <w:noWrap w:val="0"/>
            <w:vAlign w:val="center"/>
          </w:tcPr>
          <w:p w14:paraId="0D5C72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9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1B5D6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氨、氮氧化物</w:t>
            </w:r>
          </w:p>
        </w:tc>
        <w:tc>
          <w:tcPr>
            <w:tcW w:w="498" w:type="pct"/>
            <w:vMerge w:val="continue"/>
            <w:tcBorders>
              <w:left w:val="single" w:color="auto" w:sz="4" w:space="0"/>
              <w:right w:val="single" w:color="auto" w:sz="4" w:space="0"/>
              <w:tl2br w:val="nil"/>
              <w:tr2bl w:val="nil"/>
            </w:tcBorders>
            <w:noWrap w:val="0"/>
            <w:vAlign w:val="center"/>
          </w:tcPr>
          <w:p w14:paraId="0A490E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BD8FD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1小时均值</w:t>
            </w:r>
          </w:p>
        </w:tc>
        <w:tc>
          <w:tcPr>
            <w:tcW w:w="856" w:type="pct"/>
            <w:vMerge w:val="continue"/>
            <w:tcBorders>
              <w:left w:val="single" w:color="auto" w:sz="4" w:space="0"/>
              <w:right w:val="single" w:color="auto" w:sz="4" w:space="0"/>
              <w:tl2br w:val="nil"/>
              <w:tr2bl w:val="nil"/>
            </w:tcBorders>
            <w:noWrap w:val="0"/>
            <w:vAlign w:val="center"/>
          </w:tcPr>
          <w:p w14:paraId="593105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02CAE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14" w:type="pct"/>
            <w:vMerge w:val="restart"/>
            <w:tcBorders>
              <w:left w:val="single" w:color="auto" w:sz="4" w:space="0"/>
              <w:right w:val="single" w:color="auto" w:sz="4" w:space="0"/>
              <w:tl2br w:val="nil"/>
              <w:tr2bl w:val="nil"/>
            </w:tcBorders>
            <w:noWrap w:val="0"/>
            <w:vAlign w:val="center"/>
          </w:tcPr>
          <w:p w14:paraId="1EC6B5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厂址下风向G2</w:t>
            </w:r>
          </w:p>
        </w:tc>
        <w:tc>
          <w:tcPr>
            <w:tcW w:w="159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B3522E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TSP、汞、氮氧化物</w:t>
            </w:r>
          </w:p>
        </w:tc>
        <w:tc>
          <w:tcPr>
            <w:tcW w:w="498" w:type="pct"/>
            <w:vMerge w:val="restart"/>
            <w:tcBorders>
              <w:left w:val="single" w:color="auto" w:sz="4" w:space="0"/>
              <w:right w:val="single" w:color="auto" w:sz="4" w:space="0"/>
              <w:tl2br w:val="nil"/>
              <w:tr2bl w:val="nil"/>
            </w:tcBorders>
            <w:noWrap w:val="0"/>
            <w:vAlign w:val="center"/>
          </w:tcPr>
          <w:p w14:paraId="1C34E95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7天</w:t>
            </w:r>
          </w:p>
        </w:tc>
        <w:tc>
          <w:tcPr>
            <w:tcW w:w="8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D47AAF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24小时均值</w:t>
            </w:r>
          </w:p>
        </w:tc>
        <w:tc>
          <w:tcPr>
            <w:tcW w:w="856" w:type="pct"/>
            <w:vMerge w:val="restart"/>
            <w:tcBorders>
              <w:left w:val="single" w:color="auto" w:sz="4" w:space="0"/>
              <w:right w:val="single" w:color="auto" w:sz="4" w:space="0"/>
              <w:tl2br w:val="nil"/>
              <w:tr2bl w:val="nil"/>
            </w:tcBorders>
            <w:noWrap w:val="0"/>
            <w:vAlign w:val="center"/>
          </w:tcPr>
          <w:p w14:paraId="41DE75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连续7天</w:t>
            </w:r>
          </w:p>
        </w:tc>
      </w:tr>
      <w:tr w14:paraId="02119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14" w:type="pct"/>
            <w:vMerge w:val="continue"/>
            <w:tcBorders>
              <w:left w:val="single" w:color="auto" w:sz="4" w:space="0"/>
              <w:right w:val="single" w:color="auto" w:sz="4" w:space="0"/>
              <w:tl2br w:val="nil"/>
              <w:tr2bl w:val="nil"/>
            </w:tcBorders>
            <w:noWrap w:val="0"/>
            <w:vAlign w:val="center"/>
          </w:tcPr>
          <w:p w14:paraId="6647DF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9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5D1924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氨、氮氧化物</w:t>
            </w:r>
          </w:p>
        </w:tc>
        <w:tc>
          <w:tcPr>
            <w:tcW w:w="498" w:type="pct"/>
            <w:vMerge w:val="continue"/>
            <w:tcBorders>
              <w:left w:val="single" w:color="auto" w:sz="4" w:space="0"/>
              <w:bottom w:val="single" w:color="auto" w:sz="4" w:space="0"/>
              <w:right w:val="single" w:color="auto" w:sz="4" w:space="0"/>
              <w:tl2br w:val="nil"/>
              <w:tr2bl w:val="nil"/>
            </w:tcBorders>
            <w:noWrap w:val="0"/>
            <w:vAlign w:val="center"/>
          </w:tcPr>
          <w:p w14:paraId="4D10DE1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8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3C0BB4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1小时均值</w:t>
            </w:r>
          </w:p>
        </w:tc>
        <w:tc>
          <w:tcPr>
            <w:tcW w:w="856" w:type="pct"/>
            <w:vMerge w:val="continue"/>
            <w:tcBorders>
              <w:left w:val="single" w:color="auto" w:sz="4" w:space="0"/>
              <w:bottom w:val="single" w:color="auto" w:sz="4" w:space="0"/>
              <w:right w:val="single" w:color="auto" w:sz="4" w:space="0"/>
              <w:tl2br w:val="nil"/>
              <w:tr2bl w:val="nil"/>
            </w:tcBorders>
            <w:noWrap w:val="0"/>
            <w:vAlign w:val="center"/>
          </w:tcPr>
          <w:p w14:paraId="188542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bl>
    <w:p w14:paraId="6F131827">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textAlignment w:val="auto"/>
        <w:rPr>
          <w:rFonts w:hint="default" w:ascii="Times New Roman" w:hAnsi="Times New Roman" w:eastAsia="宋体" w:cs="Times New Roman"/>
          <w:b/>
          <w:color w:val="auto"/>
          <w:sz w:val="21"/>
          <w:szCs w:val="18"/>
        </w:rPr>
      </w:pPr>
      <w:r>
        <w:rPr>
          <w:rFonts w:hint="eastAsia"/>
          <w:color w:val="auto"/>
          <w:highlight w:val="none"/>
          <w:lang w:eastAsia="zh-CN"/>
        </w:rPr>
        <w:drawing>
          <wp:inline distT="0" distB="0" distL="114300" distR="114300">
            <wp:extent cx="5107940" cy="3822065"/>
            <wp:effectExtent l="0" t="0" r="10160" b="635"/>
            <wp:docPr id="19" name="图片 11" descr="8e18c540-8335-42cd-aab9-4cb0f1b45b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descr="8e18c540-8335-42cd-aab9-4cb0f1b45b66"/>
                    <pic:cNvPicPr>
                      <a:picLocks noChangeAspect="1"/>
                    </pic:cNvPicPr>
                  </pic:nvPicPr>
                  <pic:blipFill>
                    <a:blip r:embed="rId80"/>
                    <a:stretch>
                      <a:fillRect/>
                    </a:stretch>
                  </pic:blipFill>
                  <pic:spPr>
                    <a:xfrm>
                      <a:off x="0" y="0"/>
                      <a:ext cx="5107940" cy="3822065"/>
                    </a:xfrm>
                    <a:prstGeom prst="rect">
                      <a:avLst/>
                    </a:prstGeom>
                    <a:noFill/>
                    <a:ln>
                      <a:noFill/>
                    </a:ln>
                  </pic:spPr>
                </pic:pic>
              </a:graphicData>
            </a:graphic>
          </wp:inline>
        </w:drawing>
      </w:r>
    </w:p>
    <w:p w14:paraId="559045B8">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zh-CN" w:eastAsia="zh-CN"/>
        </w:rPr>
      </w:pPr>
      <w:r>
        <w:rPr>
          <w:rFonts w:hint="default" w:ascii="Times New Roman" w:hAnsi="Times New Roman" w:eastAsia="宋体" w:cs="Times New Roman"/>
          <w:b/>
          <w:bCs/>
          <w:color w:val="auto"/>
          <w:sz w:val="24"/>
          <w:szCs w:val="24"/>
          <w:lang w:val="en-US" w:eastAsia="zh-CN"/>
        </w:rPr>
        <w:t>图</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 xml:space="preserve">-1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环境空气检测点位布设图</w:t>
      </w:r>
    </w:p>
    <w:p w14:paraId="1E35BFF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（4）监测结果</w:t>
      </w:r>
    </w:p>
    <w:p w14:paraId="0BF2AAE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现状监测统计结果见表</w:t>
      </w:r>
      <w:r>
        <w:rPr>
          <w:rFonts w:hint="eastAsia" w:ascii="Times New Roman" w:hAnsi="Times New Roman" w:eastAsia="宋体" w:cs="Times New Roman"/>
          <w:color w:val="auto"/>
          <w:sz w:val="24"/>
          <w:szCs w:val="24"/>
          <w:highlight w:val="none"/>
          <w:lang w:val="en-US" w:eastAsia="zh-CN"/>
        </w:rPr>
        <w:t>5.2</w:t>
      </w:r>
      <w:r>
        <w:rPr>
          <w:rFonts w:hint="default" w:ascii="Times New Roman" w:hAnsi="Times New Roman" w:eastAsia="宋体" w:cs="Times New Roman"/>
          <w:color w:val="auto"/>
          <w:sz w:val="24"/>
          <w:szCs w:val="24"/>
          <w:highlight w:val="none"/>
          <w:lang w:val="en-US" w:eastAsia="zh-CN"/>
        </w:rPr>
        <w:t>-4、</w:t>
      </w:r>
      <w:r>
        <w:rPr>
          <w:rFonts w:hint="eastAsia" w:ascii="Times New Roman" w:hAnsi="Times New Roman" w:eastAsia="宋体" w:cs="Times New Roman"/>
          <w:color w:val="auto"/>
          <w:sz w:val="24"/>
          <w:szCs w:val="24"/>
          <w:highlight w:val="none"/>
          <w:lang w:val="en-US" w:eastAsia="zh-CN"/>
        </w:rPr>
        <w:t>5.2</w:t>
      </w:r>
      <w:r>
        <w:rPr>
          <w:rFonts w:hint="default" w:ascii="Times New Roman" w:hAnsi="Times New Roman" w:eastAsia="宋体" w:cs="Times New Roman"/>
          <w:color w:val="auto"/>
          <w:sz w:val="24"/>
          <w:szCs w:val="24"/>
          <w:highlight w:val="none"/>
          <w:lang w:val="en-US" w:eastAsia="zh-CN"/>
        </w:rPr>
        <w:t>-5。</w:t>
      </w:r>
    </w:p>
    <w:p w14:paraId="350E15B5">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37093E1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eastAsia="zh-CN"/>
        </w:rPr>
        <w:t xml:space="preserve"> </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环境质量现状监测结果统计表（日均值）</w:t>
      </w:r>
    </w:p>
    <w:tbl>
      <w:tblPr>
        <w:tblStyle w:val="4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2"/>
        <w:gridCol w:w="977"/>
        <w:gridCol w:w="1145"/>
        <w:gridCol w:w="1145"/>
        <w:gridCol w:w="1145"/>
        <w:gridCol w:w="1145"/>
        <w:gridCol w:w="1145"/>
        <w:gridCol w:w="1147"/>
      </w:tblGrid>
      <w:tr w14:paraId="4A584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222" w:type="dxa"/>
            <w:vMerge w:val="restart"/>
            <w:noWrap w:val="0"/>
            <w:vAlign w:val="center"/>
          </w:tcPr>
          <w:p w14:paraId="27B18C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w:t>
            </w:r>
          </w:p>
          <w:p w14:paraId="3187B5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日期</w:t>
            </w:r>
          </w:p>
        </w:tc>
        <w:tc>
          <w:tcPr>
            <w:tcW w:w="977" w:type="dxa"/>
            <w:vMerge w:val="restart"/>
            <w:noWrap w:val="0"/>
            <w:vAlign w:val="center"/>
          </w:tcPr>
          <w:p w14:paraId="3F643E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检测</w:t>
            </w:r>
          </w:p>
          <w:p w14:paraId="1C7B9A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频次</w:t>
            </w:r>
          </w:p>
        </w:tc>
        <w:tc>
          <w:tcPr>
            <w:tcW w:w="6872" w:type="dxa"/>
            <w:gridSpan w:val="6"/>
            <w:noWrap w:val="0"/>
            <w:vAlign w:val="center"/>
          </w:tcPr>
          <w:p w14:paraId="7FE550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检测结果</w:t>
            </w: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r>
      <w:tr w14:paraId="0CA3C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222" w:type="dxa"/>
            <w:vMerge w:val="continue"/>
            <w:noWrap w:val="0"/>
            <w:vAlign w:val="center"/>
          </w:tcPr>
          <w:p w14:paraId="03BB62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977" w:type="dxa"/>
            <w:vMerge w:val="continue"/>
            <w:noWrap w:val="0"/>
            <w:vAlign w:val="center"/>
          </w:tcPr>
          <w:p w14:paraId="3012B1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3435" w:type="dxa"/>
            <w:gridSpan w:val="3"/>
            <w:noWrap w:val="0"/>
            <w:vAlign w:val="center"/>
          </w:tcPr>
          <w:p w14:paraId="538FAC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八五二农场</w:t>
            </w:r>
          </w:p>
        </w:tc>
        <w:tc>
          <w:tcPr>
            <w:tcW w:w="3437" w:type="dxa"/>
            <w:gridSpan w:val="3"/>
            <w:noWrap w:val="0"/>
            <w:vAlign w:val="center"/>
          </w:tcPr>
          <w:p w14:paraId="05CF84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厂址下风向</w:t>
            </w:r>
          </w:p>
        </w:tc>
      </w:tr>
      <w:tr w14:paraId="322EC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222" w:type="dxa"/>
            <w:vMerge w:val="continue"/>
            <w:noWrap w:val="0"/>
            <w:vAlign w:val="center"/>
          </w:tcPr>
          <w:p w14:paraId="39AFED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977" w:type="dxa"/>
            <w:vMerge w:val="continue"/>
            <w:noWrap w:val="0"/>
            <w:vAlign w:val="center"/>
          </w:tcPr>
          <w:p w14:paraId="26BAB7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145" w:type="dxa"/>
            <w:noWrap w:val="0"/>
            <w:vAlign w:val="center"/>
          </w:tcPr>
          <w:p w14:paraId="6230B6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TSP</w:t>
            </w:r>
          </w:p>
        </w:tc>
        <w:tc>
          <w:tcPr>
            <w:tcW w:w="1145" w:type="dxa"/>
            <w:noWrap w:val="0"/>
            <w:vAlign w:val="center"/>
          </w:tcPr>
          <w:p w14:paraId="1D3147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汞</w:t>
            </w:r>
          </w:p>
        </w:tc>
        <w:tc>
          <w:tcPr>
            <w:tcW w:w="1145" w:type="dxa"/>
            <w:noWrap w:val="0"/>
            <w:vAlign w:val="center"/>
          </w:tcPr>
          <w:p w14:paraId="49F868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氮氧化物</w:t>
            </w:r>
          </w:p>
        </w:tc>
        <w:tc>
          <w:tcPr>
            <w:tcW w:w="1145" w:type="dxa"/>
            <w:noWrap w:val="0"/>
            <w:vAlign w:val="center"/>
          </w:tcPr>
          <w:p w14:paraId="365010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TSP</w:t>
            </w:r>
          </w:p>
        </w:tc>
        <w:tc>
          <w:tcPr>
            <w:tcW w:w="1145" w:type="dxa"/>
            <w:noWrap w:val="0"/>
            <w:vAlign w:val="center"/>
          </w:tcPr>
          <w:p w14:paraId="1DD242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汞</w:t>
            </w:r>
          </w:p>
        </w:tc>
        <w:tc>
          <w:tcPr>
            <w:tcW w:w="1147" w:type="dxa"/>
            <w:noWrap w:val="0"/>
            <w:vAlign w:val="center"/>
          </w:tcPr>
          <w:p w14:paraId="4ACF6B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氮氧化物</w:t>
            </w:r>
          </w:p>
        </w:tc>
      </w:tr>
      <w:tr w14:paraId="6E47F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22" w:type="dxa"/>
            <w:noWrap w:val="0"/>
            <w:vAlign w:val="center"/>
          </w:tcPr>
          <w:p w14:paraId="0B9A2D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6.03.19</w:t>
            </w:r>
          </w:p>
        </w:tc>
        <w:tc>
          <w:tcPr>
            <w:tcW w:w="977" w:type="dxa"/>
            <w:noWrap w:val="0"/>
            <w:vAlign w:val="center"/>
          </w:tcPr>
          <w:p w14:paraId="6BCAA9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日均值</w:t>
            </w:r>
          </w:p>
        </w:tc>
        <w:tc>
          <w:tcPr>
            <w:tcW w:w="1145" w:type="dxa"/>
            <w:noWrap w:val="0"/>
            <w:vAlign w:val="center"/>
          </w:tcPr>
          <w:p w14:paraId="1231C4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0.083 </w:t>
            </w:r>
          </w:p>
        </w:tc>
        <w:tc>
          <w:tcPr>
            <w:tcW w:w="1145" w:type="dxa"/>
            <w:noWrap w:val="0"/>
            <w:vAlign w:val="center"/>
          </w:tcPr>
          <w:p w14:paraId="125A1C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1145" w:type="dxa"/>
            <w:noWrap w:val="0"/>
            <w:vAlign w:val="center"/>
          </w:tcPr>
          <w:p w14:paraId="6FB7EB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0.019</w:t>
            </w:r>
          </w:p>
        </w:tc>
        <w:tc>
          <w:tcPr>
            <w:tcW w:w="1145" w:type="dxa"/>
            <w:noWrap w:val="0"/>
            <w:vAlign w:val="center"/>
          </w:tcPr>
          <w:p w14:paraId="466288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0.087 </w:t>
            </w:r>
          </w:p>
        </w:tc>
        <w:tc>
          <w:tcPr>
            <w:tcW w:w="1145" w:type="dxa"/>
            <w:noWrap w:val="0"/>
            <w:vAlign w:val="center"/>
          </w:tcPr>
          <w:p w14:paraId="1D8360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147" w:type="dxa"/>
            <w:noWrap w:val="0"/>
            <w:vAlign w:val="center"/>
          </w:tcPr>
          <w:p w14:paraId="612F1F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0.021</w:t>
            </w:r>
          </w:p>
        </w:tc>
      </w:tr>
      <w:tr w14:paraId="11907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0" w:type="auto"/>
            <w:noWrap w:val="0"/>
            <w:vAlign w:val="center"/>
          </w:tcPr>
          <w:p w14:paraId="0AA403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6.03.20</w:t>
            </w:r>
          </w:p>
        </w:tc>
        <w:tc>
          <w:tcPr>
            <w:tcW w:w="977" w:type="dxa"/>
            <w:noWrap w:val="0"/>
            <w:vAlign w:val="top"/>
          </w:tcPr>
          <w:p w14:paraId="5CA19B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日均值</w:t>
            </w:r>
          </w:p>
        </w:tc>
        <w:tc>
          <w:tcPr>
            <w:tcW w:w="1145" w:type="dxa"/>
            <w:noWrap w:val="0"/>
            <w:vAlign w:val="center"/>
          </w:tcPr>
          <w:p w14:paraId="683E63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0.089 </w:t>
            </w:r>
          </w:p>
        </w:tc>
        <w:tc>
          <w:tcPr>
            <w:tcW w:w="1145" w:type="dxa"/>
            <w:noWrap w:val="0"/>
            <w:vAlign w:val="center"/>
          </w:tcPr>
          <w:p w14:paraId="54BB12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1145" w:type="dxa"/>
            <w:noWrap w:val="0"/>
            <w:vAlign w:val="center"/>
          </w:tcPr>
          <w:p w14:paraId="10AAE7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0.024</w:t>
            </w:r>
          </w:p>
        </w:tc>
        <w:tc>
          <w:tcPr>
            <w:tcW w:w="1145" w:type="dxa"/>
            <w:noWrap w:val="0"/>
            <w:vAlign w:val="center"/>
          </w:tcPr>
          <w:p w14:paraId="5F0FBF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0.091 </w:t>
            </w:r>
          </w:p>
        </w:tc>
        <w:tc>
          <w:tcPr>
            <w:tcW w:w="1145" w:type="dxa"/>
            <w:noWrap w:val="0"/>
            <w:vAlign w:val="center"/>
          </w:tcPr>
          <w:p w14:paraId="4BE182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147" w:type="dxa"/>
            <w:noWrap w:val="0"/>
            <w:vAlign w:val="center"/>
          </w:tcPr>
          <w:p w14:paraId="1991E2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0.028</w:t>
            </w:r>
          </w:p>
        </w:tc>
      </w:tr>
      <w:tr w14:paraId="63250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0" w:type="auto"/>
            <w:noWrap w:val="0"/>
            <w:vAlign w:val="center"/>
          </w:tcPr>
          <w:p w14:paraId="4632C7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6.03.21</w:t>
            </w:r>
          </w:p>
        </w:tc>
        <w:tc>
          <w:tcPr>
            <w:tcW w:w="977" w:type="dxa"/>
            <w:noWrap w:val="0"/>
            <w:vAlign w:val="top"/>
          </w:tcPr>
          <w:p w14:paraId="6F3907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日均值</w:t>
            </w:r>
          </w:p>
        </w:tc>
        <w:tc>
          <w:tcPr>
            <w:tcW w:w="1145" w:type="dxa"/>
            <w:noWrap w:val="0"/>
            <w:vAlign w:val="center"/>
          </w:tcPr>
          <w:p w14:paraId="08D1E8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0.088 </w:t>
            </w:r>
          </w:p>
        </w:tc>
        <w:tc>
          <w:tcPr>
            <w:tcW w:w="1145" w:type="dxa"/>
            <w:noWrap w:val="0"/>
            <w:vAlign w:val="center"/>
          </w:tcPr>
          <w:p w14:paraId="43484AA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1145" w:type="dxa"/>
            <w:noWrap w:val="0"/>
            <w:vAlign w:val="center"/>
          </w:tcPr>
          <w:p w14:paraId="662438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0.021</w:t>
            </w:r>
          </w:p>
        </w:tc>
        <w:tc>
          <w:tcPr>
            <w:tcW w:w="1145" w:type="dxa"/>
            <w:noWrap w:val="0"/>
            <w:vAlign w:val="center"/>
          </w:tcPr>
          <w:p w14:paraId="23837C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0.090 </w:t>
            </w:r>
          </w:p>
        </w:tc>
        <w:tc>
          <w:tcPr>
            <w:tcW w:w="1145" w:type="dxa"/>
            <w:noWrap w:val="0"/>
            <w:vAlign w:val="center"/>
          </w:tcPr>
          <w:p w14:paraId="262D39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147" w:type="dxa"/>
            <w:noWrap w:val="0"/>
            <w:vAlign w:val="center"/>
          </w:tcPr>
          <w:p w14:paraId="72403E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0.026</w:t>
            </w:r>
          </w:p>
        </w:tc>
      </w:tr>
      <w:tr w14:paraId="5B49C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0" w:type="auto"/>
            <w:noWrap w:val="0"/>
            <w:vAlign w:val="center"/>
          </w:tcPr>
          <w:p w14:paraId="3966E5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6.03.22</w:t>
            </w:r>
          </w:p>
        </w:tc>
        <w:tc>
          <w:tcPr>
            <w:tcW w:w="977" w:type="dxa"/>
            <w:noWrap w:val="0"/>
            <w:vAlign w:val="top"/>
          </w:tcPr>
          <w:p w14:paraId="77BFAA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日均值</w:t>
            </w:r>
          </w:p>
        </w:tc>
        <w:tc>
          <w:tcPr>
            <w:tcW w:w="1145" w:type="dxa"/>
            <w:noWrap w:val="0"/>
            <w:vAlign w:val="center"/>
          </w:tcPr>
          <w:p w14:paraId="0C5473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0.091 </w:t>
            </w:r>
          </w:p>
        </w:tc>
        <w:tc>
          <w:tcPr>
            <w:tcW w:w="1145" w:type="dxa"/>
            <w:noWrap w:val="0"/>
            <w:vAlign w:val="center"/>
          </w:tcPr>
          <w:p w14:paraId="1EBBEE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1145" w:type="dxa"/>
            <w:noWrap w:val="0"/>
            <w:vAlign w:val="center"/>
          </w:tcPr>
          <w:p w14:paraId="5FDB6C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0.016</w:t>
            </w:r>
          </w:p>
        </w:tc>
        <w:tc>
          <w:tcPr>
            <w:tcW w:w="1145" w:type="dxa"/>
            <w:noWrap w:val="0"/>
            <w:vAlign w:val="center"/>
          </w:tcPr>
          <w:p w14:paraId="5EB934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0.094 </w:t>
            </w:r>
          </w:p>
        </w:tc>
        <w:tc>
          <w:tcPr>
            <w:tcW w:w="1145" w:type="dxa"/>
            <w:noWrap w:val="0"/>
            <w:vAlign w:val="center"/>
          </w:tcPr>
          <w:p w14:paraId="632DB0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147" w:type="dxa"/>
            <w:noWrap w:val="0"/>
            <w:vAlign w:val="center"/>
          </w:tcPr>
          <w:p w14:paraId="76BE16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0.020</w:t>
            </w:r>
          </w:p>
        </w:tc>
      </w:tr>
      <w:tr w14:paraId="5281F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0" w:type="auto"/>
            <w:noWrap w:val="0"/>
            <w:vAlign w:val="center"/>
          </w:tcPr>
          <w:p w14:paraId="6154AD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6.03.23</w:t>
            </w:r>
          </w:p>
        </w:tc>
        <w:tc>
          <w:tcPr>
            <w:tcW w:w="977" w:type="dxa"/>
            <w:noWrap w:val="0"/>
            <w:vAlign w:val="top"/>
          </w:tcPr>
          <w:p w14:paraId="67A426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日均值</w:t>
            </w:r>
          </w:p>
        </w:tc>
        <w:tc>
          <w:tcPr>
            <w:tcW w:w="1145" w:type="dxa"/>
            <w:noWrap w:val="0"/>
            <w:vAlign w:val="center"/>
          </w:tcPr>
          <w:p w14:paraId="28D1E1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0.093 </w:t>
            </w:r>
          </w:p>
        </w:tc>
        <w:tc>
          <w:tcPr>
            <w:tcW w:w="1145" w:type="dxa"/>
            <w:noWrap w:val="0"/>
            <w:vAlign w:val="center"/>
          </w:tcPr>
          <w:p w14:paraId="5F5C42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1145" w:type="dxa"/>
            <w:noWrap w:val="0"/>
            <w:vAlign w:val="center"/>
          </w:tcPr>
          <w:p w14:paraId="461973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0.016</w:t>
            </w:r>
          </w:p>
        </w:tc>
        <w:tc>
          <w:tcPr>
            <w:tcW w:w="1145" w:type="dxa"/>
            <w:noWrap w:val="0"/>
            <w:vAlign w:val="center"/>
          </w:tcPr>
          <w:p w14:paraId="3AFD3A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0.095 </w:t>
            </w:r>
          </w:p>
        </w:tc>
        <w:tc>
          <w:tcPr>
            <w:tcW w:w="1145" w:type="dxa"/>
            <w:noWrap w:val="0"/>
            <w:vAlign w:val="center"/>
          </w:tcPr>
          <w:p w14:paraId="0D5ED8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147" w:type="dxa"/>
            <w:noWrap w:val="0"/>
            <w:vAlign w:val="center"/>
          </w:tcPr>
          <w:p w14:paraId="5EDB654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0.022</w:t>
            </w:r>
          </w:p>
        </w:tc>
      </w:tr>
      <w:tr w14:paraId="3D93D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0" w:type="auto"/>
            <w:noWrap w:val="0"/>
            <w:vAlign w:val="center"/>
          </w:tcPr>
          <w:p w14:paraId="47DAC0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6.03.24</w:t>
            </w:r>
          </w:p>
        </w:tc>
        <w:tc>
          <w:tcPr>
            <w:tcW w:w="977" w:type="dxa"/>
            <w:noWrap w:val="0"/>
            <w:vAlign w:val="top"/>
          </w:tcPr>
          <w:p w14:paraId="1B0EE5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日均值</w:t>
            </w:r>
          </w:p>
        </w:tc>
        <w:tc>
          <w:tcPr>
            <w:tcW w:w="1145" w:type="dxa"/>
            <w:noWrap w:val="0"/>
            <w:vAlign w:val="center"/>
          </w:tcPr>
          <w:p w14:paraId="5FA615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0.090 </w:t>
            </w:r>
          </w:p>
        </w:tc>
        <w:tc>
          <w:tcPr>
            <w:tcW w:w="1145" w:type="dxa"/>
            <w:noWrap w:val="0"/>
            <w:vAlign w:val="center"/>
          </w:tcPr>
          <w:p w14:paraId="6A47C5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1145" w:type="dxa"/>
            <w:noWrap w:val="0"/>
            <w:vAlign w:val="center"/>
          </w:tcPr>
          <w:p w14:paraId="27A008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0.022</w:t>
            </w:r>
          </w:p>
        </w:tc>
        <w:tc>
          <w:tcPr>
            <w:tcW w:w="1145" w:type="dxa"/>
            <w:noWrap w:val="0"/>
            <w:vAlign w:val="center"/>
          </w:tcPr>
          <w:p w14:paraId="33752B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0.092 </w:t>
            </w:r>
          </w:p>
        </w:tc>
        <w:tc>
          <w:tcPr>
            <w:tcW w:w="1145" w:type="dxa"/>
            <w:noWrap w:val="0"/>
            <w:vAlign w:val="center"/>
          </w:tcPr>
          <w:p w14:paraId="5D1D82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147" w:type="dxa"/>
            <w:noWrap w:val="0"/>
            <w:vAlign w:val="center"/>
          </w:tcPr>
          <w:p w14:paraId="63E653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0.025</w:t>
            </w:r>
          </w:p>
        </w:tc>
      </w:tr>
      <w:tr w14:paraId="1F6A0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0" w:type="auto"/>
            <w:noWrap w:val="0"/>
            <w:vAlign w:val="center"/>
          </w:tcPr>
          <w:p w14:paraId="1AE895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6.03.25</w:t>
            </w:r>
          </w:p>
        </w:tc>
        <w:tc>
          <w:tcPr>
            <w:tcW w:w="977" w:type="dxa"/>
            <w:noWrap w:val="0"/>
            <w:vAlign w:val="top"/>
          </w:tcPr>
          <w:p w14:paraId="7F5B15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日均值</w:t>
            </w:r>
          </w:p>
        </w:tc>
        <w:tc>
          <w:tcPr>
            <w:tcW w:w="1145" w:type="dxa"/>
            <w:noWrap w:val="0"/>
            <w:vAlign w:val="center"/>
          </w:tcPr>
          <w:p w14:paraId="124F53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0.092 </w:t>
            </w:r>
          </w:p>
        </w:tc>
        <w:tc>
          <w:tcPr>
            <w:tcW w:w="1145" w:type="dxa"/>
            <w:noWrap w:val="0"/>
            <w:vAlign w:val="center"/>
          </w:tcPr>
          <w:p w14:paraId="6AD95C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ND</w:t>
            </w:r>
          </w:p>
        </w:tc>
        <w:tc>
          <w:tcPr>
            <w:tcW w:w="1145" w:type="dxa"/>
            <w:noWrap w:val="0"/>
            <w:vAlign w:val="center"/>
          </w:tcPr>
          <w:p w14:paraId="23B715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0.023</w:t>
            </w:r>
          </w:p>
        </w:tc>
        <w:tc>
          <w:tcPr>
            <w:tcW w:w="1145" w:type="dxa"/>
            <w:noWrap w:val="0"/>
            <w:vAlign w:val="center"/>
          </w:tcPr>
          <w:p w14:paraId="0D8193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0.093 </w:t>
            </w:r>
          </w:p>
        </w:tc>
        <w:tc>
          <w:tcPr>
            <w:tcW w:w="1145" w:type="dxa"/>
            <w:noWrap w:val="0"/>
            <w:vAlign w:val="center"/>
          </w:tcPr>
          <w:p w14:paraId="5B91E6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147" w:type="dxa"/>
            <w:noWrap w:val="0"/>
            <w:vAlign w:val="center"/>
          </w:tcPr>
          <w:p w14:paraId="11DCA4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0.027</w:t>
            </w:r>
          </w:p>
        </w:tc>
      </w:tr>
    </w:tbl>
    <w:p w14:paraId="03166EB9">
      <w:pPr>
        <w:pStyle w:val="11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*注：ND表示未检出；</w:t>
      </w:r>
      <w:r>
        <w:rPr>
          <w:rFonts w:hint="default" w:ascii="Times New Roman" w:hAnsi="Times New Roman" w:eastAsia="宋体" w:cs="Times New Roman"/>
          <w:b/>
          <w:bCs/>
          <w:color w:val="auto"/>
          <w:kern w:val="2"/>
          <w:sz w:val="21"/>
          <w:szCs w:val="21"/>
          <w:highlight w:val="none"/>
          <w:lang w:val="en-US" w:eastAsia="zh-CN" w:bidi="ar-SA"/>
        </w:rPr>
        <w:t>汞</w:t>
      </w:r>
      <w:r>
        <w:rPr>
          <w:rFonts w:hint="default" w:ascii="Times New Roman" w:hAnsi="Times New Roman" w:eastAsia="宋体" w:cs="Times New Roman"/>
          <w:b/>
          <w:bCs/>
          <w:color w:val="auto"/>
          <w:sz w:val="21"/>
          <w:szCs w:val="21"/>
          <w:highlight w:val="none"/>
          <w:lang w:val="en-US" w:eastAsia="zh-CN"/>
        </w:rPr>
        <w:t>检出限为6.6×10</w:t>
      </w:r>
      <w:r>
        <w:rPr>
          <w:rFonts w:hint="default" w:ascii="Times New Roman" w:hAnsi="Times New Roman" w:eastAsia="宋体" w:cs="Times New Roman"/>
          <w:b/>
          <w:bCs/>
          <w:color w:val="auto"/>
          <w:sz w:val="21"/>
          <w:szCs w:val="21"/>
          <w:highlight w:val="none"/>
          <w:vertAlign w:val="superscript"/>
          <w:lang w:val="en-US" w:eastAsia="zh-CN"/>
        </w:rPr>
        <w:t>-6</w:t>
      </w:r>
      <w:r>
        <w:rPr>
          <w:rFonts w:hint="default" w:ascii="Times New Roman" w:hAnsi="Times New Roman" w:eastAsia="宋体" w:cs="Times New Roman"/>
          <w:b/>
          <w:bCs/>
          <w:color w:val="auto"/>
          <w:sz w:val="21"/>
          <w:szCs w:val="21"/>
          <w:highlight w:val="none"/>
          <w:lang w:val="en-US" w:eastAsia="zh-CN"/>
        </w:rPr>
        <w:t>mg/m</w:t>
      </w:r>
      <w:r>
        <w:rPr>
          <w:rFonts w:hint="default" w:ascii="Times New Roman" w:hAnsi="Times New Roman" w:eastAsia="宋体" w:cs="Times New Roman"/>
          <w:b/>
          <w:bCs/>
          <w:color w:val="auto"/>
          <w:sz w:val="21"/>
          <w:szCs w:val="21"/>
          <w:highlight w:val="none"/>
          <w:vertAlign w:val="superscript"/>
          <w:lang w:val="en-US" w:eastAsia="zh-CN"/>
        </w:rPr>
        <w:t>3</w:t>
      </w:r>
      <w:r>
        <w:rPr>
          <w:rFonts w:hint="default" w:ascii="Times New Roman" w:hAnsi="Times New Roman" w:eastAsia="宋体" w:cs="Times New Roman"/>
          <w:b/>
          <w:bCs/>
          <w:color w:val="auto"/>
          <w:sz w:val="21"/>
          <w:szCs w:val="21"/>
          <w:highlight w:val="none"/>
          <w:lang w:val="en-US" w:eastAsia="zh-CN"/>
        </w:rPr>
        <w:t>。</w:t>
      </w:r>
    </w:p>
    <w:p w14:paraId="799AF45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-5   环境质量现状监测结果统计表</w:t>
      </w:r>
      <w:r>
        <w:rPr>
          <w:rFonts w:hint="eastAsia" w:ascii="Times New Roman" w:hAnsi="Times New Roman" w:eastAsia="宋体" w:cs="Times New Roman"/>
          <w:b/>
          <w:bCs/>
          <w:color w:val="auto"/>
          <w:sz w:val="24"/>
          <w:szCs w:val="24"/>
          <w:lang w:val="en-US" w:eastAsia="zh-CN"/>
        </w:rPr>
        <w:t>（小时均值）</w:t>
      </w:r>
    </w:p>
    <w:tbl>
      <w:tblPr>
        <w:tblStyle w:val="4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9"/>
        <w:gridCol w:w="1550"/>
        <w:gridCol w:w="1518"/>
        <w:gridCol w:w="1518"/>
        <w:gridCol w:w="1518"/>
        <w:gridCol w:w="1518"/>
      </w:tblGrid>
      <w:tr w14:paraId="1CC91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007465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w:t>
            </w:r>
          </w:p>
          <w:p w14:paraId="7226BF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日期</w:t>
            </w:r>
          </w:p>
        </w:tc>
        <w:tc>
          <w:tcPr>
            <w:tcW w:w="1550" w:type="dxa"/>
            <w:vMerge w:val="restart"/>
            <w:noWrap w:val="0"/>
            <w:vAlign w:val="center"/>
          </w:tcPr>
          <w:p w14:paraId="685F72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采样频次</w:t>
            </w:r>
          </w:p>
        </w:tc>
        <w:tc>
          <w:tcPr>
            <w:tcW w:w="6072" w:type="dxa"/>
            <w:gridSpan w:val="4"/>
            <w:noWrap w:val="0"/>
            <w:vAlign w:val="center"/>
          </w:tcPr>
          <w:p w14:paraId="7680C1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检测结果</w:t>
            </w:r>
            <w:r>
              <w:rPr>
                <w:rFonts w:hint="default" w:ascii="Times New Roman" w:hAnsi="Times New Roman" w:cs="Times New Roman"/>
                <w:color w:val="auto"/>
                <w:sz w:val="21"/>
                <w:szCs w:val="21"/>
                <w:highlight w:val="none"/>
                <w:lang w:val="en-US" w:eastAsia="zh-CN"/>
              </w:rPr>
              <w:t>（mg/m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r>
      <w:tr w14:paraId="20B75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672C0A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vMerge w:val="continue"/>
            <w:noWrap w:val="0"/>
            <w:vAlign w:val="center"/>
          </w:tcPr>
          <w:p w14:paraId="15E5BA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3036" w:type="dxa"/>
            <w:gridSpan w:val="2"/>
            <w:noWrap w:val="0"/>
            <w:vAlign w:val="center"/>
          </w:tcPr>
          <w:p w14:paraId="121414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八五二农场</w:t>
            </w:r>
          </w:p>
        </w:tc>
        <w:tc>
          <w:tcPr>
            <w:tcW w:w="3036" w:type="dxa"/>
            <w:gridSpan w:val="2"/>
            <w:noWrap w:val="0"/>
            <w:vAlign w:val="center"/>
          </w:tcPr>
          <w:p w14:paraId="3BAEC5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厂址下风向</w:t>
            </w:r>
          </w:p>
        </w:tc>
      </w:tr>
      <w:tr w14:paraId="0A291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4C6800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vMerge w:val="continue"/>
            <w:noWrap w:val="0"/>
            <w:vAlign w:val="center"/>
          </w:tcPr>
          <w:p w14:paraId="04CE37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18" w:type="dxa"/>
            <w:noWrap w:val="0"/>
            <w:vAlign w:val="center"/>
          </w:tcPr>
          <w:p w14:paraId="21790E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w:t>
            </w:r>
          </w:p>
        </w:tc>
        <w:tc>
          <w:tcPr>
            <w:tcW w:w="1518" w:type="dxa"/>
            <w:noWrap w:val="0"/>
            <w:vAlign w:val="center"/>
          </w:tcPr>
          <w:p w14:paraId="209AE3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氮氧化物</w:t>
            </w:r>
          </w:p>
        </w:tc>
        <w:tc>
          <w:tcPr>
            <w:tcW w:w="1518" w:type="dxa"/>
            <w:noWrap w:val="0"/>
            <w:vAlign w:val="center"/>
          </w:tcPr>
          <w:p w14:paraId="6AAE71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w:t>
            </w:r>
          </w:p>
        </w:tc>
        <w:tc>
          <w:tcPr>
            <w:tcW w:w="1518" w:type="dxa"/>
            <w:noWrap w:val="0"/>
            <w:vAlign w:val="center"/>
          </w:tcPr>
          <w:p w14:paraId="025603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氮氧化物</w:t>
            </w:r>
          </w:p>
        </w:tc>
      </w:tr>
      <w:tr w14:paraId="0A05F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121091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6.03.19</w:t>
            </w:r>
          </w:p>
        </w:tc>
        <w:tc>
          <w:tcPr>
            <w:tcW w:w="1550" w:type="dxa"/>
            <w:noWrap w:val="0"/>
            <w:vAlign w:val="center"/>
          </w:tcPr>
          <w:p w14:paraId="26C17A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第一次</w:t>
            </w:r>
          </w:p>
        </w:tc>
        <w:tc>
          <w:tcPr>
            <w:tcW w:w="1518" w:type="dxa"/>
            <w:noWrap w:val="0"/>
            <w:vAlign w:val="center"/>
          </w:tcPr>
          <w:p w14:paraId="77A3B8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w:t>
            </w:r>
          </w:p>
        </w:tc>
        <w:tc>
          <w:tcPr>
            <w:tcW w:w="1518" w:type="dxa"/>
            <w:noWrap w:val="0"/>
            <w:vAlign w:val="center"/>
          </w:tcPr>
          <w:p w14:paraId="628014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w:t>
            </w:r>
            <w:r>
              <w:rPr>
                <w:rFonts w:hint="eastAsia" w:ascii="Times New Roman" w:hAnsi="Times New Roman" w:cs="Times New Roman"/>
                <w:color w:val="auto"/>
                <w:sz w:val="21"/>
                <w:szCs w:val="21"/>
                <w:highlight w:val="none"/>
                <w:lang w:val="en-US" w:eastAsia="zh-CN"/>
              </w:rPr>
              <w:t>22</w:t>
            </w:r>
          </w:p>
        </w:tc>
        <w:tc>
          <w:tcPr>
            <w:tcW w:w="1518" w:type="dxa"/>
            <w:noWrap w:val="0"/>
            <w:vAlign w:val="center"/>
          </w:tcPr>
          <w:p w14:paraId="2EF51C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w:t>
            </w:r>
          </w:p>
        </w:tc>
        <w:tc>
          <w:tcPr>
            <w:tcW w:w="1518" w:type="dxa"/>
            <w:noWrap w:val="0"/>
            <w:vAlign w:val="center"/>
          </w:tcPr>
          <w:p w14:paraId="58F869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0.025</w:t>
            </w:r>
          </w:p>
        </w:tc>
      </w:tr>
      <w:tr w14:paraId="57B35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70CB8C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6.01.26</w:t>
            </w:r>
          </w:p>
        </w:tc>
        <w:tc>
          <w:tcPr>
            <w:tcW w:w="1550" w:type="dxa"/>
            <w:noWrap w:val="0"/>
            <w:vAlign w:val="center"/>
          </w:tcPr>
          <w:p w14:paraId="58E30B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第二次</w:t>
            </w:r>
          </w:p>
        </w:tc>
        <w:tc>
          <w:tcPr>
            <w:tcW w:w="1518" w:type="dxa"/>
            <w:noWrap w:val="0"/>
            <w:vAlign w:val="center"/>
          </w:tcPr>
          <w:p w14:paraId="46D379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29A02D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w:t>
            </w:r>
            <w:r>
              <w:rPr>
                <w:rFonts w:hint="eastAsia" w:ascii="Times New Roman" w:hAnsi="Times New Roman" w:cs="Times New Roman"/>
                <w:color w:val="auto"/>
                <w:sz w:val="21"/>
                <w:szCs w:val="21"/>
                <w:highlight w:val="none"/>
                <w:lang w:val="en-US" w:eastAsia="zh-CN"/>
              </w:rPr>
              <w:t>26</w:t>
            </w:r>
          </w:p>
        </w:tc>
        <w:tc>
          <w:tcPr>
            <w:tcW w:w="1518" w:type="dxa"/>
            <w:noWrap w:val="0"/>
            <w:vAlign w:val="center"/>
          </w:tcPr>
          <w:p w14:paraId="5C4A34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089E4B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0.031</w:t>
            </w:r>
          </w:p>
        </w:tc>
      </w:tr>
      <w:tr w14:paraId="58FFF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6B13D1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6.01.27</w:t>
            </w:r>
          </w:p>
        </w:tc>
        <w:tc>
          <w:tcPr>
            <w:tcW w:w="1550" w:type="dxa"/>
            <w:noWrap w:val="0"/>
            <w:vAlign w:val="center"/>
          </w:tcPr>
          <w:p w14:paraId="004B26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第三次</w:t>
            </w:r>
          </w:p>
        </w:tc>
        <w:tc>
          <w:tcPr>
            <w:tcW w:w="1518" w:type="dxa"/>
            <w:noWrap w:val="0"/>
            <w:vAlign w:val="center"/>
          </w:tcPr>
          <w:p w14:paraId="61102E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w:t>
            </w:r>
          </w:p>
        </w:tc>
        <w:tc>
          <w:tcPr>
            <w:tcW w:w="1518" w:type="dxa"/>
            <w:noWrap w:val="0"/>
            <w:vAlign w:val="center"/>
          </w:tcPr>
          <w:p w14:paraId="3A5D11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w:t>
            </w:r>
            <w:r>
              <w:rPr>
                <w:rFonts w:hint="eastAsia" w:ascii="Times New Roman" w:hAnsi="Times New Roman" w:cs="Times New Roman"/>
                <w:color w:val="auto"/>
                <w:sz w:val="21"/>
                <w:szCs w:val="21"/>
                <w:highlight w:val="none"/>
                <w:lang w:val="en-US" w:eastAsia="zh-CN"/>
              </w:rPr>
              <w:t>30</w:t>
            </w:r>
          </w:p>
        </w:tc>
        <w:tc>
          <w:tcPr>
            <w:tcW w:w="1518" w:type="dxa"/>
            <w:noWrap w:val="0"/>
            <w:vAlign w:val="center"/>
          </w:tcPr>
          <w:p w14:paraId="0C0635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4974EE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0.033</w:t>
            </w:r>
          </w:p>
        </w:tc>
      </w:tr>
      <w:tr w14:paraId="478A7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63C335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620C5B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第四次</w:t>
            </w:r>
          </w:p>
        </w:tc>
        <w:tc>
          <w:tcPr>
            <w:tcW w:w="1518" w:type="dxa"/>
            <w:noWrap w:val="0"/>
            <w:vAlign w:val="center"/>
          </w:tcPr>
          <w:p w14:paraId="2F2C7B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w:t>
            </w:r>
          </w:p>
        </w:tc>
        <w:tc>
          <w:tcPr>
            <w:tcW w:w="1518" w:type="dxa"/>
            <w:noWrap w:val="0"/>
            <w:vAlign w:val="center"/>
          </w:tcPr>
          <w:p w14:paraId="454088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w:t>
            </w:r>
            <w:r>
              <w:rPr>
                <w:rFonts w:hint="eastAsia" w:ascii="Times New Roman" w:hAnsi="Times New Roman" w:cs="Times New Roman"/>
                <w:color w:val="auto"/>
                <w:sz w:val="21"/>
                <w:szCs w:val="21"/>
                <w:highlight w:val="none"/>
                <w:lang w:val="en-US" w:eastAsia="zh-CN"/>
              </w:rPr>
              <w:t>28</w:t>
            </w:r>
          </w:p>
        </w:tc>
        <w:tc>
          <w:tcPr>
            <w:tcW w:w="1518" w:type="dxa"/>
            <w:noWrap w:val="0"/>
            <w:vAlign w:val="center"/>
          </w:tcPr>
          <w:p w14:paraId="1A24CD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1ABD8A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0.029</w:t>
            </w:r>
          </w:p>
        </w:tc>
      </w:tr>
      <w:tr w14:paraId="0CCD1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38AF7F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6.03.20</w:t>
            </w:r>
          </w:p>
        </w:tc>
        <w:tc>
          <w:tcPr>
            <w:tcW w:w="1550" w:type="dxa"/>
            <w:noWrap w:val="0"/>
            <w:vAlign w:val="center"/>
          </w:tcPr>
          <w:p w14:paraId="3735A6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第一次</w:t>
            </w:r>
          </w:p>
        </w:tc>
        <w:tc>
          <w:tcPr>
            <w:tcW w:w="1518" w:type="dxa"/>
            <w:noWrap w:val="0"/>
            <w:vAlign w:val="center"/>
          </w:tcPr>
          <w:p w14:paraId="5FFF4B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1F4A6B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0.029</w:t>
            </w:r>
          </w:p>
        </w:tc>
        <w:tc>
          <w:tcPr>
            <w:tcW w:w="1518" w:type="dxa"/>
            <w:noWrap w:val="0"/>
            <w:vAlign w:val="center"/>
          </w:tcPr>
          <w:p w14:paraId="2BFBB1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w:t>
            </w:r>
          </w:p>
        </w:tc>
        <w:tc>
          <w:tcPr>
            <w:tcW w:w="1518" w:type="dxa"/>
            <w:noWrap w:val="0"/>
            <w:vAlign w:val="center"/>
          </w:tcPr>
          <w:p w14:paraId="02D160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0.031</w:t>
            </w:r>
          </w:p>
        </w:tc>
      </w:tr>
      <w:tr w14:paraId="50E8A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321605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206133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第二次</w:t>
            </w:r>
          </w:p>
        </w:tc>
        <w:tc>
          <w:tcPr>
            <w:tcW w:w="1518" w:type="dxa"/>
            <w:noWrap w:val="0"/>
            <w:vAlign w:val="center"/>
          </w:tcPr>
          <w:p w14:paraId="1790D6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62CD1F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0.032</w:t>
            </w:r>
          </w:p>
        </w:tc>
        <w:tc>
          <w:tcPr>
            <w:tcW w:w="1518" w:type="dxa"/>
            <w:noWrap w:val="0"/>
            <w:vAlign w:val="center"/>
          </w:tcPr>
          <w:p w14:paraId="6A8DB3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2009D0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0.035</w:t>
            </w:r>
          </w:p>
        </w:tc>
      </w:tr>
      <w:tr w14:paraId="2CD52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37ACC2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300A37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第三次</w:t>
            </w:r>
          </w:p>
        </w:tc>
        <w:tc>
          <w:tcPr>
            <w:tcW w:w="1518" w:type="dxa"/>
            <w:noWrap w:val="0"/>
            <w:vAlign w:val="center"/>
          </w:tcPr>
          <w:p w14:paraId="4DE33D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664F6E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0.036</w:t>
            </w:r>
          </w:p>
        </w:tc>
        <w:tc>
          <w:tcPr>
            <w:tcW w:w="1518" w:type="dxa"/>
            <w:noWrap w:val="0"/>
            <w:vAlign w:val="center"/>
          </w:tcPr>
          <w:p w14:paraId="526ADF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4BFEFE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0.038</w:t>
            </w:r>
          </w:p>
        </w:tc>
      </w:tr>
      <w:tr w14:paraId="2E086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7E30D9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100571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第四次</w:t>
            </w:r>
          </w:p>
        </w:tc>
        <w:tc>
          <w:tcPr>
            <w:tcW w:w="1518" w:type="dxa"/>
            <w:noWrap w:val="0"/>
            <w:vAlign w:val="center"/>
          </w:tcPr>
          <w:p w14:paraId="0D76F8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6A1CDA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0.030</w:t>
            </w:r>
          </w:p>
        </w:tc>
        <w:tc>
          <w:tcPr>
            <w:tcW w:w="1518" w:type="dxa"/>
            <w:noWrap w:val="0"/>
            <w:vAlign w:val="center"/>
          </w:tcPr>
          <w:p w14:paraId="7F669C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0.09</w:t>
            </w:r>
          </w:p>
        </w:tc>
        <w:tc>
          <w:tcPr>
            <w:tcW w:w="1518" w:type="dxa"/>
            <w:noWrap w:val="0"/>
            <w:vAlign w:val="center"/>
          </w:tcPr>
          <w:p w14:paraId="6D7919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0.034</w:t>
            </w:r>
          </w:p>
        </w:tc>
      </w:tr>
      <w:tr w14:paraId="33321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697EB5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6.03.21</w:t>
            </w:r>
          </w:p>
        </w:tc>
        <w:tc>
          <w:tcPr>
            <w:tcW w:w="1550" w:type="dxa"/>
            <w:noWrap w:val="0"/>
            <w:vAlign w:val="center"/>
          </w:tcPr>
          <w:p w14:paraId="45AC67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第一次</w:t>
            </w:r>
          </w:p>
        </w:tc>
        <w:tc>
          <w:tcPr>
            <w:tcW w:w="1518" w:type="dxa"/>
            <w:noWrap w:val="0"/>
            <w:vAlign w:val="center"/>
          </w:tcPr>
          <w:p w14:paraId="30A6A0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w:t>
            </w:r>
          </w:p>
        </w:tc>
        <w:tc>
          <w:tcPr>
            <w:tcW w:w="1518" w:type="dxa"/>
            <w:noWrap w:val="0"/>
            <w:vAlign w:val="center"/>
          </w:tcPr>
          <w:p w14:paraId="22DB0D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0.025</w:t>
            </w:r>
          </w:p>
        </w:tc>
        <w:tc>
          <w:tcPr>
            <w:tcW w:w="1518" w:type="dxa"/>
            <w:noWrap w:val="0"/>
            <w:vAlign w:val="center"/>
          </w:tcPr>
          <w:p w14:paraId="2902C2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1F130F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0.028</w:t>
            </w:r>
          </w:p>
        </w:tc>
      </w:tr>
      <w:tr w14:paraId="6C86E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546DB4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788B6B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第二次</w:t>
            </w:r>
          </w:p>
        </w:tc>
        <w:tc>
          <w:tcPr>
            <w:tcW w:w="1518" w:type="dxa"/>
            <w:noWrap w:val="0"/>
            <w:vAlign w:val="center"/>
          </w:tcPr>
          <w:p w14:paraId="239456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6A9EFA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0.030</w:t>
            </w:r>
          </w:p>
        </w:tc>
        <w:tc>
          <w:tcPr>
            <w:tcW w:w="1518" w:type="dxa"/>
            <w:noWrap w:val="0"/>
            <w:vAlign w:val="center"/>
          </w:tcPr>
          <w:p w14:paraId="41BA18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1844DF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0.032</w:t>
            </w:r>
          </w:p>
        </w:tc>
      </w:tr>
      <w:tr w14:paraId="13810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44E7B9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248EA6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第三次</w:t>
            </w:r>
          </w:p>
        </w:tc>
        <w:tc>
          <w:tcPr>
            <w:tcW w:w="1518" w:type="dxa"/>
            <w:noWrap w:val="0"/>
            <w:vAlign w:val="center"/>
          </w:tcPr>
          <w:p w14:paraId="705985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681A13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0.034</w:t>
            </w:r>
          </w:p>
        </w:tc>
        <w:tc>
          <w:tcPr>
            <w:tcW w:w="1518" w:type="dxa"/>
            <w:noWrap w:val="0"/>
            <w:vAlign w:val="center"/>
          </w:tcPr>
          <w:p w14:paraId="0BAD75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w:t>
            </w:r>
          </w:p>
        </w:tc>
        <w:tc>
          <w:tcPr>
            <w:tcW w:w="1518" w:type="dxa"/>
            <w:noWrap w:val="0"/>
            <w:vAlign w:val="center"/>
          </w:tcPr>
          <w:p w14:paraId="5A0653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0.037</w:t>
            </w:r>
          </w:p>
        </w:tc>
      </w:tr>
      <w:tr w14:paraId="434FE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4449F9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5E0352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第四次</w:t>
            </w:r>
          </w:p>
        </w:tc>
        <w:tc>
          <w:tcPr>
            <w:tcW w:w="1518" w:type="dxa"/>
            <w:noWrap w:val="0"/>
            <w:vAlign w:val="center"/>
          </w:tcPr>
          <w:p w14:paraId="68AEFA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5ED7E6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0.029</w:t>
            </w:r>
          </w:p>
        </w:tc>
        <w:tc>
          <w:tcPr>
            <w:tcW w:w="1518" w:type="dxa"/>
            <w:noWrap w:val="0"/>
            <w:vAlign w:val="center"/>
          </w:tcPr>
          <w:p w14:paraId="2447EF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022F45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0.031</w:t>
            </w:r>
          </w:p>
        </w:tc>
      </w:tr>
      <w:tr w14:paraId="36CBA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681A24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6.03.22</w:t>
            </w:r>
          </w:p>
        </w:tc>
        <w:tc>
          <w:tcPr>
            <w:tcW w:w="1550" w:type="dxa"/>
            <w:noWrap w:val="0"/>
            <w:vAlign w:val="center"/>
          </w:tcPr>
          <w:p w14:paraId="23690C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第一次</w:t>
            </w:r>
          </w:p>
        </w:tc>
        <w:tc>
          <w:tcPr>
            <w:tcW w:w="1518" w:type="dxa"/>
            <w:noWrap w:val="0"/>
            <w:vAlign w:val="center"/>
          </w:tcPr>
          <w:p w14:paraId="06E3CF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w:t>
            </w:r>
          </w:p>
        </w:tc>
        <w:tc>
          <w:tcPr>
            <w:tcW w:w="1518" w:type="dxa"/>
            <w:noWrap w:val="0"/>
            <w:vAlign w:val="center"/>
          </w:tcPr>
          <w:p w14:paraId="18C707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0.021</w:t>
            </w:r>
          </w:p>
        </w:tc>
        <w:tc>
          <w:tcPr>
            <w:tcW w:w="1518" w:type="dxa"/>
            <w:noWrap w:val="0"/>
            <w:vAlign w:val="center"/>
          </w:tcPr>
          <w:p w14:paraId="51C3C5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1D52F8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0.030</w:t>
            </w:r>
          </w:p>
        </w:tc>
      </w:tr>
      <w:tr w14:paraId="4DD9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1086FD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15CE5E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第二次</w:t>
            </w:r>
          </w:p>
        </w:tc>
        <w:tc>
          <w:tcPr>
            <w:tcW w:w="1518" w:type="dxa"/>
            <w:noWrap w:val="0"/>
            <w:vAlign w:val="center"/>
          </w:tcPr>
          <w:p w14:paraId="3D8804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2767A8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0.018</w:t>
            </w:r>
          </w:p>
        </w:tc>
        <w:tc>
          <w:tcPr>
            <w:tcW w:w="1518" w:type="dxa"/>
            <w:noWrap w:val="0"/>
            <w:vAlign w:val="center"/>
          </w:tcPr>
          <w:p w14:paraId="6E11C8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3079B8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0.025</w:t>
            </w:r>
          </w:p>
        </w:tc>
      </w:tr>
      <w:tr w14:paraId="492EE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358EF1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3A84D4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第三次</w:t>
            </w:r>
          </w:p>
        </w:tc>
        <w:tc>
          <w:tcPr>
            <w:tcW w:w="1518" w:type="dxa"/>
            <w:noWrap w:val="0"/>
            <w:vAlign w:val="center"/>
          </w:tcPr>
          <w:p w14:paraId="725D3A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0D866F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0.028</w:t>
            </w:r>
          </w:p>
        </w:tc>
        <w:tc>
          <w:tcPr>
            <w:tcW w:w="1518" w:type="dxa"/>
            <w:noWrap w:val="0"/>
            <w:vAlign w:val="center"/>
          </w:tcPr>
          <w:p w14:paraId="623360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05D67B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0.032</w:t>
            </w:r>
          </w:p>
        </w:tc>
      </w:tr>
      <w:tr w14:paraId="19F6A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78B638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4FBF0D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第四次</w:t>
            </w:r>
          </w:p>
        </w:tc>
        <w:tc>
          <w:tcPr>
            <w:tcW w:w="1518" w:type="dxa"/>
            <w:noWrap w:val="0"/>
            <w:vAlign w:val="center"/>
          </w:tcPr>
          <w:p w14:paraId="38A509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76CF75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0.030</w:t>
            </w:r>
          </w:p>
        </w:tc>
        <w:tc>
          <w:tcPr>
            <w:tcW w:w="1518" w:type="dxa"/>
            <w:noWrap w:val="0"/>
            <w:vAlign w:val="center"/>
          </w:tcPr>
          <w:p w14:paraId="69F37B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1411E5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0.035</w:t>
            </w:r>
          </w:p>
        </w:tc>
      </w:tr>
      <w:tr w14:paraId="49630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48C74B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6.03.23</w:t>
            </w:r>
          </w:p>
        </w:tc>
        <w:tc>
          <w:tcPr>
            <w:tcW w:w="1550" w:type="dxa"/>
            <w:noWrap w:val="0"/>
            <w:vAlign w:val="center"/>
          </w:tcPr>
          <w:p w14:paraId="6ACCB8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第一次</w:t>
            </w:r>
          </w:p>
        </w:tc>
        <w:tc>
          <w:tcPr>
            <w:tcW w:w="1518" w:type="dxa"/>
            <w:noWrap w:val="0"/>
            <w:vAlign w:val="center"/>
          </w:tcPr>
          <w:p w14:paraId="3CE12C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538B14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0.022</w:t>
            </w:r>
          </w:p>
        </w:tc>
        <w:tc>
          <w:tcPr>
            <w:tcW w:w="1518" w:type="dxa"/>
            <w:noWrap w:val="0"/>
            <w:vAlign w:val="center"/>
          </w:tcPr>
          <w:p w14:paraId="55F48D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w:t>
            </w:r>
          </w:p>
        </w:tc>
        <w:tc>
          <w:tcPr>
            <w:tcW w:w="1518" w:type="dxa"/>
            <w:noWrap w:val="0"/>
            <w:vAlign w:val="center"/>
          </w:tcPr>
          <w:p w14:paraId="08FBBC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0.029</w:t>
            </w:r>
          </w:p>
        </w:tc>
      </w:tr>
      <w:tr w14:paraId="525EA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22E54C2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4145B2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第二次</w:t>
            </w:r>
          </w:p>
        </w:tc>
        <w:tc>
          <w:tcPr>
            <w:tcW w:w="1518" w:type="dxa"/>
            <w:noWrap w:val="0"/>
            <w:vAlign w:val="center"/>
          </w:tcPr>
          <w:p w14:paraId="651B23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w:t>
            </w:r>
          </w:p>
        </w:tc>
        <w:tc>
          <w:tcPr>
            <w:tcW w:w="1518" w:type="dxa"/>
            <w:noWrap w:val="0"/>
            <w:vAlign w:val="center"/>
          </w:tcPr>
          <w:p w14:paraId="6F9D51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0.025</w:t>
            </w:r>
          </w:p>
        </w:tc>
        <w:tc>
          <w:tcPr>
            <w:tcW w:w="1518" w:type="dxa"/>
            <w:noWrap w:val="0"/>
            <w:vAlign w:val="center"/>
          </w:tcPr>
          <w:p w14:paraId="2E61BA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2E079E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0.032</w:t>
            </w:r>
          </w:p>
        </w:tc>
      </w:tr>
      <w:tr w14:paraId="2A68C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4ABAA3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495241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第三次</w:t>
            </w:r>
          </w:p>
        </w:tc>
        <w:tc>
          <w:tcPr>
            <w:tcW w:w="1518" w:type="dxa"/>
            <w:noWrap w:val="0"/>
            <w:vAlign w:val="center"/>
          </w:tcPr>
          <w:p w14:paraId="47FD4B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w:t>
            </w:r>
          </w:p>
        </w:tc>
        <w:tc>
          <w:tcPr>
            <w:tcW w:w="1518" w:type="dxa"/>
            <w:noWrap w:val="0"/>
            <w:vAlign w:val="center"/>
          </w:tcPr>
          <w:p w14:paraId="542927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0.027</w:t>
            </w:r>
          </w:p>
        </w:tc>
        <w:tc>
          <w:tcPr>
            <w:tcW w:w="1518" w:type="dxa"/>
            <w:noWrap w:val="0"/>
            <w:vAlign w:val="center"/>
          </w:tcPr>
          <w:p w14:paraId="5B42ADE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07A568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0.034</w:t>
            </w:r>
          </w:p>
        </w:tc>
      </w:tr>
      <w:tr w14:paraId="37600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1A27C8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6EA1AF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第四次</w:t>
            </w:r>
          </w:p>
        </w:tc>
        <w:tc>
          <w:tcPr>
            <w:tcW w:w="1518" w:type="dxa"/>
            <w:noWrap w:val="0"/>
            <w:vAlign w:val="center"/>
          </w:tcPr>
          <w:p w14:paraId="3583BA6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w:t>
            </w:r>
          </w:p>
        </w:tc>
        <w:tc>
          <w:tcPr>
            <w:tcW w:w="1518" w:type="dxa"/>
            <w:noWrap w:val="0"/>
            <w:vAlign w:val="center"/>
          </w:tcPr>
          <w:p w14:paraId="29E370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0.019</w:t>
            </w:r>
          </w:p>
        </w:tc>
        <w:tc>
          <w:tcPr>
            <w:tcW w:w="1518" w:type="dxa"/>
            <w:noWrap w:val="0"/>
            <w:vAlign w:val="center"/>
          </w:tcPr>
          <w:p w14:paraId="2B188D6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w:t>
            </w:r>
          </w:p>
        </w:tc>
        <w:tc>
          <w:tcPr>
            <w:tcW w:w="1518" w:type="dxa"/>
            <w:noWrap w:val="0"/>
            <w:vAlign w:val="center"/>
          </w:tcPr>
          <w:p w14:paraId="4F5B07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0.026</w:t>
            </w:r>
          </w:p>
        </w:tc>
      </w:tr>
      <w:tr w14:paraId="0B9D2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05BE9A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6.03.24</w:t>
            </w:r>
          </w:p>
        </w:tc>
        <w:tc>
          <w:tcPr>
            <w:tcW w:w="1550" w:type="dxa"/>
            <w:noWrap w:val="0"/>
            <w:vAlign w:val="center"/>
          </w:tcPr>
          <w:p w14:paraId="2085F1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第一次</w:t>
            </w:r>
          </w:p>
        </w:tc>
        <w:tc>
          <w:tcPr>
            <w:tcW w:w="1518" w:type="dxa"/>
            <w:noWrap w:val="0"/>
            <w:vAlign w:val="center"/>
          </w:tcPr>
          <w:p w14:paraId="043776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4C07B7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0.032</w:t>
            </w:r>
          </w:p>
        </w:tc>
        <w:tc>
          <w:tcPr>
            <w:tcW w:w="1518" w:type="dxa"/>
            <w:noWrap w:val="0"/>
            <w:vAlign w:val="center"/>
          </w:tcPr>
          <w:p w14:paraId="6A3F5A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3D997A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0.037</w:t>
            </w:r>
          </w:p>
        </w:tc>
      </w:tr>
      <w:tr w14:paraId="3AD09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333208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04EF72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第二次</w:t>
            </w:r>
          </w:p>
        </w:tc>
        <w:tc>
          <w:tcPr>
            <w:tcW w:w="1518" w:type="dxa"/>
            <w:noWrap w:val="0"/>
            <w:vAlign w:val="center"/>
          </w:tcPr>
          <w:p w14:paraId="52E5FA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0D83A1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0.025</w:t>
            </w:r>
          </w:p>
        </w:tc>
        <w:tc>
          <w:tcPr>
            <w:tcW w:w="1518" w:type="dxa"/>
            <w:noWrap w:val="0"/>
            <w:vAlign w:val="center"/>
          </w:tcPr>
          <w:p w14:paraId="01F393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3C5369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0.028</w:t>
            </w:r>
          </w:p>
        </w:tc>
      </w:tr>
      <w:tr w14:paraId="26ED3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640499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60E4B4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第三次</w:t>
            </w:r>
          </w:p>
        </w:tc>
        <w:tc>
          <w:tcPr>
            <w:tcW w:w="1518" w:type="dxa"/>
            <w:noWrap w:val="0"/>
            <w:vAlign w:val="center"/>
          </w:tcPr>
          <w:p w14:paraId="007A9E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67BD3C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0.037</w:t>
            </w:r>
          </w:p>
        </w:tc>
        <w:tc>
          <w:tcPr>
            <w:tcW w:w="1518" w:type="dxa"/>
            <w:noWrap w:val="0"/>
            <w:vAlign w:val="center"/>
          </w:tcPr>
          <w:p w14:paraId="40E3F4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w:t>
            </w:r>
          </w:p>
        </w:tc>
        <w:tc>
          <w:tcPr>
            <w:tcW w:w="1518" w:type="dxa"/>
            <w:noWrap w:val="0"/>
            <w:vAlign w:val="center"/>
          </w:tcPr>
          <w:p w14:paraId="125EB1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0.040</w:t>
            </w:r>
          </w:p>
        </w:tc>
      </w:tr>
      <w:tr w14:paraId="35257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226E20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768909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第四次</w:t>
            </w:r>
          </w:p>
        </w:tc>
        <w:tc>
          <w:tcPr>
            <w:tcW w:w="1518" w:type="dxa"/>
            <w:noWrap w:val="0"/>
            <w:vAlign w:val="center"/>
          </w:tcPr>
          <w:p w14:paraId="2BF73C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w:t>
            </w:r>
          </w:p>
        </w:tc>
        <w:tc>
          <w:tcPr>
            <w:tcW w:w="1518" w:type="dxa"/>
            <w:noWrap w:val="0"/>
            <w:vAlign w:val="center"/>
          </w:tcPr>
          <w:p w14:paraId="104C98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0.033</w:t>
            </w:r>
          </w:p>
        </w:tc>
        <w:tc>
          <w:tcPr>
            <w:tcW w:w="1518" w:type="dxa"/>
            <w:noWrap w:val="0"/>
            <w:vAlign w:val="center"/>
          </w:tcPr>
          <w:p w14:paraId="21C5BA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0.09</w:t>
            </w:r>
          </w:p>
        </w:tc>
        <w:tc>
          <w:tcPr>
            <w:tcW w:w="1518" w:type="dxa"/>
            <w:noWrap w:val="0"/>
            <w:vAlign w:val="center"/>
          </w:tcPr>
          <w:p w14:paraId="6CE430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0.036</w:t>
            </w:r>
          </w:p>
        </w:tc>
      </w:tr>
      <w:tr w14:paraId="37AE0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restart"/>
            <w:noWrap w:val="0"/>
            <w:vAlign w:val="center"/>
          </w:tcPr>
          <w:p w14:paraId="56742F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202</w:t>
            </w:r>
            <w:r>
              <w:rPr>
                <w:rFonts w:hint="eastAsia" w:ascii="Times New Roman" w:hAnsi="Times New Roman" w:cs="Times New Roman"/>
                <w:color w:val="auto"/>
                <w:sz w:val="21"/>
                <w:szCs w:val="21"/>
                <w:highlight w:val="none"/>
                <w:lang w:val="en-US" w:eastAsia="zh-CN"/>
              </w:rPr>
              <w:t>6.03.25</w:t>
            </w:r>
          </w:p>
        </w:tc>
        <w:tc>
          <w:tcPr>
            <w:tcW w:w="1550" w:type="dxa"/>
            <w:noWrap w:val="0"/>
            <w:vAlign w:val="center"/>
          </w:tcPr>
          <w:p w14:paraId="25443C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第一次</w:t>
            </w:r>
          </w:p>
        </w:tc>
        <w:tc>
          <w:tcPr>
            <w:tcW w:w="1518" w:type="dxa"/>
            <w:noWrap w:val="0"/>
            <w:vAlign w:val="center"/>
          </w:tcPr>
          <w:p w14:paraId="34B8BB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3B66C9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0.025</w:t>
            </w:r>
          </w:p>
        </w:tc>
        <w:tc>
          <w:tcPr>
            <w:tcW w:w="1518" w:type="dxa"/>
            <w:noWrap w:val="0"/>
            <w:vAlign w:val="center"/>
          </w:tcPr>
          <w:p w14:paraId="7C9638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729662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0.029</w:t>
            </w:r>
          </w:p>
        </w:tc>
      </w:tr>
      <w:tr w14:paraId="298D1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59CE3C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21AF5B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第二次</w:t>
            </w:r>
          </w:p>
        </w:tc>
        <w:tc>
          <w:tcPr>
            <w:tcW w:w="1518" w:type="dxa"/>
            <w:noWrap w:val="0"/>
            <w:vAlign w:val="center"/>
          </w:tcPr>
          <w:p w14:paraId="52BADD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064E5D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0.028</w:t>
            </w:r>
          </w:p>
        </w:tc>
        <w:tc>
          <w:tcPr>
            <w:tcW w:w="1518" w:type="dxa"/>
            <w:noWrap w:val="0"/>
            <w:vAlign w:val="center"/>
          </w:tcPr>
          <w:p w14:paraId="2BA2A7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1518" w:type="dxa"/>
            <w:noWrap w:val="0"/>
            <w:vAlign w:val="center"/>
          </w:tcPr>
          <w:p w14:paraId="7B2DAF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0.031</w:t>
            </w:r>
          </w:p>
        </w:tc>
      </w:tr>
      <w:tr w14:paraId="4624B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2CE90A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41B26B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第三次</w:t>
            </w:r>
          </w:p>
        </w:tc>
        <w:tc>
          <w:tcPr>
            <w:tcW w:w="1518" w:type="dxa"/>
            <w:noWrap w:val="0"/>
            <w:vAlign w:val="center"/>
          </w:tcPr>
          <w:p w14:paraId="0C3B20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0.04</w:t>
            </w:r>
          </w:p>
        </w:tc>
        <w:tc>
          <w:tcPr>
            <w:tcW w:w="1518" w:type="dxa"/>
            <w:noWrap w:val="0"/>
            <w:vAlign w:val="center"/>
          </w:tcPr>
          <w:p w14:paraId="73BB58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0.031</w:t>
            </w:r>
          </w:p>
        </w:tc>
        <w:tc>
          <w:tcPr>
            <w:tcW w:w="1518" w:type="dxa"/>
            <w:noWrap w:val="0"/>
            <w:vAlign w:val="center"/>
          </w:tcPr>
          <w:p w14:paraId="0C0FCF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38F964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0.034</w:t>
            </w:r>
          </w:p>
        </w:tc>
      </w:tr>
      <w:tr w14:paraId="7B8DC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449" w:type="dxa"/>
            <w:vMerge w:val="continue"/>
            <w:noWrap w:val="0"/>
            <w:vAlign w:val="center"/>
          </w:tcPr>
          <w:p w14:paraId="7BA216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50" w:type="dxa"/>
            <w:noWrap w:val="0"/>
            <w:vAlign w:val="center"/>
          </w:tcPr>
          <w:p w14:paraId="50C9F9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第四次</w:t>
            </w:r>
          </w:p>
        </w:tc>
        <w:tc>
          <w:tcPr>
            <w:tcW w:w="1518" w:type="dxa"/>
            <w:noWrap w:val="0"/>
            <w:vAlign w:val="center"/>
          </w:tcPr>
          <w:p w14:paraId="61D884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0.06</w:t>
            </w:r>
          </w:p>
        </w:tc>
        <w:tc>
          <w:tcPr>
            <w:tcW w:w="1518" w:type="dxa"/>
            <w:noWrap w:val="0"/>
            <w:vAlign w:val="center"/>
          </w:tcPr>
          <w:p w14:paraId="768E6E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0.034</w:t>
            </w:r>
          </w:p>
        </w:tc>
        <w:tc>
          <w:tcPr>
            <w:tcW w:w="1518" w:type="dxa"/>
            <w:noWrap w:val="0"/>
            <w:vAlign w:val="center"/>
          </w:tcPr>
          <w:p w14:paraId="61E37C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518" w:type="dxa"/>
            <w:noWrap w:val="0"/>
            <w:vAlign w:val="center"/>
          </w:tcPr>
          <w:p w14:paraId="75F562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0.036</w:t>
            </w:r>
          </w:p>
        </w:tc>
      </w:tr>
    </w:tbl>
    <w:p w14:paraId="0120FD7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bookmarkStart w:id="369" w:name="_Toc29408"/>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）评价标准</w:t>
      </w:r>
      <w:r>
        <w:rPr>
          <w:rFonts w:hint="eastAsia" w:ascii="Times New Roman" w:hAnsi="Times New Roman" w:eastAsia="宋体" w:cs="Times New Roman"/>
          <w:color w:val="auto"/>
          <w:sz w:val="24"/>
          <w:szCs w:val="24"/>
          <w:highlight w:val="none"/>
          <w:lang w:val="en-US" w:eastAsia="zh-CN"/>
        </w:rPr>
        <w:t xml:space="preserve"> </w:t>
      </w:r>
    </w:p>
    <w:p w14:paraId="1350F2B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TSP</w:t>
      </w:r>
      <w:r>
        <w:rPr>
          <w:rFonts w:hint="eastAsia" w:ascii="Times New Roman" w:hAnsi="Times New Roman" w:eastAsia="宋体" w:cs="Times New Roman"/>
          <w:color w:val="auto"/>
          <w:sz w:val="24"/>
          <w:szCs w:val="24"/>
          <w:highlight w:val="none"/>
          <w:lang w:val="en-US" w:eastAsia="zh-CN"/>
        </w:rPr>
        <w:t>、汞、氮氧化物</w:t>
      </w:r>
      <w:r>
        <w:rPr>
          <w:rFonts w:hint="default" w:ascii="Times New Roman" w:hAnsi="Times New Roman" w:eastAsia="宋体" w:cs="Times New Roman"/>
          <w:color w:val="auto"/>
          <w:sz w:val="24"/>
          <w:szCs w:val="24"/>
          <w:highlight w:val="none"/>
          <w:lang w:val="en-US" w:eastAsia="zh-CN"/>
        </w:rPr>
        <w:t>采用《环境空气质量标准》（GB3095－20</w:t>
      </w:r>
      <w:r>
        <w:rPr>
          <w:rFonts w:hint="eastAsia" w:ascii="Times New Roman" w:hAnsi="Times New Roman" w:eastAsia="宋体" w:cs="Times New Roman"/>
          <w:color w:val="auto"/>
          <w:sz w:val="24"/>
          <w:szCs w:val="24"/>
          <w:highlight w:val="none"/>
          <w:lang w:val="en-US" w:eastAsia="zh-CN"/>
        </w:rPr>
        <w:t>26</w:t>
      </w:r>
      <w:r>
        <w:rPr>
          <w:rFonts w:hint="default" w:ascii="Times New Roman" w:hAnsi="Times New Roman" w:eastAsia="宋体" w:cs="Times New Roman"/>
          <w:color w:val="auto"/>
          <w:sz w:val="24"/>
          <w:szCs w:val="24"/>
          <w:highlight w:val="none"/>
          <w:lang w:val="en-US" w:eastAsia="zh-CN"/>
        </w:rPr>
        <w:t>）中</w:t>
      </w:r>
      <w:r>
        <w:rPr>
          <w:rFonts w:hint="eastAsia" w:ascii="Times New Roman" w:hAnsi="Times New Roman" w:eastAsia="宋体" w:cs="Times New Roman"/>
          <w:color w:val="auto"/>
          <w:sz w:val="24"/>
          <w:szCs w:val="24"/>
          <w:highlight w:val="none"/>
          <w:lang w:val="en-US" w:eastAsia="zh-CN"/>
        </w:rPr>
        <w:t>过渡期二级标准</w:t>
      </w:r>
      <w:r>
        <w:rPr>
          <w:rFonts w:hint="default" w:ascii="Times New Roman" w:hAnsi="Times New Roman" w:eastAsia="宋体" w:cs="Times New Roman"/>
          <w:color w:val="auto"/>
          <w:sz w:val="24"/>
          <w:szCs w:val="24"/>
          <w:highlight w:val="none"/>
          <w:lang w:val="en-US" w:eastAsia="zh-CN"/>
        </w:rPr>
        <w:t>。汞仅有年均浓度限值，按</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val="en-US" w:eastAsia="zh-CN"/>
        </w:rPr>
        <w:t>倍折算为</w:t>
      </w:r>
      <w:r>
        <w:rPr>
          <w:rFonts w:hint="eastAsia" w:ascii="Times New Roman" w:hAnsi="Times New Roman" w:eastAsia="宋体" w:cs="Times New Roman"/>
          <w:color w:val="auto"/>
          <w:sz w:val="24"/>
          <w:szCs w:val="24"/>
          <w:highlight w:val="none"/>
          <w:lang w:val="en-US" w:eastAsia="zh-CN"/>
        </w:rPr>
        <w:t>日</w:t>
      </w:r>
      <w:r>
        <w:rPr>
          <w:rFonts w:hint="default" w:ascii="Times New Roman" w:hAnsi="Times New Roman" w:eastAsia="宋体" w:cs="Times New Roman"/>
          <w:color w:val="auto"/>
          <w:sz w:val="24"/>
          <w:szCs w:val="24"/>
          <w:highlight w:val="none"/>
          <w:lang w:val="en-US" w:eastAsia="zh-CN"/>
        </w:rPr>
        <w:t>平均质量浓度限值。</w:t>
      </w:r>
      <w:r>
        <w:rPr>
          <w:rFonts w:hint="eastAsia" w:ascii="Times New Roman" w:hAnsi="Times New Roman" w:eastAsia="宋体" w:cs="Times New Roman"/>
          <w:color w:val="auto"/>
          <w:sz w:val="24"/>
          <w:szCs w:val="24"/>
          <w:highlight w:val="none"/>
          <w:lang w:val="en-US" w:eastAsia="zh-CN"/>
        </w:rPr>
        <w:t>氨</w:t>
      </w:r>
      <w:r>
        <w:rPr>
          <w:rFonts w:hint="default" w:ascii="Times New Roman" w:hAnsi="Times New Roman" w:eastAsia="宋体" w:cs="Times New Roman"/>
          <w:color w:val="auto"/>
          <w:sz w:val="24"/>
          <w:szCs w:val="24"/>
          <w:highlight w:val="none"/>
          <w:lang w:val="en-US" w:eastAsia="zh-CN"/>
        </w:rPr>
        <w:t>采用《环境影响评价技术导则  大气环境》（HJ2.2-2018）中附录D</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其他污染物空气质量浓度参考限值</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w:t>
      </w:r>
    </w:p>
    <w:p w14:paraId="417AE1A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6</w:t>
      </w:r>
      <w:r>
        <w:rPr>
          <w:rFonts w:hint="default" w:ascii="Times New Roman" w:hAnsi="Times New Roman" w:eastAsia="宋体" w:cs="Times New Roman"/>
          <w:color w:val="auto"/>
          <w:sz w:val="24"/>
          <w:szCs w:val="24"/>
          <w:highlight w:val="none"/>
          <w:lang w:val="en-US" w:eastAsia="zh-CN"/>
        </w:rPr>
        <w:t>）评价方法</w:t>
      </w:r>
    </w:p>
    <w:p w14:paraId="4FB59BB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default" w:ascii="Times New Roman" w:hAnsi="Times New Roman" w:eastAsia="宋体" w:cs="Times New Roman"/>
          <w:color w:val="FF0000"/>
          <w:sz w:val="24"/>
          <w:szCs w:val="24"/>
          <w:highlight w:val="none"/>
          <w:lang w:val="en-US" w:eastAsia="zh-CN"/>
        </w:rPr>
        <w:t>根据《环境影响评价技术导则—大气环境》（HJ2.2-2018），各监测点的最大质量浓度值占相应标准质量浓度限值的百分比，计算公式为：</w:t>
      </w:r>
    </w:p>
    <w:p w14:paraId="526006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4"/>
        </w:rPr>
      </w:pPr>
      <w:r>
        <w:drawing>
          <wp:inline distT="0" distB="0" distL="114300" distR="114300">
            <wp:extent cx="3568700" cy="584200"/>
            <wp:effectExtent l="0" t="0" r="0" b="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81"/>
                    <a:stretch>
                      <a:fillRect/>
                    </a:stretch>
                  </pic:blipFill>
                  <pic:spPr>
                    <a:xfrm>
                      <a:off x="0" y="0"/>
                      <a:ext cx="3568700" cy="584200"/>
                    </a:xfrm>
                    <a:prstGeom prst="rect">
                      <a:avLst/>
                    </a:prstGeom>
                    <a:noFill/>
                    <a:ln>
                      <a:noFill/>
                    </a:ln>
                  </pic:spPr>
                </pic:pic>
              </a:graphicData>
            </a:graphic>
          </wp:inline>
        </w:drawing>
      </w:r>
    </w:p>
    <w:p w14:paraId="6F2EAFC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color w:val="FF0000"/>
          <w:sz w:val="24"/>
        </w:rPr>
      </w:pPr>
      <w:r>
        <w:rPr>
          <w:rFonts w:hint="default" w:ascii="Times New Roman" w:hAnsi="Times New Roman" w:cs="Times New Roman"/>
          <w:color w:val="FF0000"/>
          <w:sz w:val="24"/>
        </w:rPr>
        <w:t>式中：</w:t>
      </w:r>
      <w:r>
        <w:rPr>
          <w:rFonts w:hint="eastAsia" w:ascii="Times New Roman" w:hAnsi="Times New Roman" w:cs="Times New Roman"/>
          <w:color w:val="FF0000"/>
          <w:sz w:val="24"/>
          <w:lang w:val="en-US" w:eastAsia="zh-CN"/>
        </w:rPr>
        <w:t>C</w:t>
      </w:r>
      <w:r>
        <w:rPr>
          <w:rFonts w:hint="eastAsia" w:ascii="Times New Roman" w:hAnsi="Times New Roman" w:cs="Times New Roman"/>
          <w:color w:val="FF0000"/>
          <w:sz w:val="24"/>
          <w:vertAlign w:val="subscript"/>
          <w:lang w:val="en-US" w:eastAsia="zh-CN"/>
        </w:rPr>
        <w:t>现状（x,y）</w:t>
      </w:r>
      <w:r>
        <w:rPr>
          <w:rFonts w:hint="default" w:ascii="Times New Roman" w:hAnsi="Times New Roman" w:cs="Times New Roman"/>
          <w:color w:val="FF0000"/>
          <w:sz w:val="24"/>
        </w:rPr>
        <w:t>―</w:t>
      </w:r>
      <w:r>
        <w:rPr>
          <w:rFonts w:hint="eastAsia" w:ascii="Times New Roman" w:hAnsi="Times New Roman" w:cs="Times New Roman"/>
          <w:color w:val="FF0000"/>
          <w:sz w:val="24"/>
          <w:lang w:val="en-US" w:eastAsia="zh-CN"/>
        </w:rPr>
        <w:t>环境空气保护目标及网格点（x,y）环境质量现状浓度，μg/m</w:t>
      </w:r>
      <w:r>
        <w:rPr>
          <w:rFonts w:hint="eastAsia" w:ascii="Times New Roman" w:hAnsi="Times New Roman" w:cs="Times New Roman"/>
          <w:color w:val="FF0000"/>
          <w:sz w:val="24"/>
          <w:vertAlign w:val="superscript"/>
          <w:lang w:val="en-US" w:eastAsia="zh-CN"/>
        </w:rPr>
        <w:t>3</w:t>
      </w:r>
      <w:r>
        <w:rPr>
          <w:rFonts w:hint="default" w:ascii="Times New Roman" w:hAnsi="Times New Roman" w:cs="Times New Roman"/>
          <w:color w:val="FF0000"/>
          <w:sz w:val="24"/>
        </w:rPr>
        <w:t>；</w:t>
      </w:r>
    </w:p>
    <w:p w14:paraId="3D1D3261">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color w:val="FF0000"/>
          <w:sz w:val="24"/>
        </w:rPr>
      </w:pPr>
      <w:r>
        <w:rPr>
          <w:rFonts w:hint="default" w:ascii="Times New Roman" w:hAnsi="Times New Roman" w:cs="Times New Roman"/>
          <w:color w:val="FF0000"/>
        </w:rPr>
        <w:t xml:space="preserve">     </w:t>
      </w:r>
      <w:r>
        <w:rPr>
          <w:rFonts w:hint="default" w:ascii="Times New Roman" w:hAnsi="Times New Roman" w:cs="Times New Roman"/>
          <w:color w:val="FF0000"/>
          <w:sz w:val="24"/>
        </w:rPr>
        <w:t xml:space="preserve"> C</w:t>
      </w:r>
      <w:r>
        <w:rPr>
          <w:rFonts w:hint="eastAsia" w:ascii="Times New Roman" w:hAnsi="Times New Roman" w:cs="Times New Roman"/>
          <w:color w:val="FF0000"/>
          <w:sz w:val="24"/>
          <w:vertAlign w:val="subscript"/>
          <w:lang w:val="en-US" w:eastAsia="zh-CN"/>
        </w:rPr>
        <w:t>监测（j,t）</w:t>
      </w:r>
      <w:r>
        <w:rPr>
          <w:rFonts w:hint="default" w:ascii="Times New Roman" w:hAnsi="Times New Roman" w:cs="Times New Roman"/>
          <w:color w:val="FF0000"/>
          <w:sz w:val="24"/>
        </w:rPr>
        <w:t>―第</w:t>
      </w:r>
      <w:r>
        <w:rPr>
          <w:rFonts w:hint="eastAsia" w:ascii="Times New Roman" w:hAnsi="Times New Roman" w:cs="Times New Roman"/>
          <w:color w:val="FF0000"/>
          <w:sz w:val="24"/>
          <w:lang w:val="en-US" w:eastAsia="zh-CN"/>
        </w:rPr>
        <w:t>j</w:t>
      </w:r>
      <w:r>
        <w:rPr>
          <w:rFonts w:hint="default" w:ascii="Times New Roman" w:hAnsi="Times New Roman" w:cs="Times New Roman"/>
          <w:color w:val="FF0000"/>
          <w:sz w:val="24"/>
        </w:rPr>
        <w:t>个</w:t>
      </w:r>
      <w:r>
        <w:rPr>
          <w:rFonts w:hint="eastAsia" w:ascii="Times New Roman" w:hAnsi="Times New Roman" w:cs="Times New Roman"/>
          <w:color w:val="FF0000"/>
          <w:sz w:val="24"/>
          <w:lang w:val="en-US" w:eastAsia="zh-CN"/>
        </w:rPr>
        <w:t>监测点位在t时刻环境质量现状浓度（包括1h平均、8h平均或日平均质量浓度）</w:t>
      </w:r>
      <w:r>
        <w:rPr>
          <w:rFonts w:hint="default" w:ascii="Times New Roman" w:hAnsi="Times New Roman" w:cs="Times New Roman"/>
          <w:color w:val="FF0000"/>
          <w:sz w:val="24"/>
        </w:rPr>
        <w:t>，</w:t>
      </w:r>
      <w:r>
        <w:rPr>
          <w:rFonts w:hint="eastAsia" w:ascii="Times New Roman" w:hAnsi="Times New Roman" w:cs="Times New Roman"/>
          <w:color w:val="FF0000"/>
          <w:sz w:val="24"/>
          <w:lang w:val="en-US" w:eastAsia="zh-CN"/>
        </w:rPr>
        <w:t>μg</w:t>
      </w:r>
      <w:r>
        <w:rPr>
          <w:rFonts w:hint="default" w:ascii="Times New Roman" w:hAnsi="Times New Roman" w:cs="Times New Roman"/>
          <w:color w:val="FF0000"/>
          <w:sz w:val="24"/>
        </w:rPr>
        <w:t>/m</w:t>
      </w:r>
      <w:r>
        <w:rPr>
          <w:rFonts w:hint="default" w:ascii="Times New Roman" w:hAnsi="Times New Roman" w:cs="Times New Roman"/>
          <w:color w:val="FF0000"/>
          <w:sz w:val="24"/>
          <w:vertAlign w:val="superscript"/>
        </w:rPr>
        <w:t>3</w:t>
      </w:r>
      <w:r>
        <w:rPr>
          <w:rFonts w:hint="default" w:ascii="Times New Roman" w:hAnsi="Times New Roman" w:cs="Times New Roman"/>
          <w:color w:val="FF0000"/>
          <w:sz w:val="24"/>
        </w:rPr>
        <w:t>；</w:t>
      </w:r>
    </w:p>
    <w:p w14:paraId="783740D2">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color w:val="FF0000"/>
          <w:sz w:val="24"/>
        </w:rPr>
      </w:pPr>
      <w:r>
        <w:rPr>
          <w:rFonts w:hint="default" w:ascii="Times New Roman" w:hAnsi="Times New Roman" w:cs="Times New Roman"/>
          <w:color w:val="FF0000"/>
          <w:sz w:val="24"/>
        </w:rPr>
        <w:t xml:space="preserve">      </w:t>
      </w:r>
      <w:r>
        <w:rPr>
          <w:rFonts w:hint="eastAsia" w:ascii="Times New Roman" w:hAnsi="Times New Roman" w:cs="Times New Roman"/>
          <w:color w:val="FF0000"/>
          <w:sz w:val="24"/>
          <w:lang w:val="en-US" w:eastAsia="zh-CN"/>
        </w:rPr>
        <w:t>n</w:t>
      </w:r>
      <w:r>
        <w:rPr>
          <w:rFonts w:hint="default" w:ascii="Times New Roman" w:hAnsi="Times New Roman" w:cs="Times New Roman"/>
          <w:color w:val="FF0000"/>
          <w:sz w:val="24"/>
        </w:rPr>
        <w:t>―</w:t>
      </w:r>
      <w:r>
        <w:rPr>
          <w:rFonts w:hint="eastAsia" w:ascii="Times New Roman" w:hAnsi="Times New Roman" w:cs="Times New Roman"/>
          <w:color w:val="FF0000"/>
          <w:sz w:val="24"/>
          <w:lang w:val="en-US" w:eastAsia="zh-CN"/>
        </w:rPr>
        <w:t>现状补充监测点位数</w:t>
      </w:r>
      <w:r>
        <w:rPr>
          <w:rFonts w:hint="default" w:ascii="Times New Roman" w:hAnsi="Times New Roman" w:cs="Times New Roman"/>
          <w:color w:val="FF0000"/>
          <w:sz w:val="24"/>
        </w:rPr>
        <w:t>。</w:t>
      </w:r>
    </w:p>
    <w:p w14:paraId="0C540E5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（5）</w:t>
      </w:r>
      <w:r>
        <w:rPr>
          <w:rFonts w:hint="eastAsia" w:ascii="Times New Roman" w:hAnsi="Times New Roman" w:eastAsia="宋体" w:cs="Times New Roman"/>
          <w:color w:val="auto"/>
          <w:sz w:val="24"/>
          <w:szCs w:val="24"/>
          <w:highlight w:val="none"/>
          <w:lang w:val="en-US" w:eastAsia="zh-CN"/>
        </w:rPr>
        <w:t>评价</w:t>
      </w:r>
      <w:r>
        <w:rPr>
          <w:rFonts w:hint="default" w:ascii="Times New Roman" w:hAnsi="Times New Roman" w:eastAsia="宋体" w:cs="Times New Roman"/>
          <w:color w:val="auto"/>
          <w:sz w:val="24"/>
          <w:szCs w:val="24"/>
          <w:highlight w:val="none"/>
          <w:lang w:val="en-US" w:eastAsia="zh-CN"/>
        </w:rPr>
        <w:t>结果</w:t>
      </w:r>
    </w:p>
    <w:p w14:paraId="39E1BB1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环境空气质量监测结果依次见表</w:t>
      </w:r>
      <w:r>
        <w:rPr>
          <w:rFonts w:hint="eastAsia" w:ascii="Times New Roman" w:hAnsi="Times New Roman" w:eastAsia="宋体" w:cs="Times New Roman"/>
          <w:color w:val="auto"/>
          <w:sz w:val="24"/>
          <w:szCs w:val="24"/>
          <w:highlight w:val="none"/>
          <w:lang w:val="en-US" w:eastAsia="zh-CN"/>
        </w:rPr>
        <w:t>5.2-6</w:t>
      </w:r>
      <w:r>
        <w:rPr>
          <w:rFonts w:hint="default" w:ascii="Times New Roman" w:hAnsi="Times New Roman" w:eastAsia="宋体" w:cs="Times New Roman"/>
          <w:color w:val="auto"/>
          <w:sz w:val="24"/>
          <w:szCs w:val="24"/>
          <w:highlight w:val="none"/>
          <w:lang w:val="en-US" w:eastAsia="zh-CN"/>
        </w:rPr>
        <w:t>。</w:t>
      </w:r>
    </w:p>
    <w:p w14:paraId="6C8DA2A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p>
    <w:p w14:paraId="2146EF85">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6</w:t>
      </w:r>
      <w:r>
        <w:rPr>
          <w:rFonts w:hint="default" w:ascii="Times New Roman" w:hAnsi="Times New Roman" w:eastAsia="宋体" w:cs="Times New Roman"/>
          <w:b/>
          <w:bCs/>
          <w:color w:val="auto"/>
          <w:sz w:val="24"/>
          <w:szCs w:val="24"/>
          <w:lang w:val="en-US" w:eastAsia="zh-CN"/>
        </w:rPr>
        <w:t xml:space="preserve">  大气污染物平均浓度现状监测结果统计评价表  </w:t>
      </w:r>
    </w:p>
    <w:tbl>
      <w:tblPr>
        <w:tblStyle w:val="41"/>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9"/>
        <w:gridCol w:w="1100"/>
        <w:gridCol w:w="940"/>
        <w:gridCol w:w="1381"/>
        <w:gridCol w:w="1496"/>
        <w:gridCol w:w="1105"/>
        <w:gridCol w:w="940"/>
        <w:gridCol w:w="944"/>
      </w:tblGrid>
      <w:tr w14:paraId="086C3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restart"/>
            <w:tcBorders>
              <w:tl2br w:val="nil"/>
              <w:tr2bl w:val="nil"/>
            </w:tcBorders>
            <w:noWrap w:val="0"/>
            <w:vAlign w:val="center"/>
          </w:tcPr>
          <w:p w14:paraId="1542BC83">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监测点位</w:t>
            </w:r>
          </w:p>
        </w:tc>
        <w:tc>
          <w:tcPr>
            <w:tcW w:w="621" w:type="pct"/>
            <w:vMerge w:val="restart"/>
            <w:tcBorders>
              <w:tl2br w:val="nil"/>
              <w:tr2bl w:val="nil"/>
            </w:tcBorders>
            <w:noWrap w:val="0"/>
            <w:vAlign w:val="center"/>
          </w:tcPr>
          <w:p w14:paraId="711BA51E">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污染物</w:t>
            </w:r>
          </w:p>
        </w:tc>
        <w:tc>
          <w:tcPr>
            <w:tcW w:w="531" w:type="pct"/>
            <w:vMerge w:val="restart"/>
            <w:tcBorders>
              <w:tl2br w:val="nil"/>
              <w:tr2bl w:val="nil"/>
            </w:tcBorders>
            <w:noWrap w:val="0"/>
            <w:vAlign w:val="center"/>
          </w:tcPr>
          <w:p w14:paraId="45FF295F">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评价</w:t>
            </w:r>
          </w:p>
          <w:p w14:paraId="0212F25B">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指标</w:t>
            </w:r>
          </w:p>
        </w:tc>
        <w:tc>
          <w:tcPr>
            <w:tcW w:w="780" w:type="pct"/>
            <w:vMerge w:val="restart"/>
            <w:tcBorders>
              <w:tl2br w:val="nil"/>
              <w:tr2bl w:val="nil"/>
            </w:tcBorders>
            <w:noWrap w:val="0"/>
            <w:vAlign w:val="center"/>
          </w:tcPr>
          <w:p w14:paraId="7757F386">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评价标准（μg/m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c>
          <w:tcPr>
            <w:tcW w:w="845" w:type="pct"/>
            <w:vMerge w:val="restart"/>
            <w:tcBorders>
              <w:tl2br w:val="nil"/>
              <w:tr2bl w:val="nil"/>
            </w:tcBorders>
            <w:noWrap w:val="0"/>
            <w:vAlign w:val="center"/>
          </w:tcPr>
          <w:p w14:paraId="7C260425">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现状浓度（</w:t>
            </w:r>
            <w:r>
              <w:rPr>
                <w:rFonts w:hint="eastAsia" w:ascii="Times New Roman" w:hAnsi="Times New Roman" w:cs="Times New Roman"/>
                <w:color w:val="auto"/>
                <w:sz w:val="21"/>
                <w:szCs w:val="21"/>
                <w:highlight w:val="none"/>
                <w:lang w:val="en-US" w:eastAsia="zh-CN"/>
              </w:rPr>
              <w:t>m</w:t>
            </w:r>
            <w:r>
              <w:rPr>
                <w:rFonts w:hint="default" w:ascii="Times New Roman" w:hAnsi="Times New Roman" w:cs="Times New Roman"/>
                <w:color w:val="auto"/>
                <w:sz w:val="21"/>
                <w:szCs w:val="21"/>
                <w:highlight w:val="none"/>
                <w:lang w:val="en-US" w:eastAsia="zh-CN"/>
              </w:rPr>
              <w:t>g/m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c>
          <w:tcPr>
            <w:tcW w:w="624" w:type="pct"/>
            <w:vMerge w:val="restart"/>
            <w:tcBorders>
              <w:tl2br w:val="nil"/>
              <w:tr2bl w:val="nil"/>
            </w:tcBorders>
            <w:noWrap w:val="0"/>
            <w:vAlign w:val="center"/>
          </w:tcPr>
          <w:p w14:paraId="5A20C68E">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最大占标率%</w:t>
            </w:r>
          </w:p>
        </w:tc>
        <w:tc>
          <w:tcPr>
            <w:tcW w:w="531" w:type="pct"/>
            <w:vMerge w:val="restart"/>
            <w:tcBorders>
              <w:tl2br w:val="nil"/>
              <w:tr2bl w:val="nil"/>
            </w:tcBorders>
            <w:noWrap w:val="0"/>
            <w:vAlign w:val="center"/>
          </w:tcPr>
          <w:p w14:paraId="2DE28DB6">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超标频率%</w:t>
            </w:r>
          </w:p>
        </w:tc>
        <w:tc>
          <w:tcPr>
            <w:tcW w:w="533" w:type="pct"/>
            <w:vMerge w:val="restart"/>
            <w:tcBorders>
              <w:tl2br w:val="nil"/>
              <w:tr2bl w:val="nil"/>
            </w:tcBorders>
            <w:noWrap w:val="0"/>
            <w:vAlign w:val="center"/>
          </w:tcPr>
          <w:p w14:paraId="0FFED271">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达标情况</w:t>
            </w:r>
          </w:p>
        </w:tc>
      </w:tr>
      <w:tr w14:paraId="5B9FD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noWrap w:val="0"/>
            <w:vAlign w:val="center"/>
          </w:tcPr>
          <w:p w14:paraId="663123F4">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1" w:type="pct"/>
            <w:vMerge w:val="continue"/>
            <w:tcBorders>
              <w:tl2br w:val="nil"/>
              <w:tr2bl w:val="nil"/>
            </w:tcBorders>
            <w:noWrap w:val="0"/>
            <w:vAlign w:val="center"/>
          </w:tcPr>
          <w:p w14:paraId="775125BC">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31" w:type="pct"/>
            <w:vMerge w:val="continue"/>
            <w:tcBorders>
              <w:tl2br w:val="nil"/>
              <w:tr2bl w:val="nil"/>
            </w:tcBorders>
            <w:noWrap w:val="0"/>
            <w:vAlign w:val="center"/>
          </w:tcPr>
          <w:p w14:paraId="5F17E509">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80" w:type="pct"/>
            <w:vMerge w:val="continue"/>
            <w:tcBorders>
              <w:tl2br w:val="nil"/>
              <w:tr2bl w:val="nil"/>
            </w:tcBorders>
            <w:noWrap w:val="0"/>
            <w:vAlign w:val="center"/>
          </w:tcPr>
          <w:p w14:paraId="4F0D4136">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845" w:type="pct"/>
            <w:vMerge w:val="continue"/>
            <w:tcBorders>
              <w:tl2br w:val="nil"/>
              <w:tr2bl w:val="nil"/>
            </w:tcBorders>
            <w:noWrap w:val="0"/>
            <w:vAlign w:val="center"/>
          </w:tcPr>
          <w:p w14:paraId="5EAB3CAA">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4" w:type="pct"/>
            <w:vMerge w:val="continue"/>
            <w:tcBorders>
              <w:tl2br w:val="nil"/>
              <w:tr2bl w:val="nil"/>
            </w:tcBorders>
            <w:noWrap w:val="0"/>
            <w:vAlign w:val="center"/>
          </w:tcPr>
          <w:p w14:paraId="4EA652CC">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31" w:type="pct"/>
            <w:vMerge w:val="continue"/>
            <w:tcBorders>
              <w:tl2br w:val="nil"/>
              <w:tr2bl w:val="nil"/>
            </w:tcBorders>
            <w:noWrap w:val="0"/>
            <w:vAlign w:val="center"/>
          </w:tcPr>
          <w:p w14:paraId="6260C195">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33" w:type="pct"/>
            <w:vMerge w:val="continue"/>
            <w:tcBorders>
              <w:tl2br w:val="nil"/>
              <w:tr2bl w:val="nil"/>
            </w:tcBorders>
            <w:noWrap w:val="0"/>
            <w:vAlign w:val="center"/>
          </w:tcPr>
          <w:p w14:paraId="2792C934">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65BD8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530" w:type="pct"/>
            <w:vMerge w:val="restart"/>
            <w:tcBorders>
              <w:tl2br w:val="nil"/>
              <w:tr2bl w:val="nil"/>
            </w:tcBorders>
            <w:noWrap w:val="0"/>
            <w:vAlign w:val="center"/>
          </w:tcPr>
          <w:p w14:paraId="64FF0EDB">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1#八五二农场</w:t>
            </w:r>
          </w:p>
        </w:tc>
        <w:tc>
          <w:tcPr>
            <w:tcW w:w="621" w:type="pct"/>
            <w:tcBorders>
              <w:tl2br w:val="nil"/>
              <w:tr2bl w:val="nil"/>
            </w:tcBorders>
            <w:shd w:val="clear" w:color="auto" w:fill="auto"/>
            <w:noWrap w:val="0"/>
            <w:vAlign w:val="center"/>
          </w:tcPr>
          <w:p w14:paraId="2918BB0D">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TSP</w:t>
            </w:r>
          </w:p>
        </w:tc>
        <w:tc>
          <w:tcPr>
            <w:tcW w:w="531" w:type="pct"/>
            <w:tcBorders>
              <w:tl2br w:val="nil"/>
              <w:tr2bl w:val="nil"/>
            </w:tcBorders>
            <w:shd w:val="clear" w:color="auto" w:fill="auto"/>
            <w:noWrap w:val="0"/>
            <w:vAlign w:val="center"/>
          </w:tcPr>
          <w:p w14:paraId="1E4A0E48">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24小时平均</w:t>
            </w:r>
          </w:p>
        </w:tc>
        <w:tc>
          <w:tcPr>
            <w:tcW w:w="780" w:type="pct"/>
            <w:tcBorders>
              <w:tl2br w:val="nil"/>
              <w:tr2bl w:val="nil"/>
            </w:tcBorders>
            <w:shd w:val="clear" w:color="auto" w:fill="auto"/>
            <w:noWrap w:val="0"/>
            <w:vAlign w:val="center"/>
          </w:tcPr>
          <w:p w14:paraId="6059CEE3">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845" w:type="pct"/>
            <w:tcBorders>
              <w:tl2br w:val="nil"/>
              <w:tr2bl w:val="nil"/>
            </w:tcBorders>
            <w:shd w:val="clear" w:color="auto" w:fill="auto"/>
            <w:noWrap w:val="0"/>
            <w:vAlign w:val="center"/>
          </w:tcPr>
          <w:p w14:paraId="7A711F26">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0.083~0.093</w:t>
            </w:r>
          </w:p>
        </w:tc>
        <w:tc>
          <w:tcPr>
            <w:tcW w:w="624" w:type="pct"/>
            <w:tcBorders>
              <w:tl2br w:val="nil"/>
              <w:tr2bl w:val="nil"/>
            </w:tcBorders>
            <w:shd w:val="clear" w:color="auto" w:fill="auto"/>
            <w:noWrap w:val="0"/>
            <w:vAlign w:val="center"/>
          </w:tcPr>
          <w:p w14:paraId="34901B1B">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31.0</w:t>
            </w:r>
          </w:p>
        </w:tc>
        <w:tc>
          <w:tcPr>
            <w:tcW w:w="531" w:type="pct"/>
            <w:tcBorders>
              <w:tl2br w:val="nil"/>
              <w:tr2bl w:val="nil"/>
            </w:tcBorders>
            <w:shd w:val="clear" w:color="auto" w:fill="auto"/>
            <w:noWrap w:val="0"/>
            <w:vAlign w:val="center"/>
          </w:tcPr>
          <w:p w14:paraId="4BE770A7">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5603A8D3">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达标</w:t>
            </w:r>
          </w:p>
        </w:tc>
      </w:tr>
      <w:tr w14:paraId="13C7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noWrap w:val="0"/>
            <w:vAlign w:val="center"/>
          </w:tcPr>
          <w:p w14:paraId="729EA41D">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1" w:type="pct"/>
            <w:tcBorders>
              <w:tl2br w:val="nil"/>
              <w:tr2bl w:val="nil"/>
            </w:tcBorders>
            <w:shd w:val="clear" w:color="auto" w:fill="auto"/>
            <w:noWrap w:val="0"/>
            <w:vAlign w:val="center"/>
          </w:tcPr>
          <w:p w14:paraId="48AE3230">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汞</w:t>
            </w:r>
          </w:p>
        </w:tc>
        <w:tc>
          <w:tcPr>
            <w:tcW w:w="531" w:type="pct"/>
            <w:tcBorders>
              <w:tl2br w:val="nil"/>
              <w:tr2bl w:val="nil"/>
            </w:tcBorders>
            <w:shd w:val="clear" w:color="auto" w:fill="auto"/>
            <w:noWrap w:val="0"/>
            <w:vAlign w:val="center"/>
          </w:tcPr>
          <w:p w14:paraId="7793F532">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24小时平均</w:t>
            </w:r>
          </w:p>
        </w:tc>
        <w:tc>
          <w:tcPr>
            <w:tcW w:w="780" w:type="pct"/>
            <w:tcBorders>
              <w:tl2br w:val="nil"/>
              <w:tr2bl w:val="nil"/>
            </w:tcBorders>
            <w:shd w:val="clear" w:color="auto" w:fill="auto"/>
            <w:noWrap w:val="0"/>
            <w:vAlign w:val="center"/>
          </w:tcPr>
          <w:p w14:paraId="79584C7C">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0.15</w:t>
            </w:r>
          </w:p>
        </w:tc>
        <w:tc>
          <w:tcPr>
            <w:tcW w:w="845" w:type="pct"/>
            <w:tcBorders>
              <w:tl2br w:val="nil"/>
              <w:tr2bl w:val="nil"/>
            </w:tcBorders>
            <w:shd w:val="clear" w:color="auto" w:fill="auto"/>
            <w:noWrap w:val="0"/>
            <w:vAlign w:val="center"/>
          </w:tcPr>
          <w:p w14:paraId="06F5B8EB">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624" w:type="pct"/>
            <w:tcBorders>
              <w:tl2br w:val="nil"/>
              <w:tr2bl w:val="nil"/>
            </w:tcBorders>
            <w:shd w:val="clear" w:color="auto" w:fill="auto"/>
            <w:noWrap w:val="0"/>
            <w:vAlign w:val="center"/>
          </w:tcPr>
          <w:p w14:paraId="53D7CD4E">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531" w:type="pct"/>
            <w:tcBorders>
              <w:tl2br w:val="nil"/>
              <w:tr2bl w:val="nil"/>
            </w:tcBorders>
            <w:shd w:val="clear" w:color="auto" w:fill="auto"/>
            <w:noWrap w:val="0"/>
            <w:vAlign w:val="center"/>
          </w:tcPr>
          <w:p w14:paraId="5466B4AA">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533" w:type="pct"/>
            <w:tcBorders>
              <w:tl2br w:val="nil"/>
              <w:tr2bl w:val="nil"/>
            </w:tcBorders>
            <w:shd w:val="clear" w:color="auto" w:fill="auto"/>
            <w:noWrap w:val="0"/>
            <w:vAlign w:val="center"/>
          </w:tcPr>
          <w:p w14:paraId="338EC25E">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达标</w:t>
            </w:r>
          </w:p>
        </w:tc>
      </w:tr>
      <w:tr w14:paraId="7791D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noWrap w:val="0"/>
            <w:vAlign w:val="center"/>
          </w:tcPr>
          <w:p w14:paraId="6A088424">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1" w:type="pct"/>
            <w:vMerge w:val="restart"/>
            <w:tcBorders>
              <w:tl2br w:val="nil"/>
              <w:tr2bl w:val="nil"/>
            </w:tcBorders>
            <w:shd w:val="clear" w:color="auto" w:fill="auto"/>
            <w:noWrap w:val="0"/>
            <w:vAlign w:val="center"/>
          </w:tcPr>
          <w:p w14:paraId="6B8202C2">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氮氧化物</w:t>
            </w:r>
          </w:p>
        </w:tc>
        <w:tc>
          <w:tcPr>
            <w:tcW w:w="531" w:type="pct"/>
            <w:tcBorders>
              <w:tl2br w:val="nil"/>
              <w:tr2bl w:val="nil"/>
            </w:tcBorders>
            <w:shd w:val="clear" w:color="auto" w:fill="auto"/>
            <w:noWrap w:val="0"/>
            <w:vAlign w:val="center"/>
          </w:tcPr>
          <w:p w14:paraId="17DFA1CB">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24小时平均</w:t>
            </w:r>
          </w:p>
        </w:tc>
        <w:tc>
          <w:tcPr>
            <w:tcW w:w="780" w:type="pct"/>
            <w:tcBorders>
              <w:tl2br w:val="nil"/>
              <w:tr2bl w:val="nil"/>
            </w:tcBorders>
            <w:shd w:val="clear" w:color="auto" w:fill="auto"/>
            <w:noWrap w:val="0"/>
            <w:vAlign w:val="center"/>
          </w:tcPr>
          <w:p w14:paraId="259CFA47">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w:t>
            </w:r>
          </w:p>
        </w:tc>
        <w:tc>
          <w:tcPr>
            <w:tcW w:w="845" w:type="pct"/>
            <w:tcBorders>
              <w:tl2br w:val="nil"/>
              <w:tr2bl w:val="nil"/>
            </w:tcBorders>
            <w:shd w:val="clear" w:color="auto" w:fill="auto"/>
            <w:noWrap w:val="0"/>
            <w:vAlign w:val="center"/>
          </w:tcPr>
          <w:p w14:paraId="6765D301">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0.016~0.024</w:t>
            </w:r>
          </w:p>
        </w:tc>
        <w:tc>
          <w:tcPr>
            <w:tcW w:w="624" w:type="pct"/>
            <w:tcBorders>
              <w:tl2br w:val="nil"/>
              <w:tr2bl w:val="nil"/>
            </w:tcBorders>
            <w:shd w:val="clear" w:color="auto" w:fill="auto"/>
            <w:noWrap w:val="0"/>
            <w:vAlign w:val="center"/>
          </w:tcPr>
          <w:p w14:paraId="26BA71F7">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24.0</w:t>
            </w:r>
          </w:p>
        </w:tc>
        <w:tc>
          <w:tcPr>
            <w:tcW w:w="531" w:type="pct"/>
            <w:tcBorders>
              <w:tl2br w:val="nil"/>
              <w:tr2bl w:val="nil"/>
            </w:tcBorders>
            <w:shd w:val="clear" w:color="auto" w:fill="auto"/>
            <w:noWrap w:val="0"/>
            <w:vAlign w:val="center"/>
          </w:tcPr>
          <w:p w14:paraId="25A846CE">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4F2C331F">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达标</w:t>
            </w:r>
          </w:p>
        </w:tc>
      </w:tr>
      <w:tr w14:paraId="30CC9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noWrap w:val="0"/>
            <w:vAlign w:val="center"/>
          </w:tcPr>
          <w:p w14:paraId="52E59A4A">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1" w:type="pct"/>
            <w:vMerge w:val="continue"/>
            <w:tcBorders>
              <w:tl2br w:val="nil"/>
              <w:tr2bl w:val="nil"/>
            </w:tcBorders>
            <w:shd w:val="clear" w:color="auto" w:fill="auto"/>
            <w:noWrap w:val="0"/>
            <w:vAlign w:val="center"/>
          </w:tcPr>
          <w:p w14:paraId="7D4CED95">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531" w:type="pct"/>
            <w:tcBorders>
              <w:tl2br w:val="nil"/>
              <w:tr2bl w:val="nil"/>
            </w:tcBorders>
            <w:shd w:val="clear" w:color="auto" w:fill="auto"/>
            <w:noWrap w:val="0"/>
            <w:vAlign w:val="center"/>
          </w:tcPr>
          <w:p w14:paraId="584D177A">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小时平均</w:t>
            </w:r>
          </w:p>
        </w:tc>
        <w:tc>
          <w:tcPr>
            <w:tcW w:w="780" w:type="pct"/>
            <w:tcBorders>
              <w:tl2br w:val="nil"/>
              <w:tr2bl w:val="nil"/>
            </w:tcBorders>
            <w:shd w:val="clear" w:color="auto" w:fill="auto"/>
            <w:noWrap w:val="0"/>
            <w:vAlign w:val="center"/>
          </w:tcPr>
          <w:p w14:paraId="5AFCDC3A">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250</w:t>
            </w:r>
          </w:p>
        </w:tc>
        <w:tc>
          <w:tcPr>
            <w:tcW w:w="845" w:type="pct"/>
            <w:tcBorders>
              <w:tl2br w:val="nil"/>
              <w:tr2bl w:val="nil"/>
            </w:tcBorders>
            <w:shd w:val="clear" w:color="auto" w:fill="auto"/>
            <w:noWrap w:val="0"/>
            <w:vAlign w:val="center"/>
          </w:tcPr>
          <w:p w14:paraId="367FED16">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0.018~0.037</w:t>
            </w:r>
          </w:p>
        </w:tc>
        <w:tc>
          <w:tcPr>
            <w:tcW w:w="624" w:type="pct"/>
            <w:tcBorders>
              <w:tl2br w:val="nil"/>
              <w:tr2bl w:val="nil"/>
            </w:tcBorders>
            <w:shd w:val="clear" w:color="auto" w:fill="auto"/>
            <w:noWrap w:val="0"/>
            <w:vAlign w:val="center"/>
          </w:tcPr>
          <w:p w14:paraId="58E8E78D">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14.8</w:t>
            </w:r>
          </w:p>
        </w:tc>
        <w:tc>
          <w:tcPr>
            <w:tcW w:w="531" w:type="pct"/>
            <w:tcBorders>
              <w:tl2br w:val="nil"/>
              <w:tr2bl w:val="nil"/>
            </w:tcBorders>
            <w:shd w:val="clear" w:color="auto" w:fill="auto"/>
            <w:noWrap w:val="0"/>
            <w:vAlign w:val="center"/>
          </w:tcPr>
          <w:p w14:paraId="4BD02360">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1BA7FDE9">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达标</w:t>
            </w:r>
          </w:p>
        </w:tc>
      </w:tr>
      <w:tr w14:paraId="5D0D9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noWrap w:val="0"/>
            <w:vAlign w:val="center"/>
          </w:tcPr>
          <w:p w14:paraId="77426060">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1" w:type="pct"/>
            <w:tcBorders>
              <w:tl2br w:val="nil"/>
              <w:tr2bl w:val="nil"/>
            </w:tcBorders>
            <w:shd w:val="clear" w:color="auto" w:fill="auto"/>
            <w:noWrap w:val="0"/>
            <w:vAlign w:val="center"/>
          </w:tcPr>
          <w:p w14:paraId="0A8CDD10">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氨</w:t>
            </w:r>
          </w:p>
        </w:tc>
        <w:tc>
          <w:tcPr>
            <w:tcW w:w="531" w:type="pct"/>
            <w:tcBorders>
              <w:tl2br w:val="nil"/>
              <w:tr2bl w:val="nil"/>
            </w:tcBorders>
            <w:shd w:val="clear" w:color="auto" w:fill="auto"/>
            <w:noWrap w:val="0"/>
            <w:vAlign w:val="center"/>
          </w:tcPr>
          <w:p w14:paraId="1353B8E1">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小时平均</w:t>
            </w:r>
          </w:p>
        </w:tc>
        <w:tc>
          <w:tcPr>
            <w:tcW w:w="780" w:type="pct"/>
            <w:tcBorders>
              <w:tl2br w:val="nil"/>
              <w:tr2bl w:val="nil"/>
            </w:tcBorders>
            <w:shd w:val="clear" w:color="auto" w:fill="auto"/>
            <w:noWrap w:val="0"/>
            <w:vAlign w:val="center"/>
          </w:tcPr>
          <w:p w14:paraId="47FE8205">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200</w:t>
            </w:r>
          </w:p>
        </w:tc>
        <w:tc>
          <w:tcPr>
            <w:tcW w:w="845" w:type="pct"/>
            <w:tcBorders>
              <w:tl2br w:val="nil"/>
              <w:tr2bl w:val="nil"/>
            </w:tcBorders>
            <w:shd w:val="clear" w:color="auto" w:fill="auto"/>
            <w:noWrap w:val="0"/>
            <w:vAlign w:val="center"/>
          </w:tcPr>
          <w:p w14:paraId="12517A62">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0.03~0.08</w:t>
            </w:r>
          </w:p>
        </w:tc>
        <w:tc>
          <w:tcPr>
            <w:tcW w:w="624" w:type="pct"/>
            <w:tcBorders>
              <w:tl2br w:val="nil"/>
              <w:tr2bl w:val="nil"/>
            </w:tcBorders>
            <w:shd w:val="clear" w:color="auto" w:fill="auto"/>
            <w:noWrap w:val="0"/>
            <w:vAlign w:val="center"/>
          </w:tcPr>
          <w:p w14:paraId="31B5C2A2">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40.0</w:t>
            </w:r>
          </w:p>
        </w:tc>
        <w:tc>
          <w:tcPr>
            <w:tcW w:w="531" w:type="pct"/>
            <w:tcBorders>
              <w:tl2br w:val="nil"/>
              <w:tr2bl w:val="nil"/>
            </w:tcBorders>
            <w:shd w:val="clear" w:color="auto" w:fill="auto"/>
            <w:noWrap w:val="0"/>
            <w:vAlign w:val="center"/>
          </w:tcPr>
          <w:p w14:paraId="05CB2A7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584CD6E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达标</w:t>
            </w:r>
          </w:p>
        </w:tc>
      </w:tr>
      <w:tr w14:paraId="2B2BB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restart"/>
            <w:tcBorders>
              <w:tl2br w:val="nil"/>
              <w:tr2bl w:val="nil"/>
            </w:tcBorders>
            <w:shd w:val="clear" w:color="auto" w:fill="auto"/>
            <w:noWrap w:val="0"/>
            <w:vAlign w:val="center"/>
          </w:tcPr>
          <w:p w14:paraId="70F48A86">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2#厂址下风向</w:t>
            </w:r>
          </w:p>
        </w:tc>
        <w:tc>
          <w:tcPr>
            <w:tcW w:w="621" w:type="pct"/>
            <w:tcBorders>
              <w:tl2br w:val="nil"/>
              <w:tr2bl w:val="nil"/>
            </w:tcBorders>
            <w:shd w:val="clear" w:color="auto" w:fill="auto"/>
            <w:noWrap w:val="0"/>
            <w:vAlign w:val="center"/>
          </w:tcPr>
          <w:p w14:paraId="7B91E6B3">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TSP</w:t>
            </w:r>
          </w:p>
        </w:tc>
        <w:tc>
          <w:tcPr>
            <w:tcW w:w="531" w:type="pct"/>
            <w:tcBorders>
              <w:tl2br w:val="nil"/>
              <w:tr2bl w:val="nil"/>
            </w:tcBorders>
            <w:shd w:val="clear" w:color="auto" w:fill="auto"/>
            <w:noWrap w:val="0"/>
            <w:vAlign w:val="center"/>
          </w:tcPr>
          <w:p w14:paraId="08B9D824">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24小时平均</w:t>
            </w:r>
          </w:p>
        </w:tc>
        <w:tc>
          <w:tcPr>
            <w:tcW w:w="780" w:type="pct"/>
            <w:tcBorders>
              <w:tl2br w:val="nil"/>
              <w:tr2bl w:val="nil"/>
            </w:tcBorders>
            <w:shd w:val="clear" w:color="auto" w:fill="auto"/>
            <w:noWrap w:val="0"/>
            <w:vAlign w:val="center"/>
          </w:tcPr>
          <w:p w14:paraId="4747AA90">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845" w:type="pct"/>
            <w:tcBorders>
              <w:tl2br w:val="nil"/>
              <w:tr2bl w:val="nil"/>
            </w:tcBorders>
            <w:shd w:val="clear" w:color="auto" w:fill="auto"/>
            <w:noWrap w:val="0"/>
            <w:vAlign w:val="center"/>
          </w:tcPr>
          <w:p w14:paraId="48B7AC90">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0.087~0.095</w:t>
            </w:r>
          </w:p>
        </w:tc>
        <w:tc>
          <w:tcPr>
            <w:tcW w:w="624" w:type="pct"/>
            <w:tcBorders>
              <w:tl2br w:val="nil"/>
              <w:tr2bl w:val="nil"/>
            </w:tcBorders>
            <w:shd w:val="clear" w:color="auto" w:fill="auto"/>
            <w:noWrap w:val="0"/>
            <w:vAlign w:val="center"/>
          </w:tcPr>
          <w:p w14:paraId="7D6CA545">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31.7</w:t>
            </w:r>
          </w:p>
        </w:tc>
        <w:tc>
          <w:tcPr>
            <w:tcW w:w="531" w:type="pct"/>
            <w:tcBorders>
              <w:tl2br w:val="nil"/>
              <w:tr2bl w:val="nil"/>
            </w:tcBorders>
            <w:shd w:val="clear" w:color="auto" w:fill="auto"/>
            <w:noWrap w:val="0"/>
            <w:vAlign w:val="center"/>
          </w:tcPr>
          <w:p w14:paraId="79551CF2">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459B7BAA">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达标</w:t>
            </w:r>
          </w:p>
        </w:tc>
      </w:tr>
      <w:tr w14:paraId="28770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shd w:val="clear" w:color="auto" w:fill="auto"/>
            <w:noWrap w:val="0"/>
            <w:vAlign w:val="center"/>
          </w:tcPr>
          <w:p w14:paraId="1E3A9E7E">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621" w:type="pct"/>
            <w:tcBorders>
              <w:tl2br w:val="nil"/>
              <w:tr2bl w:val="nil"/>
            </w:tcBorders>
            <w:shd w:val="clear" w:color="auto" w:fill="auto"/>
            <w:noWrap w:val="0"/>
            <w:vAlign w:val="center"/>
          </w:tcPr>
          <w:p w14:paraId="71EF71D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汞</w:t>
            </w:r>
          </w:p>
        </w:tc>
        <w:tc>
          <w:tcPr>
            <w:tcW w:w="531" w:type="pct"/>
            <w:tcBorders>
              <w:tl2br w:val="nil"/>
              <w:tr2bl w:val="nil"/>
            </w:tcBorders>
            <w:shd w:val="clear" w:color="auto" w:fill="auto"/>
            <w:noWrap w:val="0"/>
            <w:vAlign w:val="center"/>
          </w:tcPr>
          <w:p w14:paraId="3924AD2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24小时平均</w:t>
            </w:r>
          </w:p>
        </w:tc>
        <w:tc>
          <w:tcPr>
            <w:tcW w:w="780" w:type="pct"/>
            <w:tcBorders>
              <w:tl2br w:val="nil"/>
              <w:tr2bl w:val="nil"/>
            </w:tcBorders>
            <w:shd w:val="clear" w:color="auto" w:fill="auto"/>
            <w:noWrap w:val="0"/>
            <w:vAlign w:val="center"/>
          </w:tcPr>
          <w:p w14:paraId="0F5FE99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0.15</w:t>
            </w:r>
          </w:p>
        </w:tc>
        <w:tc>
          <w:tcPr>
            <w:tcW w:w="845" w:type="pct"/>
            <w:tcBorders>
              <w:tl2br w:val="nil"/>
              <w:tr2bl w:val="nil"/>
            </w:tcBorders>
            <w:shd w:val="clear" w:color="auto" w:fill="auto"/>
            <w:noWrap w:val="0"/>
            <w:vAlign w:val="center"/>
          </w:tcPr>
          <w:p w14:paraId="547F2CE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w:t>
            </w:r>
          </w:p>
        </w:tc>
        <w:tc>
          <w:tcPr>
            <w:tcW w:w="624" w:type="pct"/>
            <w:tcBorders>
              <w:tl2br w:val="nil"/>
              <w:tr2bl w:val="nil"/>
            </w:tcBorders>
            <w:shd w:val="clear" w:color="auto" w:fill="auto"/>
            <w:noWrap w:val="0"/>
            <w:vAlign w:val="center"/>
          </w:tcPr>
          <w:p w14:paraId="04703E3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w:t>
            </w:r>
          </w:p>
        </w:tc>
        <w:tc>
          <w:tcPr>
            <w:tcW w:w="531" w:type="pct"/>
            <w:tcBorders>
              <w:tl2br w:val="nil"/>
              <w:tr2bl w:val="nil"/>
            </w:tcBorders>
            <w:shd w:val="clear" w:color="auto" w:fill="auto"/>
            <w:noWrap w:val="0"/>
            <w:vAlign w:val="center"/>
          </w:tcPr>
          <w:p w14:paraId="0C10C00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w:t>
            </w:r>
          </w:p>
        </w:tc>
        <w:tc>
          <w:tcPr>
            <w:tcW w:w="533" w:type="pct"/>
            <w:tcBorders>
              <w:tl2br w:val="nil"/>
              <w:tr2bl w:val="nil"/>
            </w:tcBorders>
            <w:shd w:val="clear" w:color="auto" w:fill="auto"/>
            <w:noWrap w:val="0"/>
            <w:vAlign w:val="center"/>
          </w:tcPr>
          <w:p w14:paraId="439535E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达标</w:t>
            </w:r>
          </w:p>
        </w:tc>
      </w:tr>
      <w:tr w14:paraId="5CE46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shd w:val="clear" w:color="auto" w:fill="auto"/>
            <w:noWrap w:val="0"/>
            <w:vAlign w:val="center"/>
          </w:tcPr>
          <w:p w14:paraId="7C952459">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621" w:type="pct"/>
            <w:vMerge w:val="restart"/>
            <w:tcBorders>
              <w:tl2br w:val="nil"/>
              <w:tr2bl w:val="nil"/>
            </w:tcBorders>
            <w:shd w:val="clear" w:color="auto" w:fill="auto"/>
            <w:noWrap w:val="0"/>
            <w:vAlign w:val="center"/>
          </w:tcPr>
          <w:p w14:paraId="4DF254A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氮氧化物</w:t>
            </w:r>
          </w:p>
        </w:tc>
        <w:tc>
          <w:tcPr>
            <w:tcW w:w="531" w:type="pct"/>
            <w:tcBorders>
              <w:tl2br w:val="nil"/>
              <w:tr2bl w:val="nil"/>
            </w:tcBorders>
            <w:shd w:val="clear" w:color="auto" w:fill="auto"/>
            <w:noWrap w:val="0"/>
            <w:vAlign w:val="center"/>
          </w:tcPr>
          <w:p w14:paraId="4146C2C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24小时平均</w:t>
            </w:r>
          </w:p>
        </w:tc>
        <w:tc>
          <w:tcPr>
            <w:tcW w:w="780" w:type="pct"/>
            <w:tcBorders>
              <w:tl2br w:val="nil"/>
              <w:tr2bl w:val="nil"/>
            </w:tcBorders>
            <w:shd w:val="clear" w:color="auto" w:fill="auto"/>
            <w:noWrap w:val="0"/>
            <w:vAlign w:val="center"/>
          </w:tcPr>
          <w:p w14:paraId="48FD5BF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100</w:t>
            </w:r>
          </w:p>
        </w:tc>
        <w:tc>
          <w:tcPr>
            <w:tcW w:w="845" w:type="pct"/>
            <w:tcBorders>
              <w:tl2br w:val="nil"/>
              <w:tr2bl w:val="nil"/>
            </w:tcBorders>
            <w:shd w:val="clear" w:color="auto" w:fill="auto"/>
            <w:noWrap w:val="0"/>
            <w:vAlign w:val="center"/>
          </w:tcPr>
          <w:p w14:paraId="6CE2563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0.020~0.028</w:t>
            </w:r>
          </w:p>
        </w:tc>
        <w:tc>
          <w:tcPr>
            <w:tcW w:w="624" w:type="pct"/>
            <w:tcBorders>
              <w:tl2br w:val="nil"/>
              <w:tr2bl w:val="nil"/>
            </w:tcBorders>
            <w:shd w:val="clear" w:color="auto" w:fill="auto"/>
            <w:noWrap w:val="0"/>
            <w:vAlign w:val="center"/>
          </w:tcPr>
          <w:p w14:paraId="67660F1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28.0</w:t>
            </w:r>
          </w:p>
        </w:tc>
        <w:tc>
          <w:tcPr>
            <w:tcW w:w="531" w:type="pct"/>
            <w:tcBorders>
              <w:tl2br w:val="nil"/>
              <w:tr2bl w:val="nil"/>
            </w:tcBorders>
            <w:shd w:val="clear" w:color="auto" w:fill="auto"/>
            <w:noWrap w:val="0"/>
            <w:vAlign w:val="center"/>
          </w:tcPr>
          <w:p w14:paraId="429F1DC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00A7EB9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达标</w:t>
            </w:r>
          </w:p>
        </w:tc>
      </w:tr>
      <w:tr w14:paraId="3781E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shd w:val="clear" w:color="auto" w:fill="auto"/>
            <w:noWrap w:val="0"/>
            <w:vAlign w:val="center"/>
          </w:tcPr>
          <w:p w14:paraId="6FDEF355">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621" w:type="pct"/>
            <w:vMerge w:val="continue"/>
            <w:tcBorders>
              <w:tl2br w:val="nil"/>
              <w:tr2bl w:val="nil"/>
            </w:tcBorders>
            <w:shd w:val="clear" w:color="auto" w:fill="auto"/>
            <w:noWrap w:val="0"/>
            <w:vAlign w:val="center"/>
          </w:tcPr>
          <w:p w14:paraId="438AA367">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531" w:type="pct"/>
            <w:tcBorders>
              <w:tl2br w:val="nil"/>
              <w:tr2bl w:val="nil"/>
            </w:tcBorders>
            <w:shd w:val="clear" w:color="auto" w:fill="auto"/>
            <w:noWrap w:val="0"/>
            <w:vAlign w:val="center"/>
          </w:tcPr>
          <w:p w14:paraId="4B33B8F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小时平均</w:t>
            </w:r>
          </w:p>
        </w:tc>
        <w:tc>
          <w:tcPr>
            <w:tcW w:w="780" w:type="pct"/>
            <w:tcBorders>
              <w:tl2br w:val="nil"/>
              <w:tr2bl w:val="nil"/>
            </w:tcBorders>
            <w:shd w:val="clear" w:color="auto" w:fill="auto"/>
            <w:noWrap w:val="0"/>
            <w:vAlign w:val="center"/>
          </w:tcPr>
          <w:p w14:paraId="1B8696D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250</w:t>
            </w:r>
          </w:p>
        </w:tc>
        <w:tc>
          <w:tcPr>
            <w:tcW w:w="845" w:type="pct"/>
            <w:tcBorders>
              <w:tl2br w:val="nil"/>
              <w:tr2bl w:val="nil"/>
            </w:tcBorders>
            <w:shd w:val="clear" w:color="auto" w:fill="auto"/>
            <w:noWrap w:val="0"/>
            <w:vAlign w:val="center"/>
          </w:tcPr>
          <w:p w14:paraId="29FCD0F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0.025~0.038</w:t>
            </w:r>
          </w:p>
        </w:tc>
        <w:tc>
          <w:tcPr>
            <w:tcW w:w="624" w:type="pct"/>
            <w:tcBorders>
              <w:tl2br w:val="nil"/>
              <w:tr2bl w:val="nil"/>
            </w:tcBorders>
            <w:shd w:val="clear" w:color="auto" w:fill="auto"/>
            <w:noWrap w:val="0"/>
            <w:vAlign w:val="center"/>
          </w:tcPr>
          <w:p w14:paraId="62C3061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15.2</w:t>
            </w:r>
          </w:p>
        </w:tc>
        <w:tc>
          <w:tcPr>
            <w:tcW w:w="531" w:type="pct"/>
            <w:tcBorders>
              <w:tl2br w:val="nil"/>
              <w:tr2bl w:val="nil"/>
            </w:tcBorders>
            <w:shd w:val="clear" w:color="auto" w:fill="auto"/>
            <w:noWrap w:val="0"/>
            <w:vAlign w:val="center"/>
          </w:tcPr>
          <w:p w14:paraId="32FF90D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2597D7F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达标</w:t>
            </w:r>
          </w:p>
        </w:tc>
      </w:tr>
      <w:tr w14:paraId="4BC84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30" w:type="pct"/>
            <w:vMerge w:val="continue"/>
            <w:tcBorders>
              <w:tl2br w:val="nil"/>
              <w:tr2bl w:val="nil"/>
            </w:tcBorders>
            <w:shd w:val="clear" w:color="auto" w:fill="auto"/>
            <w:noWrap w:val="0"/>
            <w:vAlign w:val="center"/>
          </w:tcPr>
          <w:p w14:paraId="3F562445">
            <w:pPr>
              <w:pStyle w:val="3"/>
              <w:keepNext w:val="0"/>
              <w:keepLines w:val="0"/>
              <w:pageBreakBefore w:val="0"/>
              <w:widowControl w:val="0"/>
              <w:kinsoku/>
              <w:wordWrap/>
              <w:overflowPunct/>
              <w:topLinePunct w:val="0"/>
              <w:autoSpaceDE/>
              <w:autoSpaceDN/>
              <w:bidi w:val="0"/>
              <w:adjustRightInd/>
              <w:snapToGrid/>
              <w:spacing w:after="0" w:line="28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621" w:type="pct"/>
            <w:tcBorders>
              <w:tl2br w:val="nil"/>
              <w:tr2bl w:val="nil"/>
            </w:tcBorders>
            <w:shd w:val="clear" w:color="auto" w:fill="auto"/>
            <w:noWrap w:val="0"/>
            <w:vAlign w:val="center"/>
          </w:tcPr>
          <w:p w14:paraId="5642D3E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氨</w:t>
            </w:r>
          </w:p>
        </w:tc>
        <w:tc>
          <w:tcPr>
            <w:tcW w:w="531" w:type="pct"/>
            <w:tcBorders>
              <w:tl2br w:val="nil"/>
              <w:tr2bl w:val="nil"/>
            </w:tcBorders>
            <w:shd w:val="clear" w:color="auto" w:fill="auto"/>
            <w:noWrap w:val="0"/>
            <w:vAlign w:val="center"/>
          </w:tcPr>
          <w:p w14:paraId="1E07CC2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小时平均</w:t>
            </w:r>
          </w:p>
        </w:tc>
        <w:tc>
          <w:tcPr>
            <w:tcW w:w="780" w:type="pct"/>
            <w:tcBorders>
              <w:tl2br w:val="nil"/>
              <w:tr2bl w:val="nil"/>
            </w:tcBorders>
            <w:shd w:val="clear" w:color="auto" w:fill="auto"/>
            <w:noWrap w:val="0"/>
            <w:vAlign w:val="center"/>
          </w:tcPr>
          <w:p w14:paraId="7ACCE9F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200</w:t>
            </w:r>
          </w:p>
        </w:tc>
        <w:tc>
          <w:tcPr>
            <w:tcW w:w="845" w:type="pct"/>
            <w:tcBorders>
              <w:tl2br w:val="nil"/>
              <w:tr2bl w:val="nil"/>
            </w:tcBorders>
            <w:shd w:val="clear" w:color="auto" w:fill="auto"/>
            <w:noWrap w:val="0"/>
            <w:vAlign w:val="center"/>
          </w:tcPr>
          <w:p w14:paraId="3913815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0.04~0.09</w:t>
            </w:r>
          </w:p>
        </w:tc>
        <w:tc>
          <w:tcPr>
            <w:tcW w:w="624" w:type="pct"/>
            <w:tcBorders>
              <w:tl2br w:val="nil"/>
              <w:tr2bl w:val="nil"/>
            </w:tcBorders>
            <w:shd w:val="clear" w:color="auto" w:fill="auto"/>
            <w:noWrap w:val="0"/>
            <w:vAlign w:val="center"/>
          </w:tcPr>
          <w:p w14:paraId="1DD5338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45.0</w:t>
            </w:r>
          </w:p>
        </w:tc>
        <w:tc>
          <w:tcPr>
            <w:tcW w:w="531" w:type="pct"/>
            <w:tcBorders>
              <w:tl2br w:val="nil"/>
              <w:tr2bl w:val="nil"/>
            </w:tcBorders>
            <w:shd w:val="clear" w:color="auto" w:fill="auto"/>
            <w:noWrap w:val="0"/>
            <w:vAlign w:val="center"/>
          </w:tcPr>
          <w:p w14:paraId="263676E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w:t>
            </w:r>
          </w:p>
        </w:tc>
        <w:tc>
          <w:tcPr>
            <w:tcW w:w="533" w:type="pct"/>
            <w:tcBorders>
              <w:tl2br w:val="nil"/>
              <w:tr2bl w:val="nil"/>
            </w:tcBorders>
            <w:shd w:val="clear" w:color="auto" w:fill="auto"/>
            <w:noWrap w:val="0"/>
            <w:vAlign w:val="center"/>
          </w:tcPr>
          <w:p w14:paraId="690FB4F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达标</w:t>
            </w:r>
          </w:p>
        </w:tc>
      </w:tr>
    </w:tbl>
    <w:p w14:paraId="6D564585">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eastAsia" w:ascii="Times New Roman" w:hAnsi="Times New Roman"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zh-CN" w:eastAsia="zh-CN" w:bidi="ar-SA"/>
        </w:rPr>
        <w:t>由以上环境空气质量现状监测数据统计分析可知，评价区域内TSP日平均浓度最大占标率为</w:t>
      </w:r>
      <w:r>
        <w:rPr>
          <w:rFonts w:hint="eastAsia" w:ascii="Times New Roman" w:hAnsi="Times New Roman" w:eastAsia="宋体" w:cs="Times New Roman"/>
          <w:snapToGrid/>
          <w:color w:val="auto"/>
          <w:kern w:val="2"/>
          <w:sz w:val="24"/>
          <w:szCs w:val="24"/>
          <w:lang w:val="en-US" w:eastAsia="zh-CN" w:bidi="ar-SA"/>
        </w:rPr>
        <w:t>31.7</w:t>
      </w:r>
      <w:r>
        <w:rPr>
          <w:rFonts w:hint="default" w:ascii="Times New Roman" w:hAnsi="Times New Roman" w:eastAsia="宋体" w:cs="Times New Roman"/>
          <w:snapToGrid/>
          <w:color w:val="auto"/>
          <w:kern w:val="2"/>
          <w:sz w:val="24"/>
          <w:szCs w:val="24"/>
          <w:lang w:val="zh-CN" w:eastAsia="zh-CN" w:bidi="ar-SA"/>
        </w:rPr>
        <w:t>%。评价区域TSP浓度满足《环境空气质量标准》（GB3095-20</w:t>
      </w:r>
      <w:r>
        <w:rPr>
          <w:rFonts w:hint="eastAsia" w:ascii="Times New Roman" w:hAnsi="Times New Roman" w:eastAsia="宋体" w:cs="Times New Roman"/>
          <w:snapToGrid/>
          <w:color w:val="auto"/>
          <w:kern w:val="2"/>
          <w:sz w:val="24"/>
          <w:szCs w:val="24"/>
          <w:lang w:val="en-US" w:eastAsia="zh-CN" w:bidi="ar-SA"/>
        </w:rPr>
        <w:t>26</w:t>
      </w:r>
      <w:r>
        <w:rPr>
          <w:rFonts w:hint="default" w:ascii="Times New Roman" w:hAnsi="Times New Roman" w:eastAsia="宋体" w:cs="Times New Roman"/>
          <w:snapToGrid/>
          <w:color w:val="auto"/>
          <w:kern w:val="2"/>
          <w:sz w:val="24"/>
          <w:szCs w:val="24"/>
          <w:lang w:val="zh-CN" w:eastAsia="zh-CN" w:bidi="ar-SA"/>
        </w:rPr>
        <w:t>）</w:t>
      </w:r>
      <w:r>
        <w:rPr>
          <w:rFonts w:hint="eastAsia" w:ascii="Times New Roman" w:hAnsi="Times New Roman" w:eastAsia="宋体" w:cs="Times New Roman"/>
          <w:snapToGrid/>
          <w:color w:val="auto"/>
          <w:kern w:val="2"/>
          <w:sz w:val="24"/>
          <w:szCs w:val="24"/>
          <w:lang w:val="en-US" w:eastAsia="zh-CN" w:bidi="ar-SA"/>
        </w:rPr>
        <w:t>中过渡期</w:t>
      </w:r>
      <w:r>
        <w:rPr>
          <w:rFonts w:hint="default" w:ascii="Times New Roman" w:hAnsi="Times New Roman" w:eastAsia="宋体" w:cs="Times New Roman"/>
          <w:snapToGrid/>
          <w:color w:val="auto"/>
          <w:kern w:val="2"/>
          <w:sz w:val="24"/>
          <w:szCs w:val="24"/>
          <w:lang w:val="zh-CN" w:eastAsia="zh-CN" w:bidi="ar-SA"/>
        </w:rPr>
        <w:t>二级标准</w:t>
      </w:r>
      <w:r>
        <w:rPr>
          <w:rFonts w:hint="eastAsia" w:ascii="Times New Roman" w:hAnsi="Times New Roman" w:eastAsia="宋体" w:cs="Times New Roman"/>
          <w:snapToGrid/>
          <w:color w:val="auto"/>
          <w:kern w:val="2"/>
          <w:sz w:val="24"/>
          <w:szCs w:val="24"/>
          <w:lang w:val="zh-CN" w:eastAsia="zh-CN" w:bidi="ar-SA"/>
        </w:rPr>
        <w:t>要求</w:t>
      </w:r>
      <w:r>
        <w:rPr>
          <w:rFonts w:hint="default" w:ascii="Times New Roman" w:hAnsi="Times New Roman" w:eastAsia="宋体" w:cs="Times New Roman"/>
          <w:snapToGrid/>
          <w:color w:val="auto"/>
          <w:kern w:val="2"/>
          <w:sz w:val="24"/>
          <w:szCs w:val="24"/>
          <w:lang w:val="zh-CN" w:eastAsia="zh-CN" w:bidi="ar-SA"/>
        </w:rPr>
        <w:t>。</w:t>
      </w:r>
      <w:r>
        <w:rPr>
          <w:rFonts w:hint="eastAsia" w:ascii="Times New Roman" w:hAnsi="Times New Roman" w:eastAsia="宋体" w:cs="Times New Roman"/>
          <w:snapToGrid/>
          <w:color w:val="auto"/>
          <w:kern w:val="2"/>
          <w:sz w:val="24"/>
          <w:szCs w:val="24"/>
          <w:lang w:val="en-US" w:eastAsia="zh-CN" w:bidi="ar-SA"/>
        </w:rPr>
        <w:t>氮氧化物日平均浓度最大占标率为28.0%，1小时平均浓度最大占标率为15.2%，满足</w:t>
      </w:r>
      <w:r>
        <w:rPr>
          <w:rFonts w:hint="default" w:ascii="Times New Roman" w:hAnsi="Times New Roman" w:eastAsia="宋体" w:cs="Times New Roman"/>
          <w:snapToGrid/>
          <w:color w:val="auto"/>
          <w:kern w:val="2"/>
          <w:sz w:val="24"/>
          <w:szCs w:val="24"/>
          <w:lang w:val="zh-CN" w:eastAsia="zh-CN" w:bidi="ar-SA"/>
        </w:rPr>
        <w:t>《环境空气质量标准》（GB3095-20</w:t>
      </w:r>
      <w:r>
        <w:rPr>
          <w:rFonts w:hint="eastAsia" w:ascii="Times New Roman" w:hAnsi="Times New Roman" w:eastAsia="宋体" w:cs="Times New Roman"/>
          <w:snapToGrid/>
          <w:color w:val="auto"/>
          <w:kern w:val="2"/>
          <w:sz w:val="24"/>
          <w:szCs w:val="24"/>
          <w:lang w:val="en-US" w:eastAsia="zh-CN" w:bidi="ar-SA"/>
        </w:rPr>
        <w:t>26</w:t>
      </w:r>
      <w:r>
        <w:rPr>
          <w:rFonts w:hint="default" w:ascii="Times New Roman" w:hAnsi="Times New Roman" w:eastAsia="宋体" w:cs="Times New Roman"/>
          <w:snapToGrid/>
          <w:color w:val="auto"/>
          <w:kern w:val="2"/>
          <w:sz w:val="24"/>
          <w:szCs w:val="24"/>
          <w:lang w:val="zh-CN" w:eastAsia="zh-CN" w:bidi="ar-SA"/>
        </w:rPr>
        <w:t>）</w:t>
      </w:r>
      <w:r>
        <w:rPr>
          <w:rFonts w:hint="eastAsia" w:ascii="Times New Roman" w:hAnsi="Times New Roman" w:eastAsia="宋体" w:cs="Times New Roman"/>
          <w:snapToGrid/>
          <w:color w:val="auto"/>
          <w:kern w:val="2"/>
          <w:sz w:val="24"/>
          <w:szCs w:val="24"/>
          <w:lang w:val="en-US" w:eastAsia="zh-CN" w:bidi="ar-SA"/>
        </w:rPr>
        <w:t>中过渡期</w:t>
      </w:r>
      <w:r>
        <w:rPr>
          <w:rFonts w:hint="default" w:ascii="Times New Roman" w:hAnsi="Times New Roman" w:eastAsia="宋体" w:cs="Times New Roman"/>
          <w:snapToGrid/>
          <w:color w:val="auto"/>
          <w:kern w:val="2"/>
          <w:sz w:val="24"/>
          <w:szCs w:val="24"/>
          <w:lang w:val="zh-CN" w:eastAsia="zh-CN" w:bidi="ar-SA"/>
        </w:rPr>
        <w:t>二级标准</w:t>
      </w:r>
      <w:r>
        <w:rPr>
          <w:rFonts w:hint="eastAsia" w:ascii="Times New Roman" w:hAnsi="Times New Roman" w:eastAsia="宋体" w:cs="Times New Roman"/>
          <w:snapToGrid/>
          <w:color w:val="auto"/>
          <w:kern w:val="2"/>
          <w:sz w:val="24"/>
          <w:szCs w:val="24"/>
          <w:lang w:val="zh-CN" w:eastAsia="zh-CN" w:bidi="ar-SA"/>
        </w:rPr>
        <w:t>要求</w:t>
      </w:r>
      <w:r>
        <w:rPr>
          <w:rFonts w:hint="default" w:ascii="Times New Roman" w:hAnsi="Times New Roman" w:eastAsia="宋体" w:cs="Times New Roman"/>
          <w:snapToGrid/>
          <w:color w:val="auto"/>
          <w:kern w:val="2"/>
          <w:sz w:val="24"/>
          <w:szCs w:val="24"/>
          <w:lang w:val="zh-CN" w:eastAsia="zh-CN" w:bidi="ar-SA"/>
        </w:rPr>
        <w:t>。</w:t>
      </w:r>
      <w:r>
        <w:rPr>
          <w:rFonts w:hint="eastAsia" w:ascii="Times New Roman" w:hAnsi="Times New Roman" w:eastAsia="宋体" w:cs="Times New Roman"/>
          <w:snapToGrid/>
          <w:color w:val="auto"/>
          <w:kern w:val="2"/>
          <w:sz w:val="24"/>
          <w:szCs w:val="24"/>
          <w:lang w:val="en-US" w:eastAsia="zh-CN" w:bidi="ar-SA"/>
        </w:rPr>
        <w:t>氨1小时平均浓度</w:t>
      </w:r>
      <w:r>
        <w:rPr>
          <w:rFonts w:hint="default" w:ascii="Times New Roman" w:hAnsi="Times New Roman" w:eastAsia="宋体" w:cs="Times New Roman"/>
          <w:snapToGrid/>
          <w:color w:val="auto"/>
          <w:kern w:val="2"/>
          <w:sz w:val="24"/>
          <w:szCs w:val="24"/>
          <w:lang w:val="zh-CN" w:eastAsia="zh-CN" w:bidi="ar-SA"/>
        </w:rPr>
        <w:t>最大占标率为</w:t>
      </w:r>
      <w:r>
        <w:rPr>
          <w:rFonts w:hint="eastAsia" w:ascii="Times New Roman" w:hAnsi="Times New Roman" w:eastAsia="宋体" w:cs="Times New Roman"/>
          <w:snapToGrid/>
          <w:color w:val="auto"/>
          <w:kern w:val="2"/>
          <w:sz w:val="24"/>
          <w:szCs w:val="24"/>
          <w:lang w:val="en-US" w:eastAsia="zh-CN" w:bidi="ar-SA"/>
        </w:rPr>
        <w:t>45.0</w:t>
      </w:r>
      <w:r>
        <w:rPr>
          <w:rFonts w:hint="default" w:ascii="Times New Roman" w:hAnsi="Times New Roman" w:eastAsia="宋体" w:cs="Times New Roman"/>
          <w:snapToGrid/>
          <w:color w:val="auto"/>
          <w:kern w:val="2"/>
          <w:sz w:val="24"/>
          <w:szCs w:val="24"/>
          <w:lang w:val="zh-CN" w:eastAsia="zh-CN" w:bidi="ar-SA"/>
        </w:rPr>
        <w:t>%</w:t>
      </w:r>
      <w:r>
        <w:rPr>
          <w:rFonts w:hint="eastAsia" w:ascii="Times New Roman" w:hAnsi="Times New Roman" w:eastAsia="宋体" w:cs="Times New Roman"/>
          <w:snapToGrid/>
          <w:color w:val="auto"/>
          <w:kern w:val="2"/>
          <w:sz w:val="24"/>
          <w:szCs w:val="24"/>
          <w:lang w:val="zh-CN" w:eastAsia="zh-CN" w:bidi="ar-SA"/>
        </w:rPr>
        <w:t>，</w:t>
      </w:r>
      <w:r>
        <w:rPr>
          <w:rFonts w:hint="eastAsia" w:ascii="Times New Roman" w:hAnsi="Times New Roman" w:eastAsia="宋体" w:cs="Times New Roman"/>
          <w:snapToGrid/>
          <w:color w:val="auto"/>
          <w:kern w:val="2"/>
          <w:sz w:val="24"/>
          <w:szCs w:val="24"/>
          <w:lang w:val="en-US" w:eastAsia="zh-CN" w:bidi="ar-SA"/>
        </w:rPr>
        <w:t>满足</w:t>
      </w:r>
      <w:r>
        <w:rPr>
          <w:rFonts w:hint="default" w:ascii="Times New Roman" w:hAnsi="Times New Roman" w:eastAsia="宋体" w:cs="Times New Roman"/>
          <w:snapToGrid/>
          <w:color w:val="auto"/>
          <w:kern w:val="2"/>
          <w:sz w:val="24"/>
          <w:szCs w:val="24"/>
          <w:lang w:val="en-US" w:eastAsia="zh-CN" w:bidi="ar-SA"/>
        </w:rPr>
        <w:t>《环境影响评价技术导则  大气环境》（HJ2.2-2018）中附录D</w:t>
      </w:r>
      <w:r>
        <w:rPr>
          <w:rFonts w:hint="eastAsia" w:ascii="Times New Roman" w:hAnsi="Times New Roman"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en-US" w:eastAsia="zh-CN" w:bidi="ar-SA"/>
        </w:rPr>
        <w:t>其他污染物空气质量浓度参考限值</w:t>
      </w:r>
      <w:r>
        <w:rPr>
          <w:rFonts w:hint="eastAsia" w:ascii="Times New Roman" w:hAnsi="Times New Roman"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zh-CN" w:eastAsia="zh-CN" w:bidi="ar-SA"/>
        </w:rPr>
        <w:t>。</w:t>
      </w:r>
      <w:r>
        <w:rPr>
          <w:rFonts w:hint="eastAsia" w:ascii="Times New Roman" w:hAnsi="Times New Roman" w:cs="Times New Roman"/>
          <w:snapToGrid/>
          <w:color w:val="auto"/>
          <w:kern w:val="2"/>
          <w:sz w:val="24"/>
          <w:szCs w:val="24"/>
          <w:lang w:val="en-US" w:eastAsia="zh-CN" w:bidi="ar-SA"/>
        </w:rPr>
        <w:t>汞未检出，检出</w:t>
      </w:r>
      <w:r>
        <w:rPr>
          <w:rFonts w:hint="eastAsia" w:ascii="Times New Roman" w:hAnsi="Times New Roman" w:eastAsia="宋体" w:cs="Times New Roman"/>
          <w:snapToGrid/>
          <w:color w:val="auto"/>
          <w:kern w:val="2"/>
          <w:sz w:val="24"/>
          <w:szCs w:val="24"/>
          <w:lang w:val="en-US" w:eastAsia="zh-CN" w:bidi="ar-SA"/>
        </w:rPr>
        <w:t>限</w:t>
      </w:r>
      <w:r>
        <w:rPr>
          <w:rFonts w:hint="default" w:ascii="Times New Roman" w:hAnsi="Times New Roman" w:eastAsia="宋体" w:cs="Times New Roman"/>
          <w:snapToGrid/>
          <w:color w:val="auto"/>
          <w:kern w:val="2"/>
          <w:sz w:val="24"/>
          <w:szCs w:val="24"/>
          <w:lang w:val="en-US" w:eastAsia="zh-CN" w:bidi="ar-SA"/>
        </w:rPr>
        <w:t>为6.6×10</w:t>
      </w:r>
      <w:r>
        <w:rPr>
          <w:rFonts w:hint="default" w:ascii="Times New Roman" w:hAnsi="Times New Roman" w:eastAsia="宋体" w:cs="Times New Roman"/>
          <w:snapToGrid/>
          <w:color w:val="auto"/>
          <w:kern w:val="2"/>
          <w:sz w:val="24"/>
          <w:szCs w:val="24"/>
          <w:vertAlign w:val="superscript"/>
          <w:lang w:val="en-US" w:eastAsia="zh-CN" w:bidi="ar-SA"/>
        </w:rPr>
        <w:t>-6</w:t>
      </w:r>
      <w:r>
        <w:rPr>
          <w:rFonts w:hint="default" w:ascii="Times New Roman" w:hAnsi="Times New Roman" w:eastAsia="宋体" w:cs="Times New Roman"/>
          <w:snapToGrid/>
          <w:color w:val="auto"/>
          <w:kern w:val="2"/>
          <w:sz w:val="24"/>
          <w:szCs w:val="24"/>
          <w:lang w:val="en-US" w:eastAsia="zh-CN" w:bidi="ar-SA"/>
        </w:rPr>
        <w:t>mg/m</w:t>
      </w:r>
      <w:r>
        <w:rPr>
          <w:rFonts w:hint="default" w:ascii="Times New Roman" w:hAnsi="Times New Roman" w:eastAsia="宋体" w:cs="Times New Roman"/>
          <w:snapToGrid/>
          <w:color w:val="auto"/>
          <w:kern w:val="2"/>
          <w:sz w:val="24"/>
          <w:szCs w:val="24"/>
          <w:vertAlign w:val="superscript"/>
          <w:lang w:val="en-US" w:eastAsia="zh-CN" w:bidi="ar-SA"/>
        </w:rPr>
        <w:t>3</w:t>
      </w:r>
      <w:r>
        <w:rPr>
          <w:rFonts w:hint="eastAsia" w:ascii="Times New Roman" w:hAnsi="Times New Roman" w:eastAsia="宋体" w:cs="Times New Roman"/>
          <w:snapToGrid/>
          <w:color w:val="auto"/>
          <w:kern w:val="2"/>
          <w:sz w:val="24"/>
          <w:szCs w:val="24"/>
          <w:lang w:val="en-US" w:eastAsia="zh-CN" w:bidi="ar-SA"/>
        </w:rPr>
        <w:t>，低于标准限值折算值，达到</w:t>
      </w:r>
      <w:r>
        <w:rPr>
          <w:rFonts w:hint="default" w:ascii="Times New Roman" w:hAnsi="Times New Roman" w:eastAsia="宋体" w:cs="Times New Roman"/>
          <w:snapToGrid/>
          <w:color w:val="auto"/>
          <w:kern w:val="2"/>
          <w:sz w:val="24"/>
          <w:szCs w:val="24"/>
          <w:lang w:val="zh-CN" w:eastAsia="zh-CN" w:bidi="ar-SA"/>
        </w:rPr>
        <w:t>《环境空气质量标准》（GB3095-20</w:t>
      </w:r>
      <w:r>
        <w:rPr>
          <w:rFonts w:hint="eastAsia" w:ascii="Times New Roman" w:hAnsi="Times New Roman" w:eastAsia="宋体" w:cs="Times New Roman"/>
          <w:snapToGrid/>
          <w:color w:val="auto"/>
          <w:kern w:val="2"/>
          <w:sz w:val="24"/>
          <w:szCs w:val="24"/>
          <w:lang w:val="en-US" w:eastAsia="zh-CN" w:bidi="ar-SA"/>
        </w:rPr>
        <w:t>26</w:t>
      </w:r>
      <w:r>
        <w:rPr>
          <w:rFonts w:hint="default" w:ascii="Times New Roman" w:hAnsi="Times New Roman" w:eastAsia="宋体" w:cs="Times New Roman"/>
          <w:snapToGrid/>
          <w:color w:val="auto"/>
          <w:kern w:val="2"/>
          <w:sz w:val="24"/>
          <w:szCs w:val="24"/>
          <w:lang w:val="zh-CN" w:eastAsia="zh-CN" w:bidi="ar-SA"/>
        </w:rPr>
        <w:t>）</w:t>
      </w:r>
      <w:r>
        <w:rPr>
          <w:rFonts w:hint="eastAsia" w:ascii="Times New Roman" w:hAnsi="Times New Roman" w:eastAsia="宋体" w:cs="Times New Roman"/>
          <w:snapToGrid/>
          <w:color w:val="auto"/>
          <w:kern w:val="2"/>
          <w:sz w:val="24"/>
          <w:szCs w:val="24"/>
          <w:lang w:val="en-US" w:eastAsia="zh-CN" w:bidi="ar-SA"/>
        </w:rPr>
        <w:t>中过渡期</w:t>
      </w:r>
      <w:r>
        <w:rPr>
          <w:rFonts w:hint="default" w:ascii="Times New Roman" w:hAnsi="Times New Roman" w:eastAsia="宋体" w:cs="Times New Roman"/>
          <w:snapToGrid/>
          <w:color w:val="auto"/>
          <w:kern w:val="2"/>
          <w:sz w:val="24"/>
          <w:szCs w:val="24"/>
          <w:lang w:val="zh-CN" w:eastAsia="zh-CN" w:bidi="ar-SA"/>
        </w:rPr>
        <w:t>二级标准</w:t>
      </w:r>
      <w:r>
        <w:rPr>
          <w:rFonts w:hint="eastAsia" w:ascii="Times New Roman" w:hAnsi="Times New Roman" w:eastAsia="宋体" w:cs="Times New Roman"/>
          <w:snapToGrid/>
          <w:color w:val="auto"/>
          <w:kern w:val="2"/>
          <w:sz w:val="24"/>
          <w:szCs w:val="24"/>
          <w:lang w:val="zh-CN" w:eastAsia="zh-CN" w:bidi="ar-SA"/>
        </w:rPr>
        <w:t>要求</w:t>
      </w:r>
      <w:r>
        <w:rPr>
          <w:rFonts w:hint="eastAsia" w:ascii="Times New Roman" w:hAnsi="Times New Roman" w:eastAsia="宋体" w:cs="Times New Roman"/>
          <w:snapToGrid/>
          <w:color w:val="auto"/>
          <w:kern w:val="2"/>
          <w:sz w:val="24"/>
          <w:szCs w:val="24"/>
          <w:lang w:val="en-US" w:eastAsia="zh-CN" w:bidi="ar-SA"/>
        </w:rPr>
        <w:t>。</w:t>
      </w:r>
    </w:p>
    <w:p w14:paraId="3C921C10">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5.2.1.3 </w:t>
      </w:r>
      <w:r>
        <w:rPr>
          <w:rFonts w:hint="default" w:ascii="Times New Roman" w:hAnsi="Times New Roman" w:eastAsia="宋体" w:cs="Times New Roman"/>
          <w:b/>
          <w:bCs w:val="0"/>
          <w:color w:val="auto"/>
          <w:sz w:val="24"/>
          <w:szCs w:val="24"/>
          <w:lang w:val="en-US" w:eastAsia="zh-CN"/>
        </w:rPr>
        <w:t>现状评价结论</w:t>
      </w:r>
      <w:bookmarkEnd w:id="369"/>
    </w:p>
    <w:p w14:paraId="6096DFB8">
      <w:pPr>
        <w:keepNext w:val="0"/>
        <w:keepLines w:val="0"/>
        <w:pageBreakBefore w:val="0"/>
        <w:widowControl/>
        <w:kinsoku/>
        <w:wordWrap/>
        <w:overflowPunct/>
        <w:topLinePunct/>
        <w:autoSpaceDE w:val="0"/>
        <w:autoSpaceDN w:val="0"/>
        <w:bidi w:val="0"/>
        <w:adjustRightInd w:val="0"/>
        <w:snapToGrid w:val="0"/>
        <w:spacing w:line="500" w:lineRule="exact"/>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SA"/>
        </w:rPr>
      </w:pPr>
      <w:r>
        <w:rPr>
          <w:rFonts w:hint="eastAsia" w:ascii="Times New Roman" w:hAnsi="Times New Roman" w:eastAsia="宋体" w:cs="Times New Roman"/>
          <w:snapToGrid/>
          <w:color w:val="auto"/>
          <w:kern w:val="2"/>
          <w:sz w:val="24"/>
          <w:szCs w:val="24"/>
          <w:lang w:val="en-US" w:eastAsia="zh-CN" w:bidi="ar-SA"/>
        </w:rPr>
        <w:t>综上所述</w:t>
      </w:r>
      <w:r>
        <w:rPr>
          <w:rFonts w:hint="default" w:ascii="Times New Roman" w:hAnsi="Times New Roman" w:eastAsia="宋体" w:cs="Times New Roman"/>
          <w:snapToGrid/>
          <w:color w:val="auto"/>
          <w:kern w:val="2"/>
          <w:sz w:val="24"/>
          <w:szCs w:val="24"/>
          <w:lang w:val="en-US" w:eastAsia="zh-CN" w:bidi="ar-SA"/>
        </w:rPr>
        <w:t>，本项目所在地为环境控制质量达标区。SO</w:t>
      </w:r>
      <w:r>
        <w:rPr>
          <w:rFonts w:hint="default" w:ascii="Times New Roman" w:hAnsi="Times New Roman" w:eastAsia="宋体" w:cs="Times New Roman"/>
          <w:snapToGrid/>
          <w:color w:val="auto"/>
          <w:kern w:val="2"/>
          <w:sz w:val="24"/>
          <w:szCs w:val="24"/>
          <w:vertAlign w:val="subscript"/>
          <w:lang w:val="en-US" w:eastAsia="zh-CN" w:bidi="ar-SA"/>
        </w:rPr>
        <w:t>2</w:t>
      </w:r>
      <w:r>
        <w:rPr>
          <w:rFonts w:hint="default" w:ascii="Times New Roman" w:hAnsi="Times New Roman" w:eastAsia="宋体" w:cs="Times New Roman"/>
          <w:snapToGrid/>
          <w:color w:val="auto"/>
          <w:kern w:val="2"/>
          <w:sz w:val="24"/>
          <w:szCs w:val="24"/>
          <w:lang w:val="en-US" w:eastAsia="zh-CN" w:bidi="ar-SA"/>
        </w:rPr>
        <w:t>、NO</w:t>
      </w:r>
      <w:r>
        <w:rPr>
          <w:rFonts w:hint="default" w:ascii="Times New Roman" w:hAnsi="Times New Roman" w:eastAsia="宋体" w:cs="Times New Roman"/>
          <w:snapToGrid/>
          <w:color w:val="auto"/>
          <w:kern w:val="2"/>
          <w:sz w:val="24"/>
          <w:szCs w:val="24"/>
          <w:vertAlign w:val="subscript"/>
          <w:lang w:val="en-US" w:eastAsia="zh-CN" w:bidi="ar-SA"/>
        </w:rPr>
        <w:t>2</w:t>
      </w:r>
      <w:r>
        <w:rPr>
          <w:rFonts w:hint="default" w:ascii="Times New Roman" w:hAnsi="Times New Roman" w:eastAsia="宋体" w:cs="Times New Roman"/>
          <w:snapToGrid/>
          <w:color w:val="auto"/>
          <w:kern w:val="2"/>
          <w:sz w:val="24"/>
          <w:szCs w:val="24"/>
          <w:lang w:val="en-US" w:eastAsia="zh-CN" w:bidi="ar-SA"/>
        </w:rPr>
        <w:t>、PM</w:t>
      </w:r>
      <w:r>
        <w:rPr>
          <w:rFonts w:hint="default" w:ascii="Times New Roman" w:hAnsi="Times New Roman" w:eastAsia="宋体" w:cs="Times New Roman"/>
          <w:snapToGrid/>
          <w:color w:val="auto"/>
          <w:kern w:val="2"/>
          <w:sz w:val="24"/>
          <w:szCs w:val="24"/>
          <w:vertAlign w:val="subscript"/>
          <w:lang w:val="en-US" w:eastAsia="zh-CN" w:bidi="ar-SA"/>
        </w:rPr>
        <w:t>2.5</w:t>
      </w:r>
      <w:r>
        <w:rPr>
          <w:rFonts w:hint="default" w:ascii="Times New Roman" w:hAnsi="Times New Roman" w:eastAsia="宋体" w:cs="Times New Roman"/>
          <w:snapToGrid/>
          <w:color w:val="auto"/>
          <w:kern w:val="2"/>
          <w:sz w:val="24"/>
          <w:szCs w:val="24"/>
          <w:lang w:val="en-US" w:eastAsia="zh-CN" w:bidi="ar-SA"/>
        </w:rPr>
        <w:t>、PM</w:t>
      </w:r>
      <w:r>
        <w:rPr>
          <w:rFonts w:hint="default" w:ascii="Times New Roman" w:hAnsi="Times New Roman" w:eastAsia="宋体" w:cs="Times New Roman"/>
          <w:snapToGrid/>
          <w:color w:val="auto"/>
          <w:kern w:val="2"/>
          <w:sz w:val="24"/>
          <w:szCs w:val="24"/>
          <w:vertAlign w:val="subscript"/>
          <w:lang w:val="en-US" w:eastAsia="zh-CN" w:bidi="ar-SA"/>
        </w:rPr>
        <w:t>10</w:t>
      </w:r>
      <w:r>
        <w:rPr>
          <w:rFonts w:hint="default" w:ascii="Times New Roman" w:hAnsi="Times New Roman" w:eastAsia="宋体" w:cs="Times New Roman"/>
          <w:snapToGrid/>
          <w:color w:val="auto"/>
          <w:kern w:val="2"/>
          <w:sz w:val="24"/>
          <w:szCs w:val="24"/>
          <w:lang w:val="en-US" w:eastAsia="zh-CN" w:bidi="ar-SA"/>
        </w:rPr>
        <w:t>、CO、O</w:t>
      </w:r>
      <w:r>
        <w:rPr>
          <w:rFonts w:hint="default" w:ascii="Times New Roman" w:hAnsi="Times New Roman" w:eastAsia="宋体" w:cs="Times New Roman"/>
          <w:snapToGrid/>
          <w:color w:val="auto"/>
          <w:kern w:val="2"/>
          <w:sz w:val="24"/>
          <w:szCs w:val="24"/>
          <w:vertAlign w:val="subscript"/>
          <w:lang w:val="en-US" w:eastAsia="zh-CN" w:bidi="ar-SA"/>
        </w:rPr>
        <w:t>3</w:t>
      </w:r>
      <w:r>
        <w:rPr>
          <w:rFonts w:hint="default" w:ascii="Times New Roman" w:hAnsi="Times New Roman" w:eastAsia="宋体" w:cs="Times New Roman"/>
          <w:snapToGrid/>
          <w:color w:val="auto"/>
          <w:kern w:val="2"/>
          <w:sz w:val="24"/>
          <w:szCs w:val="24"/>
          <w:lang w:val="en-US" w:eastAsia="zh-CN" w:bidi="ar-SA"/>
        </w:rPr>
        <w:t>六项指标中，年均浓度和相应百分位数24</w:t>
      </w:r>
      <w:r>
        <w:rPr>
          <w:rFonts w:hint="eastAsia" w:ascii="Times New Roman" w:hAnsi="Times New Roman" w:eastAsia="宋体" w:cs="Times New Roman"/>
          <w:snapToGrid/>
          <w:color w:val="auto"/>
          <w:kern w:val="2"/>
          <w:sz w:val="24"/>
          <w:szCs w:val="24"/>
          <w:lang w:val="en-US" w:eastAsia="zh-CN" w:bidi="ar-SA"/>
        </w:rPr>
        <w:t>h</w:t>
      </w:r>
      <w:r>
        <w:rPr>
          <w:rFonts w:hint="default" w:ascii="Times New Roman" w:hAnsi="Times New Roman" w:eastAsia="宋体" w:cs="Times New Roman"/>
          <w:snapToGrid/>
          <w:color w:val="auto"/>
          <w:kern w:val="2"/>
          <w:sz w:val="24"/>
          <w:szCs w:val="24"/>
          <w:lang w:val="en-US" w:eastAsia="zh-CN" w:bidi="ar-SA"/>
        </w:rPr>
        <w:t>平均（O</w:t>
      </w:r>
      <w:r>
        <w:rPr>
          <w:rFonts w:hint="default" w:ascii="Times New Roman" w:hAnsi="Times New Roman" w:eastAsia="宋体" w:cs="Times New Roman"/>
          <w:snapToGrid/>
          <w:color w:val="auto"/>
          <w:kern w:val="2"/>
          <w:sz w:val="24"/>
          <w:szCs w:val="24"/>
          <w:vertAlign w:val="subscript"/>
          <w:lang w:val="en-US" w:eastAsia="zh-CN" w:bidi="ar-SA"/>
        </w:rPr>
        <w:t>3</w:t>
      </w:r>
      <w:r>
        <w:rPr>
          <w:rFonts w:hint="default" w:ascii="Times New Roman" w:hAnsi="Times New Roman" w:eastAsia="宋体" w:cs="Times New Roman"/>
          <w:snapToGrid/>
          <w:color w:val="auto"/>
          <w:kern w:val="2"/>
          <w:sz w:val="24"/>
          <w:szCs w:val="24"/>
          <w:lang w:val="en-US" w:eastAsia="zh-CN" w:bidi="ar-SA"/>
        </w:rPr>
        <w:t>8小时平均）质量浓度均满足《环境空气质量标准》（GB3095-20</w:t>
      </w:r>
      <w:r>
        <w:rPr>
          <w:rFonts w:hint="eastAsia" w:ascii="Times New Roman" w:hAnsi="Times New Roman" w:eastAsia="宋体" w:cs="Times New Roman"/>
          <w:snapToGrid/>
          <w:color w:val="auto"/>
          <w:kern w:val="2"/>
          <w:sz w:val="24"/>
          <w:szCs w:val="24"/>
          <w:lang w:val="en-US" w:eastAsia="zh-CN" w:bidi="ar-SA"/>
        </w:rPr>
        <w:t>26</w:t>
      </w:r>
      <w:r>
        <w:rPr>
          <w:rFonts w:hint="default" w:ascii="Times New Roman" w:hAnsi="Times New Roman" w:eastAsia="宋体" w:cs="Times New Roman"/>
          <w:snapToGrid/>
          <w:color w:val="auto"/>
          <w:kern w:val="2"/>
          <w:sz w:val="24"/>
          <w:szCs w:val="24"/>
          <w:lang w:val="en-US" w:eastAsia="zh-CN" w:bidi="ar-SA"/>
        </w:rPr>
        <w:t>）中</w:t>
      </w:r>
      <w:r>
        <w:rPr>
          <w:rFonts w:hint="eastAsia" w:ascii="Times New Roman" w:hAnsi="Times New Roman" w:eastAsia="宋体" w:cs="Times New Roman"/>
          <w:snapToGrid/>
          <w:color w:val="auto"/>
          <w:kern w:val="2"/>
          <w:sz w:val="24"/>
          <w:szCs w:val="24"/>
          <w:lang w:val="en-US" w:eastAsia="zh-CN" w:bidi="ar-SA"/>
        </w:rPr>
        <w:t>过渡期</w:t>
      </w:r>
      <w:r>
        <w:rPr>
          <w:rFonts w:hint="default" w:ascii="Times New Roman" w:hAnsi="Times New Roman" w:eastAsia="宋体" w:cs="Times New Roman"/>
          <w:snapToGrid/>
          <w:color w:val="auto"/>
          <w:kern w:val="2"/>
          <w:sz w:val="24"/>
          <w:szCs w:val="24"/>
          <w:lang w:val="en-US" w:eastAsia="zh-CN" w:bidi="ar-SA"/>
        </w:rPr>
        <w:t>二级标准要求。补充监测结果表明，本项目评价区域TSP</w:t>
      </w:r>
      <w:r>
        <w:rPr>
          <w:rFonts w:hint="eastAsia" w:ascii="Times New Roman" w:hAnsi="Times New Roman" w:eastAsia="宋体" w:cs="Times New Roman"/>
          <w:snapToGrid/>
          <w:color w:val="auto"/>
          <w:kern w:val="2"/>
          <w:sz w:val="24"/>
          <w:szCs w:val="24"/>
          <w:lang w:val="en-US" w:eastAsia="zh-CN" w:bidi="ar-SA"/>
        </w:rPr>
        <w:t>、氮氧化物和汞</w:t>
      </w:r>
      <w:r>
        <w:rPr>
          <w:rFonts w:hint="default" w:ascii="Times New Roman" w:hAnsi="Times New Roman" w:eastAsia="宋体" w:cs="Times New Roman"/>
          <w:snapToGrid/>
          <w:color w:val="auto"/>
          <w:kern w:val="2"/>
          <w:sz w:val="24"/>
          <w:szCs w:val="24"/>
          <w:lang w:val="en-US" w:eastAsia="zh-CN" w:bidi="ar-SA"/>
        </w:rPr>
        <w:t>浓度满足《环境空气质量标准》（GB3095-20</w:t>
      </w:r>
      <w:r>
        <w:rPr>
          <w:rFonts w:hint="eastAsia" w:ascii="Times New Roman" w:hAnsi="Times New Roman" w:eastAsia="宋体" w:cs="Times New Roman"/>
          <w:snapToGrid/>
          <w:color w:val="auto"/>
          <w:kern w:val="2"/>
          <w:sz w:val="24"/>
          <w:szCs w:val="24"/>
          <w:lang w:val="en-US" w:eastAsia="zh-CN" w:bidi="ar-SA"/>
        </w:rPr>
        <w:t>26</w:t>
      </w:r>
      <w:r>
        <w:rPr>
          <w:rFonts w:hint="default" w:ascii="Times New Roman" w:hAnsi="Times New Roman" w:eastAsia="宋体" w:cs="Times New Roman"/>
          <w:snapToGrid/>
          <w:color w:val="auto"/>
          <w:kern w:val="2"/>
          <w:sz w:val="24"/>
          <w:szCs w:val="24"/>
          <w:lang w:val="en-US" w:eastAsia="zh-CN" w:bidi="ar-SA"/>
        </w:rPr>
        <w:t>）</w:t>
      </w:r>
      <w:r>
        <w:rPr>
          <w:rFonts w:hint="eastAsia" w:ascii="Times New Roman" w:hAnsi="Times New Roman" w:eastAsia="宋体" w:cs="Times New Roman"/>
          <w:snapToGrid/>
          <w:color w:val="auto"/>
          <w:kern w:val="2"/>
          <w:sz w:val="24"/>
          <w:szCs w:val="24"/>
          <w:lang w:val="en-US" w:eastAsia="zh-CN" w:bidi="ar-SA"/>
        </w:rPr>
        <w:t>中过渡期</w:t>
      </w:r>
      <w:r>
        <w:rPr>
          <w:rFonts w:hint="default" w:ascii="Times New Roman" w:hAnsi="Times New Roman" w:eastAsia="宋体" w:cs="Times New Roman"/>
          <w:snapToGrid/>
          <w:color w:val="auto"/>
          <w:kern w:val="2"/>
          <w:sz w:val="24"/>
          <w:szCs w:val="24"/>
          <w:lang w:val="en-US" w:eastAsia="zh-CN" w:bidi="ar-SA"/>
        </w:rPr>
        <w:t>二级标准</w:t>
      </w:r>
      <w:r>
        <w:rPr>
          <w:rFonts w:hint="eastAsia" w:ascii="Times New Roman" w:hAnsi="Times New Roman" w:eastAsia="宋体" w:cs="Times New Roman"/>
          <w:snapToGrid/>
          <w:color w:val="auto"/>
          <w:kern w:val="2"/>
          <w:sz w:val="24"/>
          <w:szCs w:val="24"/>
          <w:lang w:val="zh-CN" w:eastAsia="zh-CN" w:bidi="ar-SA"/>
        </w:rPr>
        <w:t>要求，</w:t>
      </w:r>
      <w:r>
        <w:rPr>
          <w:rFonts w:hint="eastAsia" w:ascii="Times New Roman" w:hAnsi="Times New Roman" w:eastAsia="宋体" w:cs="Times New Roman"/>
          <w:snapToGrid/>
          <w:color w:val="auto"/>
          <w:kern w:val="2"/>
          <w:sz w:val="24"/>
          <w:szCs w:val="24"/>
          <w:lang w:val="en-US" w:eastAsia="zh-CN" w:bidi="ar-SA"/>
        </w:rPr>
        <w:t>氨满足</w:t>
      </w:r>
      <w:r>
        <w:rPr>
          <w:rFonts w:hint="default" w:ascii="Times New Roman" w:hAnsi="Times New Roman" w:eastAsia="宋体" w:cs="Times New Roman"/>
          <w:snapToGrid/>
          <w:color w:val="auto"/>
          <w:kern w:val="2"/>
          <w:sz w:val="24"/>
          <w:szCs w:val="24"/>
          <w:lang w:val="en-US" w:eastAsia="zh-CN" w:bidi="ar-SA"/>
        </w:rPr>
        <w:t>《环境影响评价技术导则  大气环境》（HJ2.2-2018）中附录D</w:t>
      </w:r>
      <w:r>
        <w:rPr>
          <w:rFonts w:hint="eastAsia" w:ascii="Times New Roman" w:hAnsi="Times New Roman"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en-US" w:eastAsia="zh-CN" w:bidi="ar-SA"/>
        </w:rPr>
        <w:t>其他污染物空气质量浓度参考限值</w:t>
      </w:r>
      <w:r>
        <w:rPr>
          <w:rFonts w:hint="eastAsia" w:ascii="Times New Roman" w:hAnsi="Times New Roman"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zh-CN" w:eastAsia="zh-CN" w:bidi="ar-SA"/>
        </w:rPr>
        <w:t>。</w:t>
      </w:r>
    </w:p>
    <w:p w14:paraId="4780D8D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70" w:name="_Toc16256"/>
      <w:bookmarkStart w:id="371" w:name="_Toc31674"/>
      <w:bookmarkStart w:id="372" w:name="_Toc19096"/>
      <w:r>
        <w:rPr>
          <w:rFonts w:hint="eastAsia" w:ascii="Times New Roman" w:hAnsi="Times New Roman" w:cs="Times New Roman"/>
          <w:b/>
          <w:bCs/>
          <w:color w:val="auto"/>
          <w:sz w:val="28"/>
          <w:szCs w:val="28"/>
          <w:lang w:val="en-US" w:eastAsia="zh-CN"/>
        </w:rPr>
        <w:t>5.2.2 地表水环境质量现状调查与评价</w:t>
      </w:r>
      <w:bookmarkEnd w:id="370"/>
      <w:bookmarkEnd w:id="371"/>
      <w:bookmarkEnd w:id="372"/>
    </w:p>
    <w:p w14:paraId="62406E6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项目涉及地表水体为蛤蟆通河，蛤蟆通河发源于完达山山脉蛤蟆顶子北麓，由南向北流经黑龙江省宝清县境内，在东升乡北部注入挠力河，属于乌苏里江水系二级支流。根据《全国重要江河湖泊水功能区划（2011~2030年）》，蛤蟆通河无规划水功能区及水质目标。蛤蟆通河为挠力河支流，根据《全国重要江河湖泊水功能区划（2011-2030年）》，挠力河规划水体功能类别为III类，因此蛤蟆通河水体类别参照挠力河水体功能，执行III类标准。</w:t>
      </w:r>
    </w:p>
    <w:p w14:paraId="2E4DD66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根据《2025年黑龙江省生态环境质量状况》。双鸭山市参与国家考核计算的断面共6个，Ⅰ~Ⅲ类水质比例为66.7%，无劣V类水质断面。与上年同期相比，Ⅰ~Ⅲ类水质比例保持不变，均无劣V类水质断面。</w:t>
      </w:r>
    </w:p>
    <w:p w14:paraId="53EAE35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年，乌苏里江水系的干流及5条支流共16个断面，水质状况为良好，其中Ⅲ类水质占87.5%，Ⅳ类水质占12.5%，无劣Ⅴ类水质断面，Ⅰ~Ⅲ类水质比例为87.5%。与上年同期相比，Ⅰ~Ⅲ类水质比例上升6.3个百分点，均无劣Ⅴ类水质断面。</w:t>
      </w:r>
    </w:p>
    <w:p w14:paraId="6D26A6C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73" w:name="_Toc11402"/>
      <w:bookmarkStart w:id="374" w:name="_Toc7653"/>
      <w:bookmarkStart w:id="375" w:name="_Toc12744"/>
      <w:r>
        <w:rPr>
          <w:rFonts w:hint="eastAsia" w:ascii="Times New Roman" w:hAnsi="Times New Roman" w:cs="Times New Roman"/>
          <w:b/>
          <w:bCs/>
          <w:color w:val="auto"/>
          <w:sz w:val="28"/>
          <w:szCs w:val="28"/>
          <w:lang w:val="en-US" w:eastAsia="zh-CN"/>
        </w:rPr>
        <w:t>5.2.3 声环境质量现状调查与评价</w:t>
      </w:r>
      <w:bookmarkEnd w:id="373"/>
      <w:bookmarkEnd w:id="374"/>
      <w:bookmarkEnd w:id="375"/>
    </w:p>
    <w:p w14:paraId="2E477F1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5.2.3.1 </w:t>
      </w:r>
      <w:r>
        <w:rPr>
          <w:rFonts w:hint="default" w:ascii="Times New Roman" w:hAnsi="Times New Roman" w:eastAsia="宋体" w:cs="Times New Roman"/>
          <w:b/>
          <w:bCs w:val="0"/>
          <w:color w:val="auto"/>
          <w:sz w:val="24"/>
          <w:szCs w:val="24"/>
          <w:lang w:val="en-US" w:eastAsia="zh-CN"/>
        </w:rPr>
        <w:t>声环境质量现状监测</w:t>
      </w:r>
    </w:p>
    <w:p w14:paraId="12C2B3E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（1）监测点位、因子及监测时间</w:t>
      </w:r>
    </w:p>
    <w:p w14:paraId="2BAA0CF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声环境质量现状监测委托黑龙江汉风环境检测技术有限公司对项目厂界及周边环境保护目标开展了声环境质量现状监测，监测因子为昼间等效A声级（Ld）、夜间等效A声级（Ln）。噪声监测时间为2026年3月19日，连续监测1天，分昼、夜各一次。本项目共设置10个声环境质量现状监测点位，其中包括4个厂界监测点和6个敏感保护目标监测点，监测点位见图5.2-2。</w:t>
      </w:r>
    </w:p>
    <w:p w14:paraId="3FBBCE3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布点的声环境保护目标的包括锅炉改造热源厂西北侧居民区，同时兼顾管线维修涉及到的敏感保护目标，学苑小区、八五二农场中学、林苑家园、盛世嘉园和八五二农场医院等作为代表性监测点。本项目补充监测时间在采暖期内，期间企业正常运行。</w:t>
      </w:r>
    </w:p>
    <w:p w14:paraId="7B315925">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7</w:t>
      </w:r>
      <w:r>
        <w:rPr>
          <w:rFonts w:hint="default" w:ascii="Times New Roman" w:hAnsi="Times New Roman" w:eastAsia="宋体" w:cs="Times New Roman"/>
          <w:b/>
          <w:bCs/>
          <w:color w:val="auto"/>
          <w:sz w:val="24"/>
          <w:szCs w:val="24"/>
          <w:lang w:val="en-US" w:eastAsia="zh-CN"/>
        </w:rPr>
        <w:t xml:space="preserve">  本项目噪声现状监测点位布设情况</w:t>
      </w:r>
    </w:p>
    <w:tbl>
      <w:tblPr>
        <w:tblStyle w:val="4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85"/>
        <w:gridCol w:w="2060"/>
        <w:gridCol w:w="1244"/>
        <w:gridCol w:w="2656"/>
      </w:tblGrid>
      <w:tr w14:paraId="38406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0" w:type="pct"/>
            <w:tcBorders>
              <w:tl2br w:val="nil"/>
              <w:tr2bl w:val="nil"/>
            </w:tcBorders>
            <w:noWrap w:val="0"/>
            <w:vAlign w:val="center"/>
          </w:tcPr>
          <w:p w14:paraId="3678190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采样地点</w:t>
            </w:r>
          </w:p>
        </w:tc>
        <w:tc>
          <w:tcPr>
            <w:tcW w:w="1164" w:type="pct"/>
            <w:tcBorders>
              <w:tl2br w:val="nil"/>
              <w:tr2bl w:val="nil"/>
            </w:tcBorders>
            <w:noWrap w:val="0"/>
            <w:vAlign w:val="center"/>
          </w:tcPr>
          <w:p w14:paraId="0935D35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检测项目</w:t>
            </w:r>
          </w:p>
        </w:tc>
        <w:tc>
          <w:tcPr>
            <w:tcW w:w="703" w:type="pct"/>
            <w:tcBorders>
              <w:tl2br w:val="nil"/>
              <w:tr2bl w:val="nil"/>
            </w:tcBorders>
            <w:noWrap w:val="0"/>
            <w:vAlign w:val="center"/>
          </w:tcPr>
          <w:p w14:paraId="00BE41F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采样天数</w:t>
            </w:r>
          </w:p>
        </w:tc>
        <w:tc>
          <w:tcPr>
            <w:tcW w:w="1501" w:type="pct"/>
            <w:tcBorders>
              <w:tl2br w:val="nil"/>
              <w:tr2bl w:val="nil"/>
            </w:tcBorders>
            <w:noWrap w:val="0"/>
            <w:vAlign w:val="center"/>
          </w:tcPr>
          <w:p w14:paraId="05A0799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 样 频 次</w:t>
            </w:r>
          </w:p>
        </w:tc>
      </w:tr>
      <w:tr w14:paraId="7D41F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78" w:type="dxa"/>
            <w:tcBorders>
              <w:tl2br w:val="nil"/>
              <w:tr2bl w:val="nil"/>
            </w:tcBorders>
            <w:noWrap w:val="0"/>
            <w:vAlign w:val="center"/>
          </w:tcPr>
          <w:p w14:paraId="2E84C1A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1#厂界东</w:t>
            </w:r>
            <w:r>
              <w:rPr>
                <w:rFonts w:hint="default" w:ascii="Times New Roman" w:hAnsi="Times New Roman" w:cs="Times New Roman"/>
                <w:color w:val="auto"/>
                <w:sz w:val="21"/>
                <w:szCs w:val="21"/>
                <w:highlight w:val="none"/>
                <w:lang w:val="en-US" w:eastAsia="zh-CN"/>
              </w:rPr>
              <w:t>侧外1m</w:t>
            </w:r>
          </w:p>
        </w:tc>
        <w:tc>
          <w:tcPr>
            <w:tcW w:w="1164" w:type="pct"/>
            <w:vMerge w:val="restart"/>
            <w:tcBorders>
              <w:tl2br w:val="nil"/>
              <w:tr2bl w:val="nil"/>
            </w:tcBorders>
            <w:noWrap w:val="0"/>
            <w:vAlign w:val="center"/>
          </w:tcPr>
          <w:p w14:paraId="3BE1311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等效连续A声级</w:t>
            </w:r>
          </w:p>
        </w:tc>
        <w:tc>
          <w:tcPr>
            <w:tcW w:w="703" w:type="pct"/>
            <w:vMerge w:val="restart"/>
            <w:tcBorders>
              <w:tl2br w:val="nil"/>
              <w:tr2bl w:val="nil"/>
            </w:tcBorders>
            <w:noWrap w:val="0"/>
            <w:vAlign w:val="center"/>
          </w:tcPr>
          <w:p w14:paraId="22F5F58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天</w:t>
            </w:r>
          </w:p>
        </w:tc>
        <w:tc>
          <w:tcPr>
            <w:tcW w:w="1501" w:type="pct"/>
            <w:vMerge w:val="restart"/>
            <w:tcBorders>
              <w:tl2br w:val="nil"/>
              <w:tr2bl w:val="nil"/>
            </w:tcBorders>
            <w:noWrap w:val="0"/>
            <w:vAlign w:val="center"/>
          </w:tcPr>
          <w:p w14:paraId="324FA70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分别选取昼、夜间的代表性时段。</w:t>
            </w:r>
          </w:p>
        </w:tc>
      </w:tr>
      <w:tr w14:paraId="071CB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78" w:type="dxa"/>
            <w:tcBorders>
              <w:tl2br w:val="nil"/>
              <w:tr2bl w:val="nil"/>
            </w:tcBorders>
            <w:noWrap w:val="0"/>
            <w:vAlign w:val="center"/>
          </w:tcPr>
          <w:p w14:paraId="0E6C19F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2#厂界南</w:t>
            </w:r>
            <w:r>
              <w:rPr>
                <w:rFonts w:hint="default" w:ascii="Times New Roman" w:hAnsi="Times New Roman" w:cs="Times New Roman"/>
                <w:color w:val="auto"/>
                <w:sz w:val="21"/>
                <w:szCs w:val="21"/>
                <w:highlight w:val="none"/>
                <w:lang w:val="en-US" w:eastAsia="zh-CN"/>
              </w:rPr>
              <w:t>侧外1m</w:t>
            </w:r>
          </w:p>
        </w:tc>
        <w:tc>
          <w:tcPr>
            <w:tcW w:w="1164" w:type="pct"/>
            <w:vMerge w:val="continue"/>
            <w:tcBorders>
              <w:tl2br w:val="nil"/>
              <w:tr2bl w:val="nil"/>
            </w:tcBorders>
            <w:noWrap w:val="0"/>
            <w:vAlign w:val="center"/>
          </w:tcPr>
          <w:p w14:paraId="191A799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75ABA97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1D0D89A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5D3A5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78" w:type="dxa"/>
            <w:tcBorders>
              <w:tl2br w:val="nil"/>
              <w:tr2bl w:val="nil"/>
            </w:tcBorders>
            <w:noWrap w:val="0"/>
            <w:vAlign w:val="center"/>
          </w:tcPr>
          <w:p w14:paraId="4EBA064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3#厂界西</w:t>
            </w:r>
            <w:r>
              <w:rPr>
                <w:rFonts w:hint="default" w:ascii="Times New Roman" w:hAnsi="Times New Roman" w:cs="Times New Roman"/>
                <w:color w:val="auto"/>
                <w:sz w:val="21"/>
                <w:szCs w:val="21"/>
                <w:highlight w:val="none"/>
                <w:lang w:val="en-US" w:eastAsia="zh-CN"/>
              </w:rPr>
              <w:t>侧外1m</w:t>
            </w:r>
          </w:p>
        </w:tc>
        <w:tc>
          <w:tcPr>
            <w:tcW w:w="1164" w:type="pct"/>
            <w:vMerge w:val="continue"/>
            <w:tcBorders>
              <w:tl2br w:val="nil"/>
              <w:tr2bl w:val="nil"/>
            </w:tcBorders>
            <w:noWrap w:val="0"/>
            <w:vAlign w:val="center"/>
          </w:tcPr>
          <w:p w14:paraId="086BBDA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51F13A0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1E4E942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58918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78" w:type="dxa"/>
            <w:tcBorders>
              <w:tl2br w:val="nil"/>
              <w:tr2bl w:val="nil"/>
            </w:tcBorders>
            <w:noWrap w:val="0"/>
            <w:vAlign w:val="center"/>
          </w:tcPr>
          <w:p w14:paraId="2756FDE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4#厂界北</w:t>
            </w:r>
            <w:r>
              <w:rPr>
                <w:rFonts w:hint="default" w:ascii="Times New Roman" w:hAnsi="Times New Roman" w:cs="Times New Roman"/>
                <w:color w:val="auto"/>
                <w:sz w:val="21"/>
                <w:szCs w:val="21"/>
                <w:highlight w:val="none"/>
                <w:lang w:val="en-US" w:eastAsia="zh-CN"/>
              </w:rPr>
              <w:t>侧外1m</w:t>
            </w:r>
          </w:p>
        </w:tc>
        <w:tc>
          <w:tcPr>
            <w:tcW w:w="1164" w:type="pct"/>
            <w:vMerge w:val="continue"/>
            <w:tcBorders>
              <w:tl2br w:val="nil"/>
              <w:tr2bl w:val="nil"/>
            </w:tcBorders>
            <w:noWrap w:val="0"/>
            <w:vAlign w:val="center"/>
          </w:tcPr>
          <w:p w14:paraId="71A84E5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247C242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2E170FD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5AF2C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0" w:type="pct"/>
            <w:tcBorders>
              <w:tl2br w:val="nil"/>
              <w:tr2bl w:val="nil"/>
            </w:tcBorders>
            <w:noWrap w:val="0"/>
            <w:vAlign w:val="center"/>
          </w:tcPr>
          <w:p w14:paraId="54A28DD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5#西北侧居民区</w:t>
            </w:r>
          </w:p>
        </w:tc>
        <w:tc>
          <w:tcPr>
            <w:tcW w:w="1164" w:type="pct"/>
            <w:vMerge w:val="continue"/>
            <w:tcBorders>
              <w:tl2br w:val="nil"/>
              <w:tr2bl w:val="nil"/>
            </w:tcBorders>
            <w:noWrap w:val="0"/>
            <w:vAlign w:val="center"/>
          </w:tcPr>
          <w:p w14:paraId="70FC6D9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5DE6D77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0B9096E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61DB9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0" w:type="pct"/>
            <w:tcBorders>
              <w:tl2br w:val="nil"/>
              <w:tr2bl w:val="nil"/>
            </w:tcBorders>
            <w:noWrap w:val="0"/>
            <w:vAlign w:val="center"/>
          </w:tcPr>
          <w:p w14:paraId="3243455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6#学苑小区</w:t>
            </w:r>
          </w:p>
        </w:tc>
        <w:tc>
          <w:tcPr>
            <w:tcW w:w="1164" w:type="pct"/>
            <w:vMerge w:val="continue"/>
            <w:tcBorders>
              <w:tl2br w:val="nil"/>
              <w:tr2bl w:val="nil"/>
            </w:tcBorders>
            <w:noWrap w:val="0"/>
            <w:vAlign w:val="center"/>
          </w:tcPr>
          <w:p w14:paraId="7BE8319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60B1364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1BA8CBC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5DFA6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0" w:type="pct"/>
            <w:tcBorders>
              <w:tl2br w:val="nil"/>
              <w:tr2bl w:val="nil"/>
            </w:tcBorders>
            <w:noWrap w:val="0"/>
            <w:vAlign w:val="center"/>
          </w:tcPr>
          <w:p w14:paraId="28E7322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7#八五二农场中学</w:t>
            </w:r>
          </w:p>
        </w:tc>
        <w:tc>
          <w:tcPr>
            <w:tcW w:w="1164" w:type="pct"/>
            <w:vMerge w:val="continue"/>
            <w:tcBorders>
              <w:tl2br w:val="nil"/>
              <w:tr2bl w:val="nil"/>
            </w:tcBorders>
            <w:noWrap w:val="0"/>
            <w:vAlign w:val="center"/>
          </w:tcPr>
          <w:p w14:paraId="3B78295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50F4507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33B0517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58EE0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0" w:type="pct"/>
            <w:tcBorders>
              <w:tl2br w:val="nil"/>
              <w:tr2bl w:val="nil"/>
            </w:tcBorders>
            <w:noWrap w:val="0"/>
            <w:vAlign w:val="center"/>
          </w:tcPr>
          <w:p w14:paraId="6F23FBF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8#林苑家园</w:t>
            </w:r>
          </w:p>
        </w:tc>
        <w:tc>
          <w:tcPr>
            <w:tcW w:w="1164" w:type="pct"/>
            <w:vMerge w:val="continue"/>
            <w:tcBorders>
              <w:tl2br w:val="nil"/>
              <w:tr2bl w:val="nil"/>
            </w:tcBorders>
            <w:noWrap w:val="0"/>
            <w:vAlign w:val="center"/>
          </w:tcPr>
          <w:p w14:paraId="2300899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209A20B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0F5F8E6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28ABB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0" w:type="pct"/>
            <w:tcBorders>
              <w:tl2br w:val="nil"/>
              <w:tr2bl w:val="nil"/>
            </w:tcBorders>
            <w:shd w:val="clear" w:color="auto" w:fill="auto"/>
            <w:noWrap w:val="0"/>
            <w:vAlign w:val="center"/>
          </w:tcPr>
          <w:p w14:paraId="1EC1B4E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9#盛世嘉园</w:t>
            </w:r>
          </w:p>
        </w:tc>
        <w:tc>
          <w:tcPr>
            <w:tcW w:w="1164" w:type="pct"/>
            <w:vMerge w:val="continue"/>
            <w:tcBorders>
              <w:tl2br w:val="nil"/>
              <w:tr2bl w:val="nil"/>
            </w:tcBorders>
            <w:noWrap w:val="0"/>
            <w:vAlign w:val="center"/>
          </w:tcPr>
          <w:p w14:paraId="48D7020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0115101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191AEA5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5181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30" w:type="pct"/>
            <w:tcBorders>
              <w:tl2br w:val="nil"/>
              <w:tr2bl w:val="nil"/>
            </w:tcBorders>
            <w:shd w:val="clear" w:color="auto" w:fill="auto"/>
            <w:noWrap w:val="0"/>
            <w:vAlign w:val="center"/>
          </w:tcPr>
          <w:p w14:paraId="2FFB29E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10#八五二农场医院</w:t>
            </w:r>
          </w:p>
        </w:tc>
        <w:tc>
          <w:tcPr>
            <w:tcW w:w="1164" w:type="pct"/>
            <w:vMerge w:val="continue"/>
            <w:tcBorders>
              <w:tl2br w:val="nil"/>
              <w:tr2bl w:val="nil"/>
            </w:tcBorders>
            <w:noWrap w:val="0"/>
            <w:vAlign w:val="center"/>
          </w:tcPr>
          <w:p w14:paraId="0EA64F0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03" w:type="pct"/>
            <w:vMerge w:val="continue"/>
            <w:tcBorders>
              <w:tl2br w:val="nil"/>
              <w:tr2bl w:val="nil"/>
            </w:tcBorders>
            <w:noWrap w:val="0"/>
            <w:vAlign w:val="center"/>
          </w:tcPr>
          <w:p w14:paraId="49B0850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501" w:type="pct"/>
            <w:vMerge w:val="continue"/>
            <w:tcBorders>
              <w:tl2br w:val="nil"/>
              <w:tr2bl w:val="nil"/>
            </w:tcBorders>
            <w:noWrap w:val="0"/>
            <w:vAlign w:val="center"/>
          </w:tcPr>
          <w:p w14:paraId="75E4959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r>
    </w:tbl>
    <w:p w14:paraId="4A3D6AF6">
      <w:pPr>
        <w:pStyle w:val="11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注：敏感目标中涉及高于3层楼房，设置垂向监测，取代表性楼层1F、3F、5F进行监测。</w:t>
      </w:r>
    </w:p>
    <w:p w14:paraId="1A34D863">
      <w:pPr>
        <w:ind w:firstLine="0" w:firstLineChars="0"/>
        <w:jc w:val="center"/>
        <w:rPr>
          <w:rFonts w:ascii="Times New Roman" w:hAnsi="Times New Roman" w:cs="Times New Roman"/>
          <w:color w:val="auto"/>
        </w:rPr>
      </w:pPr>
      <w:r>
        <w:rPr>
          <w:rFonts w:hint="eastAsia"/>
          <w:color w:val="auto"/>
          <w:highlight w:val="none"/>
          <w:lang w:eastAsia="zh-CN"/>
        </w:rPr>
        <w:drawing>
          <wp:inline distT="0" distB="0" distL="114300" distR="114300">
            <wp:extent cx="5219700" cy="3249295"/>
            <wp:effectExtent l="0" t="0" r="0" b="1905"/>
            <wp:docPr id="65" name="图片 16" descr="6a97601a-63a5-48a4-8d57-4b1643f23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descr="6a97601a-63a5-48a4-8d57-4b1643f23bfe"/>
                    <pic:cNvPicPr>
                      <a:picLocks noChangeAspect="1"/>
                    </pic:cNvPicPr>
                  </pic:nvPicPr>
                  <pic:blipFill>
                    <a:blip r:embed="rId82"/>
                    <a:stretch>
                      <a:fillRect/>
                    </a:stretch>
                  </pic:blipFill>
                  <pic:spPr>
                    <a:xfrm>
                      <a:off x="0" y="0"/>
                      <a:ext cx="5219700" cy="3249295"/>
                    </a:xfrm>
                    <a:prstGeom prst="rect">
                      <a:avLst/>
                    </a:prstGeom>
                    <a:noFill/>
                    <a:ln>
                      <a:noFill/>
                    </a:ln>
                  </pic:spPr>
                </pic:pic>
              </a:graphicData>
            </a:graphic>
          </wp:inline>
        </w:drawing>
      </w:r>
    </w:p>
    <w:p w14:paraId="6AED49F6">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图5.2-</w:t>
      </w:r>
      <w:r>
        <w:rPr>
          <w:rFonts w:hint="eastAsia" w:ascii="Times New Roman" w:hAnsi="Times New Roman" w:eastAsia="宋体" w:cs="Times New Roman"/>
          <w:b/>
          <w:bCs/>
          <w:color w:val="auto"/>
          <w:sz w:val="24"/>
          <w:szCs w:val="24"/>
          <w:lang w:val="en-US" w:eastAsia="zh-CN"/>
        </w:rPr>
        <w:t>2</w:t>
      </w:r>
      <w:r>
        <w:rPr>
          <w:rFonts w:hint="default" w:ascii="Times New Roman" w:hAnsi="Times New Roman" w:eastAsia="宋体" w:cs="Times New Roman"/>
          <w:b/>
          <w:bCs/>
          <w:color w:val="auto"/>
          <w:sz w:val="24"/>
          <w:szCs w:val="24"/>
          <w:lang w:val="en-US" w:eastAsia="zh-CN"/>
        </w:rPr>
        <w:t xml:space="preserve">  噪声监测布点示意图</w:t>
      </w:r>
    </w:p>
    <w:p w14:paraId="5F812AC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（2）监测方法</w:t>
      </w:r>
    </w:p>
    <w:p w14:paraId="1275D35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监测方法按照《声环境质量标准》（GB3096-2008）中规定的监测方法。</w:t>
      </w:r>
    </w:p>
    <w:p w14:paraId="645BCB8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（3）监测结果</w:t>
      </w:r>
    </w:p>
    <w:p w14:paraId="1AD3B93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现状监测结果分别见表5.2-8。</w:t>
      </w:r>
    </w:p>
    <w:p w14:paraId="457C0872">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表5.2-</w:t>
      </w:r>
      <w:r>
        <w:rPr>
          <w:rFonts w:hint="eastAsia" w:ascii="Times New Roman" w:hAnsi="Times New Roman" w:eastAsia="宋体" w:cs="Times New Roman"/>
          <w:b/>
          <w:bCs/>
          <w:color w:val="auto"/>
          <w:sz w:val="24"/>
          <w:szCs w:val="24"/>
          <w:lang w:val="en-US" w:eastAsia="zh-CN"/>
        </w:rPr>
        <w:t>8</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本项目噪声监测结果</w:t>
      </w:r>
      <w:r>
        <w:rPr>
          <w:rFonts w:hint="default" w:ascii="Times New Roman" w:hAnsi="Times New Roman" w:eastAsia="宋体" w:cs="Times New Roman"/>
          <w:b/>
          <w:bCs/>
          <w:color w:val="auto"/>
          <w:sz w:val="24"/>
          <w:szCs w:val="24"/>
          <w:lang w:val="en-US" w:eastAsia="zh-CN"/>
        </w:rPr>
        <w:t xml:space="preserve">  单位LeqdB（A）</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2465"/>
        <w:gridCol w:w="2624"/>
        <w:gridCol w:w="2626"/>
      </w:tblGrid>
      <w:tr w14:paraId="45D50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vMerge w:val="restart"/>
            <w:tcBorders>
              <w:tl2br w:val="nil"/>
              <w:tr2bl w:val="nil"/>
            </w:tcBorders>
            <w:noWrap w:val="0"/>
            <w:vAlign w:val="center"/>
          </w:tcPr>
          <w:p w14:paraId="448ED7F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序号</w:t>
            </w:r>
          </w:p>
        </w:tc>
        <w:tc>
          <w:tcPr>
            <w:tcW w:w="1393" w:type="pct"/>
            <w:vMerge w:val="restart"/>
            <w:tcBorders>
              <w:tl2br w:val="nil"/>
              <w:tr2bl w:val="nil"/>
            </w:tcBorders>
            <w:noWrap w:val="0"/>
            <w:vAlign w:val="center"/>
          </w:tcPr>
          <w:p w14:paraId="20FADF8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采样点位</w:t>
            </w:r>
          </w:p>
        </w:tc>
        <w:tc>
          <w:tcPr>
            <w:tcW w:w="2967" w:type="pct"/>
            <w:gridSpan w:val="2"/>
            <w:tcBorders>
              <w:tl2br w:val="nil"/>
              <w:tr2bl w:val="nil"/>
            </w:tcBorders>
            <w:noWrap w:val="0"/>
            <w:vAlign w:val="center"/>
          </w:tcPr>
          <w:p w14:paraId="00B74D4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检测结果202</w:t>
            </w:r>
            <w:r>
              <w:rPr>
                <w:rFonts w:hint="eastAsia" w:ascii="Times New Roman" w:hAnsi="Times New Roman" w:cs="Times New Roman"/>
                <w:color w:val="auto"/>
                <w:sz w:val="21"/>
                <w:szCs w:val="21"/>
                <w:highlight w:val="none"/>
                <w:lang w:val="en-US" w:eastAsia="zh-CN"/>
              </w:rPr>
              <w:t>6.03.19</w:t>
            </w:r>
          </w:p>
        </w:tc>
      </w:tr>
      <w:tr w14:paraId="50CA4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vMerge w:val="continue"/>
            <w:tcBorders>
              <w:tl2br w:val="nil"/>
              <w:tr2bl w:val="nil"/>
            </w:tcBorders>
            <w:noWrap w:val="0"/>
            <w:vAlign w:val="center"/>
          </w:tcPr>
          <w:p w14:paraId="459BD66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vMerge w:val="continue"/>
            <w:tcBorders>
              <w:tl2br w:val="nil"/>
              <w:tr2bl w:val="nil"/>
            </w:tcBorders>
            <w:noWrap w:val="0"/>
            <w:vAlign w:val="center"/>
          </w:tcPr>
          <w:p w14:paraId="769D0C3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483" w:type="pct"/>
            <w:tcBorders>
              <w:tl2br w:val="nil"/>
              <w:tr2bl w:val="nil"/>
            </w:tcBorders>
            <w:noWrap w:val="0"/>
            <w:vAlign w:val="center"/>
          </w:tcPr>
          <w:p w14:paraId="63CC2ED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昼间</w:t>
            </w:r>
          </w:p>
        </w:tc>
        <w:tc>
          <w:tcPr>
            <w:tcW w:w="1483" w:type="pct"/>
            <w:tcBorders>
              <w:tl2br w:val="nil"/>
              <w:tr2bl w:val="nil"/>
            </w:tcBorders>
            <w:noWrap w:val="0"/>
            <w:vAlign w:val="center"/>
          </w:tcPr>
          <w:p w14:paraId="6A1270E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夜间</w:t>
            </w:r>
          </w:p>
        </w:tc>
      </w:tr>
      <w:tr w14:paraId="4202D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tcBorders>
              <w:tl2br w:val="nil"/>
              <w:tr2bl w:val="nil"/>
            </w:tcBorders>
            <w:noWrap w:val="0"/>
            <w:vAlign w:val="center"/>
          </w:tcPr>
          <w:p w14:paraId="7B59F06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p>
        </w:tc>
        <w:tc>
          <w:tcPr>
            <w:tcW w:w="1393" w:type="pct"/>
            <w:tcBorders>
              <w:tl2br w:val="nil"/>
              <w:tr2bl w:val="nil"/>
            </w:tcBorders>
            <w:noWrap w:val="0"/>
            <w:vAlign w:val="center"/>
          </w:tcPr>
          <w:p w14:paraId="60C89B9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厂界东</w:t>
            </w:r>
            <w:r>
              <w:rPr>
                <w:rFonts w:hint="default" w:ascii="Times New Roman" w:hAnsi="Times New Roman" w:cs="Times New Roman"/>
                <w:color w:val="auto"/>
                <w:sz w:val="21"/>
                <w:szCs w:val="21"/>
                <w:highlight w:val="none"/>
                <w:lang w:val="en-US" w:eastAsia="zh-CN"/>
              </w:rPr>
              <w:t>侧外1m</w:t>
            </w:r>
          </w:p>
        </w:tc>
        <w:tc>
          <w:tcPr>
            <w:tcW w:w="1483" w:type="pct"/>
            <w:tcBorders>
              <w:tl2br w:val="nil"/>
              <w:tr2bl w:val="nil"/>
            </w:tcBorders>
            <w:noWrap w:val="0"/>
            <w:vAlign w:val="center"/>
          </w:tcPr>
          <w:p w14:paraId="11CAF74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1483" w:type="pct"/>
            <w:tcBorders>
              <w:tl2br w:val="nil"/>
              <w:tr2bl w:val="nil"/>
            </w:tcBorders>
            <w:noWrap w:val="0"/>
            <w:vAlign w:val="center"/>
          </w:tcPr>
          <w:p w14:paraId="0805DD7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43</w:t>
            </w:r>
          </w:p>
        </w:tc>
      </w:tr>
      <w:tr w14:paraId="2094C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6539EF4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1AFDD2F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厂界南</w:t>
            </w:r>
            <w:r>
              <w:rPr>
                <w:rFonts w:hint="default" w:ascii="Times New Roman" w:hAnsi="Times New Roman" w:cs="Times New Roman"/>
                <w:color w:val="auto"/>
                <w:sz w:val="21"/>
                <w:szCs w:val="21"/>
                <w:highlight w:val="none"/>
                <w:lang w:val="en-US" w:eastAsia="zh-CN"/>
              </w:rPr>
              <w:t>侧外1m</w:t>
            </w:r>
          </w:p>
        </w:tc>
        <w:tc>
          <w:tcPr>
            <w:tcW w:w="1483" w:type="pct"/>
            <w:noWrap w:val="0"/>
            <w:vAlign w:val="center"/>
          </w:tcPr>
          <w:p w14:paraId="7A2E89B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1483" w:type="pct"/>
            <w:noWrap w:val="0"/>
            <w:vAlign w:val="center"/>
          </w:tcPr>
          <w:p w14:paraId="69EE832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r>
      <w:tr w14:paraId="35563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2EC045B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64E280D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厂界西</w:t>
            </w:r>
            <w:r>
              <w:rPr>
                <w:rFonts w:hint="default" w:ascii="Times New Roman" w:hAnsi="Times New Roman" w:cs="Times New Roman"/>
                <w:color w:val="auto"/>
                <w:sz w:val="21"/>
                <w:szCs w:val="21"/>
                <w:highlight w:val="none"/>
                <w:lang w:val="en-US" w:eastAsia="zh-CN"/>
              </w:rPr>
              <w:t>侧外1m</w:t>
            </w:r>
          </w:p>
        </w:tc>
        <w:tc>
          <w:tcPr>
            <w:tcW w:w="1483" w:type="pct"/>
            <w:noWrap w:val="0"/>
            <w:vAlign w:val="center"/>
          </w:tcPr>
          <w:p w14:paraId="4E5C341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1483" w:type="pct"/>
            <w:noWrap w:val="0"/>
            <w:vAlign w:val="center"/>
          </w:tcPr>
          <w:p w14:paraId="6F33C54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r>
      <w:tr w14:paraId="0BED6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44B1528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3BC1253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厂界北</w:t>
            </w:r>
            <w:r>
              <w:rPr>
                <w:rFonts w:hint="default" w:ascii="Times New Roman" w:hAnsi="Times New Roman" w:cs="Times New Roman"/>
                <w:color w:val="auto"/>
                <w:sz w:val="21"/>
                <w:szCs w:val="21"/>
                <w:highlight w:val="none"/>
                <w:lang w:val="en-US" w:eastAsia="zh-CN"/>
              </w:rPr>
              <w:t>侧外1m</w:t>
            </w:r>
          </w:p>
        </w:tc>
        <w:tc>
          <w:tcPr>
            <w:tcW w:w="1483" w:type="pct"/>
            <w:noWrap w:val="0"/>
            <w:vAlign w:val="center"/>
          </w:tcPr>
          <w:p w14:paraId="249D7D9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1483" w:type="pct"/>
            <w:noWrap w:val="0"/>
            <w:vAlign w:val="center"/>
          </w:tcPr>
          <w:p w14:paraId="46238DA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r>
      <w:tr w14:paraId="71DE4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544953E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6C138A7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西北侧居民区</w:t>
            </w:r>
          </w:p>
        </w:tc>
        <w:tc>
          <w:tcPr>
            <w:tcW w:w="1483" w:type="pct"/>
            <w:noWrap w:val="0"/>
            <w:vAlign w:val="center"/>
          </w:tcPr>
          <w:p w14:paraId="1B2F98F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1483" w:type="pct"/>
            <w:noWrap w:val="0"/>
            <w:vAlign w:val="center"/>
          </w:tcPr>
          <w:p w14:paraId="5B3589B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r>
      <w:tr w14:paraId="15ACB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234F7D8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5842209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学苑小区1F</w:t>
            </w:r>
          </w:p>
        </w:tc>
        <w:tc>
          <w:tcPr>
            <w:tcW w:w="1483" w:type="pct"/>
            <w:noWrap w:val="0"/>
            <w:vAlign w:val="center"/>
          </w:tcPr>
          <w:p w14:paraId="6FB3BA1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1483" w:type="pct"/>
            <w:noWrap w:val="0"/>
            <w:vAlign w:val="center"/>
          </w:tcPr>
          <w:p w14:paraId="43146E0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r>
      <w:tr w14:paraId="5A753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1DF1409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6-2</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3B32F8B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学苑小区3F</w:t>
            </w:r>
          </w:p>
        </w:tc>
        <w:tc>
          <w:tcPr>
            <w:tcW w:w="1483" w:type="pct"/>
            <w:noWrap w:val="0"/>
            <w:vAlign w:val="center"/>
          </w:tcPr>
          <w:p w14:paraId="7375B64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1483" w:type="pct"/>
            <w:noWrap w:val="0"/>
            <w:vAlign w:val="center"/>
          </w:tcPr>
          <w:p w14:paraId="3704D7F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r>
      <w:tr w14:paraId="2D8D3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0CD3C2C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6-3</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10CB651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学苑小区5F</w:t>
            </w:r>
          </w:p>
        </w:tc>
        <w:tc>
          <w:tcPr>
            <w:tcW w:w="1483" w:type="pct"/>
            <w:noWrap w:val="0"/>
            <w:vAlign w:val="center"/>
          </w:tcPr>
          <w:p w14:paraId="26DF2EE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1483" w:type="pct"/>
            <w:noWrap w:val="0"/>
            <w:vAlign w:val="center"/>
          </w:tcPr>
          <w:p w14:paraId="0439429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r>
      <w:tr w14:paraId="62072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4E5341B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7-1</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4A3CEF6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八五二农场中学1F</w:t>
            </w:r>
          </w:p>
        </w:tc>
        <w:tc>
          <w:tcPr>
            <w:tcW w:w="1483" w:type="pct"/>
            <w:noWrap w:val="0"/>
            <w:vAlign w:val="center"/>
          </w:tcPr>
          <w:p w14:paraId="77B7174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1483" w:type="pct"/>
            <w:noWrap w:val="0"/>
            <w:vAlign w:val="center"/>
          </w:tcPr>
          <w:p w14:paraId="1A1A026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r>
      <w:tr w14:paraId="6866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3C5607A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7-2</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1B44F03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八五二农场中学3F</w:t>
            </w:r>
          </w:p>
        </w:tc>
        <w:tc>
          <w:tcPr>
            <w:tcW w:w="1483" w:type="pct"/>
            <w:noWrap w:val="0"/>
            <w:vAlign w:val="center"/>
          </w:tcPr>
          <w:p w14:paraId="7D51B7B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1483" w:type="pct"/>
            <w:noWrap w:val="0"/>
            <w:vAlign w:val="center"/>
          </w:tcPr>
          <w:p w14:paraId="009A654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r>
      <w:tr w14:paraId="4EF69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1662E97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0DC8BAB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八五二农场中学5F</w:t>
            </w:r>
          </w:p>
        </w:tc>
        <w:tc>
          <w:tcPr>
            <w:tcW w:w="1483" w:type="pct"/>
            <w:noWrap w:val="0"/>
            <w:vAlign w:val="center"/>
          </w:tcPr>
          <w:p w14:paraId="4B99E70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1483" w:type="pct"/>
            <w:noWrap w:val="0"/>
            <w:vAlign w:val="center"/>
          </w:tcPr>
          <w:p w14:paraId="6AD56D9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r>
      <w:tr w14:paraId="3ACC5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4FC297B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8-1</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399B02A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林苑家园1F</w:t>
            </w:r>
          </w:p>
        </w:tc>
        <w:tc>
          <w:tcPr>
            <w:tcW w:w="1483" w:type="pct"/>
            <w:noWrap w:val="0"/>
            <w:vAlign w:val="center"/>
          </w:tcPr>
          <w:p w14:paraId="01B3E3D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56</w:t>
            </w:r>
          </w:p>
        </w:tc>
        <w:tc>
          <w:tcPr>
            <w:tcW w:w="1483" w:type="pct"/>
            <w:noWrap w:val="0"/>
            <w:vAlign w:val="center"/>
          </w:tcPr>
          <w:p w14:paraId="0D72CDB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w:t>
            </w:r>
          </w:p>
        </w:tc>
      </w:tr>
      <w:tr w14:paraId="5D219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7C8254C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8-2</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275B3E0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林苑家园3F</w:t>
            </w:r>
          </w:p>
        </w:tc>
        <w:tc>
          <w:tcPr>
            <w:tcW w:w="1483" w:type="pct"/>
            <w:noWrap w:val="0"/>
            <w:vAlign w:val="center"/>
          </w:tcPr>
          <w:p w14:paraId="253C47A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w:t>
            </w:r>
          </w:p>
        </w:tc>
        <w:tc>
          <w:tcPr>
            <w:tcW w:w="1483" w:type="pct"/>
            <w:noWrap w:val="0"/>
            <w:vAlign w:val="center"/>
          </w:tcPr>
          <w:p w14:paraId="674E3BA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r>
      <w:tr w14:paraId="06081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6F153C0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8-3</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2A26E09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林苑家园5F</w:t>
            </w:r>
          </w:p>
        </w:tc>
        <w:tc>
          <w:tcPr>
            <w:tcW w:w="1483" w:type="pct"/>
            <w:noWrap w:val="0"/>
            <w:vAlign w:val="center"/>
          </w:tcPr>
          <w:p w14:paraId="711B9FE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w:t>
            </w:r>
          </w:p>
        </w:tc>
        <w:tc>
          <w:tcPr>
            <w:tcW w:w="1483" w:type="pct"/>
            <w:noWrap w:val="0"/>
            <w:vAlign w:val="center"/>
          </w:tcPr>
          <w:p w14:paraId="37F06B0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r>
      <w:tr w14:paraId="2E6FD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4857FE0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9-1</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0609729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盛世嘉园1F</w:t>
            </w:r>
          </w:p>
        </w:tc>
        <w:tc>
          <w:tcPr>
            <w:tcW w:w="1483" w:type="pct"/>
            <w:noWrap w:val="0"/>
            <w:vAlign w:val="center"/>
          </w:tcPr>
          <w:p w14:paraId="3DB4FD9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w:t>
            </w:r>
          </w:p>
        </w:tc>
        <w:tc>
          <w:tcPr>
            <w:tcW w:w="1483" w:type="pct"/>
            <w:noWrap w:val="0"/>
            <w:vAlign w:val="center"/>
          </w:tcPr>
          <w:p w14:paraId="51F4D3B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r>
      <w:tr w14:paraId="77B4A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37F7DA9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9-2</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497665F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盛世嘉园3F</w:t>
            </w:r>
          </w:p>
        </w:tc>
        <w:tc>
          <w:tcPr>
            <w:tcW w:w="1483" w:type="pct"/>
            <w:noWrap w:val="0"/>
            <w:vAlign w:val="center"/>
          </w:tcPr>
          <w:p w14:paraId="761BED7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1483" w:type="pct"/>
            <w:noWrap w:val="0"/>
            <w:vAlign w:val="center"/>
          </w:tcPr>
          <w:p w14:paraId="1A64811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r>
      <w:tr w14:paraId="2A9E3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45204E4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9-3</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3A2286A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盛世嘉园5F</w:t>
            </w:r>
          </w:p>
        </w:tc>
        <w:tc>
          <w:tcPr>
            <w:tcW w:w="1483" w:type="pct"/>
            <w:noWrap w:val="0"/>
            <w:vAlign w:val="center"/>
          </w:tcPr>
          <w:p w14:paraId="66B3DE2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1483" w:type="pct"/>
            <w:noWrap w:val="0"/>
            <w:vAlign w:val="center"/>
          </w:tcPr>
          <w:p w14:paraId="4744EA3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r>
      <w:tr w14:paraId="389A9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5402699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10-1</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3E45A18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八五二农场医院1F</w:t>
            </w:r>
          </w:p>
        </w:tc>
        <w:tc>
          <w:tcPr>
            <w:tcW w:w="1483" w:type="pct"/>
            <w:noWrap w:val="0"/>
            <w:vAlign w:val="center"/>
          </w:tcPr>
          <w:p w14:paraId="521B90B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56</w:t>
            </w:r>
          </w:p>
        </w:tc>
        <w:tc>
          <w:tcPr>
            <w:tcW w:w="1483" w:type="pct"/>
            <w:noWrap w:val="0"/>
            <w:vAlign w:val="center"/>
          </w:tcPr>
          <w:p w14:paraId="0D4C68C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48</w:t>
            </w:r>
          </w:p>
        </w:tc>
      </w:tr>
      <w:tr w14:paraId="6F3D7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5E93798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10-2</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4B875BD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八五二农场医院3F</w:t>
            </w:r>
          </w:p>
        </w:tc>
        <w:tc>
          <w:tcPr>
            <w:tcW w:w="1483" w:type="pct"/>
            <w:noWrap w:val="0"/>
            <w:vAlign w:val="center"/>
          </w:tcPr>
          <w:p w14:paraId="1D2D3FC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56</w:t>
            </w:r>
          </w:p>
        </w:tc>
        <w:tc>
          <w:tcPr>
            <w:tcW w:w="1483" w:type="pct"/>
            <w:noWrap w:val="0"/>
            <w:vAlign w:val="center"/>
          </w:tcPr>
          <w:p w14:paraId="053F28D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w:t>
            </w:r>
          </w:p>
        </w:tc>
      </w:tr>
      <w:tr w14:paraId="33532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9" w:type="pct"/>
            <w:noWrap w:val="0"/>
            <w:vAlign w:val="center"/>
          </w:tcPr>
          <w:p w14:paraId="67A52C2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10-3</w:t>
            </w:r>
            <w:r>
              <w:rPr>
                <w:rFonts w:hint="default" w:ascii="Times New Roman" w:hAnsi="Times New Roman" w:cs="Times New Roman"/>
                <w:color w:val="auto"/>
                <w:sz w:val="21"/>
                <w:szCs w:val="21"/>
                <w:highlight w:val="none"/>
                <w:lang w:val="en-US" w:eastAsia="zh-CN"/>
              </w:rPr>
              <w:t>#</w:t>
            </w:r>
          </w:p>
        </w:tc>
        <w:tc>
          <w:tcPr>
            <w:tcW w:w="1393" w:type="pct"/>
            <w:noWrap w:val="0"/>
            <w:vAlign w:val="center"/>
          </w:tcPr>
          <w:p w14:paraId="5C25E47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八五二农场医院5F</w:t>
            </w:r>
          </w:p>
        </w:tc>
        <w:tc>
          <w:tcPr>
            <w:tcW w:w="1483" w:type="pct"/>
            <w:noWrap w:val="0"/>
            <w:vAlign w:val="center"/>
          </w:tcPr>
          <w:p w14:paraId="418FE34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w:t>
            </w:r>
          </w:p>
        </w:tc>
        <w:tc>
          <w:tcPr>
            <w:tcW w:w="1483" w:type="pct"/>
            <w:noWrap w:val="0"/>
            <w:vAlign w:val="center"/>
          </w:tcPr>
          <w:p w14:paraId="19F211C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r>
    </w:tbl>
    <w:p w14:paraId="7D3EE88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5.2.3.2 </w:t>
      </w:r>
      <w:r>
        <w:rPr>
          <w:rFonts w:hint="default" w:ascii="Times New Roman" w:hAnsi="Times New Roman" w:eastAsia="宋体" w:cs="Times New Roman"/>
          <w:b/>
          <w:bCs w:val="0"/>
          <w:color w:val="auto"/>
          <w:sz w:val="24"/>
          <w:szCs w:val="24"/>
          <w:lang w:val="en-US" w:eastAsia="zh-CN"/>
        </w:rPr>
        <w:t>声环境质量现状评价</w:t>
      </w:r>
    </w:p>
    <w:p w14:paraId="4EE9C2F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（1）评价方法</w:t>
      </w:r>
    </w:p>
    <w:p w14:paraId="54F5965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根据噪声现状的监测统计结果，采用与评价标准直接比较的方法对评价范围内的声环境质量现状进行评价。</w:t>
      </w:r>
    </w:p>
    <w:p w14:paraId="0200640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bookmarkStart w:id="376" w:name="_Toc241037561"/>
      <w:r>
        <w:rPr>
          <w:rFonts w:hint="eastAsia" w:ascii="Times New Roman" w:hAnsi="Times New Roman" w:eastAsia="宋体" w:cs="Times New Roman"/>
          <w:color w:val="auto"/>
          <w:lang w:val="en-US" w:eastAsia="zh-CN"/>
        </w:rPr>
        <w:t>（2）评价标准</w:t>
      </w:r>
      <w:bookmarkEnd w:id="376"/>
    </w:p>
    <w:p w14:paraId="301B130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以等效连续A声级Leq为评价量，评价标准执行《声环境质量标准》（GB3096-2008）表1环境噪声限值中的2类标准。</w:t>
      </w:r>
    </w:p>
    <w:p w14:paraId="2667AB3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bookmarkStart w:id="377" w:name="_Toc176865927"/>
      <w:bookmarkStart w:id="378" w:name="_Toc188855746"/>
      <w:bookmarkStart w:id="379" w:name="_Toc234557190"/>
      <w:bookmarkStart w:id="380" w:name="_Toc241037562"/>
      <w:bookmarkStart w:id="381" w:name="_Toc186283572"/>
      <w:bookmarkStart w:id="382" w:name="_Toc233536384"/>
      <w:bookmarkStart w:id="383" w:name="_Toc186283774"/>
      <w:r>
        <w:rPr>
          <w:rFonts w:hint="eastAsia" w:ascii="Times New Roman" w:hAnsi="Times New Roman" w:eastAsia="宋体" w:cs="Times New Roman"/>
          <w:color w:val="auto"/>
          <w:lang w:val="en-US" w:eastAsia="zh-CN"/>
        </w:rPr>
        <w:t>（3）现状评价结论</w:t>
      </w:r>
      <w:bookmarkEnd w:id="377"/>
      <w:bookmarkEnd w:id="378"/>
      <w:bookmarkEnd w:id="379"/>
      <w:bookmarkEnd w:id="380"/>
      <w:bookmarkEnd w:id="381"/>
      <w:bookmarkEnd w:id="382"/>
      <w:bookmarkEnd w:id="383"/>
    </w:p>
    <w:p w14:paraId="79901CA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结合噪声现状监测结果，厂界噪声监测点的昼间等效A声级在51~53dB(A)之间，夜间等效A声级在41~45dB(A)之间，声环境现状满足《声环境质量标准》（GB3096-2008）2类标准要求。声环境保护目标处昼间等效A声级在53~56dB(A)之间，夜间等效A声级在44~48dB(A)之间，均满足《声环境质量标准》表1环境噪声限值中的2类标准。</w:t>
      </w:r>
    </w:p>
    <w:p w14:paraId="64DA429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84" w:name="_Toc25386"/>
      <w:bookmarkStart w:id="385" w:name="_Toc8625"/>
      <w:bookmarkStart w:id="386" w:name="_Toc8945"/>
      <w:r>
        <w:rPr>
          <w:rFonts w:hint="eastAsia" w:ascii="Times New Roman" w:hAnsi="Times New Roman" w:cs="Times New Roman"/>
          <w:b/>
          <w:bCs/>
          <w:color w:val="auto"/>
          <w:sz w:val="28"/>
          <w:szCs w:val="28"/>
          <w:lang w:val="en-US" w:eastAsia="zh-CN"/>
        </w:rPr>
        <w:t>5.2.4 土壤环境质量现状调查与评价</w:t>
      </w:r>
      <w:bookmarkEnd w:id="384"/>
      <w:bookmarkEnd w:id="385"/>
      <w:bookmarkEnd w:id="386"/>
    </w:p>
    <w:p w14:paraId="5A6B2A5C">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5.2.4.1 </w:t>
      </w:r>
      <w:r>
        <w:rPr>
          <w:rFonts w:hint="default" w:ascii="Times New Roman" w:hAnsi="Times New Roman" w:eastAsia="宋体" w:cs="Times New Roman"/>
          <w:b/>
          <w:bCs w:val="0"/>
          <w:color w:val="auto"/>
          <w:sz w:val="24"/>
          <w:szCs w:val="24"/>
          <w:lang w:val="en-US" w:eastAsia="zh-CN"/>
        </w:rPr>
        <w:t>监测点位</w:t>
      </w:r>
    </w:p>
    <w:p w14:paraId="189EB80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依据《环境影响评价技术导则 土壤环境（试行）》（HJ964-2018）中“7.4.2布点原则”要求，土壤环境现状监测点布设应根据建设项目土壤环境影响类型、评价工作等级和土地利用类型确定，采用均布性与代表性相结合的原则。调查评价范围内的每种土壤类型应至少设置1个表层样监测点，应尽量设置在未受人为污染或相对未受污染的区域。涉及大气沉降影响的，应在占地范围外主导风向的上、下风向各设置1个表层样监测点。</w:t>
      </w:r>
    </w:p>
    <w:p w14:paraId="622B9B0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本项目土壤环境影响类型为污染影响型，土壤评价等级为三级，本项目评价范围内涉及大气沉降影响。因此，本项目土壤环境质量监测在厂址占地范围内布设3个表层样点，土壤监测点位情况见表5.2-9及图5.2-3。</w:t>
      </w:r>
    </w:p>
    <w:p w14:paraId="63B7613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23EA83F2">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6D679CAF">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6E664D5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5F287B2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4EADF3E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44D38AC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18AC0C1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表5.2-</w:t>
      </w:r>
      <w:r>
        <w:rPr>
          <w:rFonts w:hint="eastAsia" w:eastAsia="宋体" w:cs="Times New Roman"/>
          <w:b/>
          <w:bCs/>
          <w:color w:val="auto"/>
          <w:sz w:val="24"/>
          <w:szCs w:val="24"/>
          <w:lang w:val="en-US" w:eastAsia="zh-CN"/>
        </w:rPr>
        <w:t>9</w:t>
      </w:r>
      <w:r>
        <w:rPr>
          <w:rFonts w:hint="eastAsia" w:ascii="Times New Roman" w:hAnsi="Times New Roman" w:eastAsia="宋体" w:cs="Times New Roman"/>
          <w:b/>
          <w:bCs/>
          <w:color w:val="auto"/>
          <w:sz w:val="24"/>
          <w:szCs w:val="24"/>
          <w:lang w:val="en-US" w:eastAsia="zh-CN"/>
        </w:rPr>
        <w:t xml:space="preserve">  本项目土壤环境质量现状监测布点</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6"/>
        <w:gridCol w:w="973"/>
        <w:gridCol w:w="1298"/>
        <w:gridCol w:w="4032"/>
        <w:gridCol w:w="720"/>
        <w:gridCol w:w="1346"/>
      </w:tblGrid>
      <w:tr w14:paraId="18B54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269" w:type="pct"/>
            <w:tcBorders>
              <w:tl2br w:val="nil"/>
              <w:tr2bl w:val="nil"/>
            </w:tcBorders>
            <w:vAlign w:val="center"/>
          </w:tcPr>
          <w:p w14:paraId="3E652A3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编号</w:t>
            </w:r>
          </w:p>
        </w:tc>
        <w:tc>
          <w:tcPr>
            <w:tcW w:w="550" w:type="pct"/>
            <w:tcBorders>
              <w:tl2br w:val="nil"/>
              <w:tr2bl w:val="nil"/>
            </w:tcBorders>
            <w:vAlign w:val="center"/>
          </w:tcPr>
          <w:p w14:paraId="72EE64C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w:t>
            </w:r>
          </w:p>
          <w:p w14:paraId="5971D75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单元</w:t>
            </w:r>
          </w:p>
        </w:tc>
        <w:tc>
          <w:tcPr>
            <w:tcW w:w="734" w:type="pct"/>
            <w:tcBorders>
              <w:tl2br w:val="nil"/>
              <w:tr2bl w:val="nil"/>
            </w:tcBorders>
            <w:vAlign w:val="center"/>
          </w:tcPr>
          <w:p w14:paraId="2FB3964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采样点位置</w:t>
            </w:r>
          </w:p>
        </w:tc>
        <w:tc>
          <w:tcPr>
            <w:tcW w:w="2279" w:type="pct"/>
            <w:tcBorders>
              <w:tl2br w:val="nil"/>
              <w:tr2bl w:val="nil"/>
            </w:tcBorders>
            <w:vAlign w:val="center"/>
          </w:tcPr>
          <w:p w14:paraId="5C8E7F4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监测因子</w:t>
            </w:r>
          </w:p>
        </w:tc>
        <w:tc>
          <w:tcPr>
            <w:tcW w:w="407" w:type="pct"/>
            <w:tcBorders>
              <w:tl2br w:val="nil"/>
              <w:tr2bl w:val="nil"/>
            </w:tcBorders>
            <w:vAlign w:val="center"/>
          </w:tcPr>
          <w:p w14:paraId="1EFC256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监测布点类型</w:t>
            </w:r>
          </w:p>
        </w:tc>
        <w:tc>
          <w:tcPr>
            <w:tcW w:w="758" w:type="pct"/>
            <w:tcBorders>
              <w:tl2br w:val="nil"/>
              <w:tr2bl w:val="nil"/>
            </w:tcBorders>
            <w:vAlign w:val="center"/>
          </w:tcPr>
          <w:p w14:paraId="45BF353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测点取土样深度</w:t>
            </w:r>
          </w:p>
        </w:tc>
      </w:tr>
      <w:tr w14:paraId="6485A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5000" w:type="pct"/>
            <w:gridSpan w:val="6"/>
            <w:tcBorders>
              <w:tl2br w:val="nil"/>
              <w:tr2bl w:val="nil"/>
            </w:tcBorders>
            <w:vAlign w:val="center"/>
          </w:tcPr>
          <w:p w14:paraId="61AE617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厂区占地范围内</w:t>
            </w:r>
          </w:p>
        </w:tc>
      </w:tr>
      <w:tr w14:paraId="341D3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9" w:type="pct"/>
            <w:tcBorders>
              <w:tl2br w:val="nil"/>
              <w:tr2bl w:val="nil"/>
            </w:tcBorders>
            <w:vAlign w:val="center"/>
          </w:tcPr>
          <w:p w14:paraId="3B0254C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550" w:type="pct"/>
            <w:tcBorders>
              <w:tl2br w:val="nil"/>
              <w:tr2bl w:val="nil"/>
            </w:tcBorders>
            <w:vAlign w:val="center"/>
          </w:tcPr>
          <w:p w14:paraId="7333B5F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734" w:type="pct"/>
            <w:tcBorders>
              <w:tl2br w:val="nil"/>
              <w:tr2bl w:val="nil"/>
            </w:tcBorders>
            <w:vAlign w:val="center"/>
          </w:tcPr>
          <w:p w14:paraId="23B0DED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厂区东北</w:t>
            </w:r>
          </w:p>
        </w:tc>
        <w:tc>
          <w:tcPr>
            <w:tcW w:w="2279" w:type="pct"/>
            <w:tcBorders>
              <w:tl2br w:val="nil"/>
              <w:tr2bl w:val="nil"/>
            </w:tcBorders>
            <w:vAlign w:val="center"/>
          </w:tcPr>
          <w:p w14:paraId="4100C82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茚并[1,2,3-cd]芘、萘、石油烃</w:t>
            </w:r>
          </w:p>
        </w:tc>
        <w:tc>
          <w:tcPr>
            <w:tcW w:w="407" w:type="pct"/>
            <w:tcBorders>
              <w:tl2br w:val="nil"/>
              <w:tr2bl w:val="nil"/>
            </w:tcBorders>
            <w:vAlign w:val="center"/>
          </w:tcPr>
          <w:p w14:paraId="1591FC1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表层样</w:t>
            </w:r>
          </w:p>
        </w:tc>
        <w:tc>
          <w:tcPr>
            <w:tcW w:w="758" w:type="pct"/>
            <w:tcBorders>
              <w:tl2br w:val="nil"/>
              <w:tr2bl w:val="nil"/>
            </w:tcBorders>
            <w:vAlign w:val="center"/>
          </w:tcPr>
          <w:p w14:paraId="6FA5B4E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0~0.2m</w:t>
            </w:r>
          </w:p>
        </w:tc>
      </w:tr>
      <w:tr w14:paraId="7EE2C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9" w:type="pct"/>
            <w:tcBorders>
              <w:tl2br w:val="nil"/>
              <w:tr2bl w:val="nil"/>
            </w:tcBorders>
            <w:vAlign w:val="center"/>
          </w:tcPr>
          <w:p w14:paraId="047CCFD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550" w:type="pct"/>
            <w:tcBorders>
              <w:tl2br w:val="nil"/>
              <w:tr2bl w:val="nil"/>
            </w:tcBorders>
            <w:vAlign w:val="center"/>
          </w:tcPr>
          <w:p w14:paraId="487C1E0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734" w:type="pct"/>
            <w:tcBorders>
              <w:tl2br w:val="nil"/>
              <w:tr2bl w:val="nil"/>
            </w:tcBorders>
            <w:vAlign w:val="center"/>
          </w:tcPr>
          <w:p w14:paraId="47E5B72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厂区中部</w:t>
            </w:r>
          </w:p>
        </w:tc>
        <w:tc>
          <w:tcPr>
            <w:tcW w:w="2279" w:type="pct"/>
            <w:vMerge w:val="restart"/>
            <w:tcBorders>
              <w:tl2br w:val="nil"/>
              <w:tr2bl w:val="nil"/>
            </w:tcBorders>
            <w:vAlign w:val="center"/>
          </w:tcPr>
          <w:p w14:paraId="60852FD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石油烃</w:t>
            </w:r>
          </w:p>
        </w:tc>
        <w:tc>
          <w:tcPr>
            <w:tcW w:w="407" w:type="pct"/>
            <w:tcBorders>
              <w:tl2br w:val="nil"/>
              <w:tr2bl w:val="nil"/>
            </w:tcBorders>
            <w:vAlign w:val="center"/>
          </w:tcPr>
          <w:p w14:paraId="6B87F6F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表层样</w:t>
            </w:r>
          </w:p>
        </w:tc>
        <w:tc>
          <w:tcPr>
            <w:tcW w:w="758" w:type="pct"/>
            <w:tcBorders>
              <w:tl2br w:val="nil"/>
              <w:tr2bl w:val="nil"/>
            </w:tcBorders>
            <w:vAlign w:val="center"/>
          </w:tcPr>
          <w:p w14:paraId="41C2EF6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0~0.2m</w:t>
            </w:r>
          </w:p>
        </w:tc>
      </w:tr>
      <w:tr w14:paraId="30E55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9" w:type="pct"/>
            <w:tcBorders>
              <w:tl2br w:val="nil"/>
              <w:tr2bl w:val="nil"/>
            </w:tcBorders>
            <w:vAlign w:val="center"/>
          </w:tcPr>
          <w:p w14:paraId="7AC8CC9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550" w:type="pct"/>
            <w:tcBorders>
              <w:tl2br w:val="nil"/>
              <w:tr2bl w:val="nil"/>
            </w:tcBorders>
            <w:vAlign w:val="center"/>
          </w:tcPr>
          <w:p w14:paraId="3C3F119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734" w:type="pct"/>
            <w:tcBorders>
              <w:tl2br w:val="nil"/>
              <w:tr2bl w:val="nil"/>
            </w:tcBorders>
            <w:vAlign w:val="center"/>
          </w:tcPr>
          <w:p w14:paraId="1934D49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厂区西南</w:t>
            </w:r>
          </w:p>
        </w:tc>
        <w:tc>
          <w:tcPr>
            <w:tcW w:w="2279" w:type="pct"/>
            <w:vMerge w:val="continue"/>
            <w:tcBorders>
              <w:tl2br w:val="nil"/>
              <w:tr2bl w:val="nil"/>
            </w:tcBorders>
            <w:vAlign w:val="center"/>
          </w:tcPr>
          <w:p w14:paraId="0E58925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07" w:type="pct"/>
            <w:tcBorders>
              <w:tl2br w:val="nil"/>
              <w:tr2bl w:val="nil"/>
            </w:tcBorders>
            <w:vAlign w:val="center"/>
          </w:tcPr>
          <w:p w14:paraId="673F871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表层样</w:t>
            </w:r>
          </w:p>
        </w:tc>
        <w:tc>
          <w:tcPr>
            <w:tcW w:w="758" w:type="pct"/>
            <w:tcBorders>
              <w:tl2br w:val="nil"/>
              <w:tr2bl w:val="nil"/>
            </w:tcBorders>
            <w:vAlign w:val="center"/>
          </w:tcPr>
          <w:p w14:paraId="5CBF27B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0~0.2m</w:t>
            </w:r>
          </w:p>
        </w:tc>
      </w:tr>
    </w:tbl>
    <w:p w14:paraId="1BCEC852">
      <w:pPr>
        <w:keepNext w:val="0"/>
        <w:keepLines w:val="0"/>
        <w:pageBreakBefore w:val="0"/>
        <w:widowControl w:val="0"/>
        <w:kinsoku/>
        <w:wordWrap/>
        <w:overflowPunct/>
        <w:topLinePunct w:val="0"/>
        <w:autoSpaceDE/>
        <w:autoSpaceDN/>
        <w:bidi w:val="0"/>
        <w:adjustRightInd/>
        <w:snapToGrid/>
        <w:spacing w:before="0" w:beforeLines="25"/>
        <w:ind w:firstLine="0" w:firstLineChars="0"/>
        <w:jc w:val="center"/>
        <w:textAlignment w:val="auto"/>
        <w:rPr>
          <w:rFonts w:ascii="Times New Roman" w:hAnsi="Times New Roman" w:eastAsia="宋体" w:cs="Times New Roman"/>
          <w:color w:val="auto"/>
        </w:rPr>
      </w:pPr>
      <w:r>
        <w:rPr>
          <w:color w:val="auto"/>
        </w:rPr>
        <w:drawing>
          <wp:inline distT="0" distB="0" distL="114300" distR="114300">
            <wp:extent cx="5219700" cy="3734435"/>
            <wp:effectExtent l="9525" t="9525" r="15875" b="15240"/>
            <wp:docPr id="1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1"/>
                    <pic:cNvPicPr>
                      <a:picLocks noChangeAspect="1"/>
                    </pic:cNvPicPr>
                  </pic:nvPicPr>
                  <pic:blipFill>
                    <a:blip r:embed="rId83"/>
                    <a:stretch>
                      <a:fillRect/>
                    </a:stretch>
                  </pic:blipFill>
                  <pic:spPr>
                    <a:xfrm>
                      <a:off x="0" y="0"/>
                      <a:ext cx="5219700" cy="3734435"/>
                    </a:xfrm>
                    <a:prstGeom prst="rect">
                      <a:avLst/>
                    </a:prstGeom>
                    <a:noFill/>
                    <a:ln>
                      <a:solidFill>
                        <a:schemeClr val="tx1"/>
                      </a:solidFill>
                    </a:ln>
                  </pic:spPr>
                </pic:pic>
              </a:graphicData>
            </a:graphic>
          </wp:inline>
        </w:drawing>
      </w:r>
    </w:p>
    <w:p w14:paraId="73CED175">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图5.2-</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 xml:space="preserve">  厂内土壤监测点位布置图</w:t>
      </w:r>
    </w:p>
    <w:p w14:paraId="0508382D">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 xml:space="preserve">5.2.4.2 </w:t>
      </w:r>
      <w:r>
        <w:rPr>
          <w:rFonts w:hint="default" w:ascii="Times New Roman" w:hAnsi="Times New Roman" w:eastAsia="宋体" w:cs="Times New Roman"/>
          <w:b/>
          <w:bCs w:val="0"/>
          <w:color w:val="auto"/>
          <w:sz w:val="24"/>
          <w:szCs w:val="24"/>
          <w:lang w:val="en-US" w:eastAsia="zh-CN"/>
        </w:rPr>
        <w:t>监测项目</w:t>
      </w:r>
    </w:p>
    <w:p w14:paraId="6FE8F7D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建设用地监测因子：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茚并[1,2,3-cd]芘、萘、石油烃共46项。</w:t>
      </w:r>
    </w:p>
    <w:p w14:paraId="5FF6F98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5.2.4.3</w:t>
      </w:r>
      <w:r>
        <w:rPr>
          <w:rFonts w:hint="default" w:ascii="Times New Roman" w:hAnsi="Times New Roman" w:eastAsia="宋体" w:cs="Times New Roman"/>
          <w:b/>
          <w:bCs w:val="0"/>
          <w:color w:val="auto"/>
          <w:sz w:val="24"/>
          <w:szCs w:val="24"/>
          <w:lang w:val="en-US" w:eastAsia="zh-CN"/>
        </w:rPr>
        <w:t xml:space="preserve"> 监测时间</w:t>
      </w:r>
    </w:p>
    <w:p w14:paraId="2BEB964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监测时间为</w:t>
      </w:r>
      <w:r>
        <w:rPr>
          <w:rFonts w:hint="default" w:ascii="Times New Roman" w:hAnsi="Times New Roman" w:eastAsia="宋体" w:cs="Times New Roman"/>
          <w:color w:val="auto"/>
          <w:lang w:val="en-US" w:eastAsia="zh-CN"/>
        </w:rPr>
        <w:t>202</w:t>
      </w:r>
      <w:r>
        <w:rPr>
          <w:rFonts w:hint="eastAsia" w:ascii="Times New Roman" w:hAnsi="Times New Roman" w:eastAsia="宋体" w:cs="Times New Roman"/>
          <w:color w:val="auto"/>
          <w:lang w:val="en-US" w:eastAsia="zh-CN"/>
        </w:rPr>
        <w:t>6</w:t>
      </w:r>
      <w:r>
        <w:rPr>
          <w:rFonts w:hint="default" w:ascii="Times New Roman" w:hAnsi="Times New Roman" w:eastAsia="宋体" w:cs="Times New Roman"/>
          <w:color w:val="auto"/>
          <w:lang w:val="en-US" w:eastAsia="zh-CN"/>
        </w:rPr>
        <w:t>年</w:t>
      </w:r>
      <w:r>
        <w:rPr>
          <w:rFonts w:hint="eastAsia" w:ascii="Times New Roman" w:hAnsi="Times New Roman" w:eastAsia="宋体" w:cs="Times New Roman"/>
          <w:color w:val="auto"/>
          <w:lang w:val="en-US" w:eastAsia="zh-CN"/>
        </w:rPr>
        <w:t>3</w:t>
      </w:r>
      <w:r>
        <w:rPr>
          <w:rFonts w:hint="default" w:ascii="Times New Roman" w:hAnsi="Times New Roman" w:eastAsia="宋体" w:cs="Times New Roman"/>
          <w:color w:val="auto"/>
          <w:lang w:val="en-US" w:eastAsia="zh-CN"/>
        </w:rPr>
        <w:t>月</w:t>
      </w:r>
      <w:r>
        <w:rPr>
          <w:rFonts w:hint="eastAsia" w:ascii="Times New Roman" w:hAnsi="Times New Roman" w:eastAsia="宋体" w:cs="Times New Roman"/>
          <w:color w:val="auto"/>
          <w:lang w:val="en-US" w:eastAsia="zh-CN"/>
        </w:rPr>
        <w:t>23</w:t>
      </w:r>
      <w:r>
        <w:rPr>
          <w:rFonts w:hint="default" w:ascii="Times New Roman" w:hAnsi="Times New Roman" w:eastAsia="宋体" w:cs="Times New Roman"/>
          <w:color w:val="auto"/>
          <w:lang w:val="en-US" w:eastAsia="zh-CN"/>
        </w:rPr>
        <w:t>日进行监测，监测1天，一天一次。</w:t>
      </w:r>
    </w:p>
    <w:p w14:paraId="54525E7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5.2.4.4</w:t>
      </w:r>
      <w:r>
        <w:rPr>
          <w:rFonts w:hint="default" w:ascii="Times New Roman" w:hAnsi="Times New Roman" w:eastAsia="宋体" w:cs="Times New Roman"/>
          <w:b/>
          <w:bCs w:val="0"/>
          <w:color w:val="auto"/>
          <w:sz w:val="24"/>
          <w:szCs w:val="24"/>
          <w:lang w:val="en-US" w:eastAsia="zh-CN"/>
        </w:rPr>
        <w:t xml:space="preserve"> 监测单位</w:t>
      </w:r>
    </w:p>
    <w:p w14:paraId="71883C1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益铭检测技术服务（青岛）有限公司</w:t>
      </w:r>
    </w:p>
    <w:p w14:paraId="57BAB11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5.2.4.</w:t>
      </w:r>
      <w:r>
        <w:rPr>
          <w:rFonts w:hint="default" w:ascii="Times New Roman" w:hAnsi="Times New Roman" w:eastAsia="宋体" w:cs="Times New Roman"/>
          <w:b/>
          <w:bCs w:val="0"/>
          <w:color w:val="auto"/>
          <w:sz w:val="24"/>
          <w:szCs w:val="24"/>
          <w:lang w:val="en-US" w:eastAsia="zh-CN"/>
        </w:rPr>
        <w:t>5 土壤理化特性调查</w:t>
      </w:r>
    </w:p>
    <w:p w14:paraId="1ED60BB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本项目所在区域土壤理化特性见表</w:t>
      </w:r>
      <w:r>
        <w:rPr>
          <w:rFonts w:hint="eastAsia" w:ascii="Times New Roman" w:hAnsi="Times New Roman" w:eastAsia="宋体" w:cs="Times New Roman"/>
          <w:color w:val="auto"/>
          <w:lang w:val="en-US" w:eastAsia="zh-CN"/>
        </w:rPr>
        <w:t>5.2-10</w:t>
      </w:r>
      <w:r>
        <w:rPr>
          <w:rFonts w:hint="default" w:ascii="Times New Roman" w:hAnsi="Times New Roman" w:eastAsia="宋体" w:cs="Times New Roman"/>
          <w:color w:val="auto"/>
          <w:lang w:val="en-US" w:eastAsia="zh-CN"/>
        </w:rPr>
        <w:t>。</w:t>
      </w:r>
    </w:p>
    <w:p w14:paraId="2141EFC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10</w:t>
      </w:r>
      <w:r>
        <w:rPr>
          <w:rFonts w:hint="default" w:ascii="Times New Roman" w:hAnsi="Times New Roman" w:eastAsia="宋体" w:cs="Times New Roman"/>
          <w:b/>
          <w:bCs/>
          <w:color w:val="auto"/>
          <w:sz w:val="24"/>
          <w:szCs w:val="24"/>
          <w:lang w:val="en-US" w:eastAsia="zh-CN"/>
        </w:rPr>
        <w:t xml:space="preserve">  土壤理化特性调查表</w:t>
      </w:r>
    </w:p>
    <w:tbl>
      <w:tblPr>
        <w:tblStyle w:val="41"/>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
        <w:gridCol w:w="2465"/>
        <w:gridCol w:w="1823"/>
        <w:gridCol w:w="1825"/>
        <w:gridCol w:w="1826"/>
      </w:tblGrid>
      <w:tr w14:paraId="5B39A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05" w:type="pct"/>
            <w:gridSpan w:val="2"/>
            <w:tcBorders>
              <w:tl2br w:val="nil"/>
              <w:tr2bl w:val="nil"/>
            </w:tcBorders>
            <w:noWrap w:val="0"/>
            <w:vAlign w:val="center"/>
          </w:tcPr>
          <w:p w14:paraId="10FFF9F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点号</w:t>
            </w:r>
          </w:p>
        </w:tc>
        <w:tc>
          <w:tcPr>
            <w:tcW w:w="1030" w:type="pct"/>
            <w:tcBorders>
              <w:tl2br w:val="nil"/>
              <w:tr2bl w:val="nil"/>
            </w:tcBorders>
            <w:noWrap w:val="0"/>
            <w:vAlign w:val="center"/>
          </w:tcPr>
          <w:p w14:paraId="61F05D3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表层样</w:t>
            </w:r>
            <w:r>
              <w:rPr>
                <w:rFonts w:hint="default" w:ascii="Times New Roman" w:hAnsi="Times New Roman" w:cs="Times New Roman"/>
                <w:color w:val="auto"/>
                <w:sz w:val="21"/>
                <w:szCs w:val="21"/>
                <w:highlight w:val="none"/>
                <w:lang w:val="en-US" w:eastAsia="zh-CN"/>
              </w:rPr>
              <w:t>）</w:t>
            </w:r>
          </w:p>
        </w:tc>
        <w:tc>
          <w:tcPr>
            <w:tcW w:w="1031" w:type="pct"/>
            <w:tcBorders>
              <w:tl2br w:val="nil"/>
              <w:tr2bl w:val="nil"/>
            </w:tcBorders>
            <w:noWrap w:val="0"/>
            <w:vAlign w:val="center"/>
          </w:tcPr>
          <w:p w14:paraId="176C144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表层样</w:t>
            </w:r>
            <w:r>
              <w:rPr>
                <w:rFonts w:hint="default" w:ascii="Times New Roman" w:hAnsi="Times New Roman" w:cs="Times New Roman"/>
                <w:color w:val="auto"/>
                <w:sz w:val="21"/>
                <w:szCs w:val="21"/>
                <w:highlight w:val="none"/>
                <w:lang w:val="en-US" w:eastAsia="zh-CN"/>
              </w:rPr>
              <w:t>）</w:t>
            </w:r>
          </w:p>
        </w:tc>
        <w:tc>
          <w:tcPr>
            <w:tcW w:w="1032" w:type="pct"/>
            <w:tcBorders>
              <w:tl2br w:val="nil"/>
              <w:tr2bl w:val="nil"/>
            </w:tcBorders>
            <w:noWrap w:val="0"/>
            <w:vAlign w:val="center"/>
          </w:tcPr>
          <w:p w14:paraId="2A1D782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表层样</w:t>
            </w:r>
            <w:r>
              <w:rPr>
                <w:rFonts w:hint="default" w:ascii="Times New Roman" w:hAnsi="Times New Roman" w:cs="Times New Roman"/>
                <w:color w:val="auto"/>
                <w:sz w:val="21"/>
                <w:szCs w:val="21"/>
                <w:highlight w:val="none"/>
                <w:lang w:val="en-US" w:eastAsia="zh-CN"/>
              </w:rPr>
              <w:t>）</w:t>
            </w:r>
          </w:p>
        </w:tc>
      </w:tr>
      <w:tr w14:paraId="791B0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05" w:type="pct"/>
            <w:gridSpan w:val="2"/>
            <w:tcBorders>
              <w:tl2br w:val="nil"/>
              <w:tr2bl w:val="nil"/>
            </w:tcBorders>
            <w:noWrap w:val="0"/>
            <w:vAlign w:val="center"/>
          </w:tcPr>
          <w:p w14:paraId="1B51F051">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层次</w:t>
            </w:r>
          </w:p>
        </w:tc>
        <w:tc>
          <w:tcPr>
            <w:tcW w:w="1030" w:type="pct"/>
            <w:tcBorders>
              <w:tl2br w:val="nil"/>
              <w:tr2bl w:val="nil"/>
            </w:tcBorders>
            <w:noWrap w:val="0"/>
            <w:vAlign w:val="center"/>
          </w:tcPr>
          <w:p w14:paraId="5245D35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0.2</w:t>
            </w:r>
            <w:r>
              <w:rPr>
                <w:rFonts w:hint="default" w:ascii="Times New Roman" w:hAnsi="Times New Roman" w:cs="Times New Roman"/>
                <w:color w:val="auto"/>
                <w:sz w:val="21"/>
                <w:szCs w:val="21"/>
                <w:highlight w:val="none"/>
                <w:lang w:val="en-US" w:eastAsia="zh-CN"/>
              </w:rPr>
              <w:t>m</w:t>
            </w:r>
          </w:p>
        </w:tc>
        <w:tc>
          <w:tcPr>
            <w:tcW w:w="1031" w:type="pct"/>
            <w:tcBorders>
              <w:tl2br w:val="nil"/>
              <w:tr2bl w:val="nil"/>
            </w:tcBorders>
            <w:noWrap w:val="0"/>
            <w:vAlign w:val="center"/>
          </w:tcPr>
          <w:p w14:paraId="521485E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0.2</w:t>
            </w:r>
            <w:r>
              <w:rPr>
                <w:rFonts w:hint="default" w:ascii="Times New Roman" w:hAnsi="Times New Roman" w:cs="Times New Roman"/>
                <w:color w:val="auto"/>
                <w:sz w:val="21"/>
                <w:szCs w:val="21"/>
                <w:highlight w:val="none"/>
                <w:lang w:val="en-US" w:eastAsia="zh-CN"/>
              </w:rPr>
              <w:t>m</w:t>
            </w:r>
          </w:p>
        </w:tc>
        <w:tc>
          <w:tcPr>
            <w:tcW w:w="1032" w:type="pct"/>
            <w:tcBorders>
              <w:tl2br w:val="nil"/>
              <w:tr2bl w:val="nil"/>
            </w:tcBorders>
            <w:noWrap w:val="0"/>
            <w:vAlign w:val="center"/>
          </w:tcPr>
          <w:p w14:paraId="4917B4C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0.2</w:t>
            </w:r>
            <w:r>
              <w:rPr>
                <w:rFonts w:hint="default" w:ascii="Times New Roman" w:hAnsi="Times New Roman" w:cs="Times New Roman"/>
                <w:color w:val="auto"/>
                <w:sz w:val="21"/>
                <w:szCs w:val="21"/>
                <w:highlight w:val="none"/>
                <w:lang w:val="en-US" w:eastAsia="zh-CN"/>
              </w:rPr>
              <w:t>m</w:t>
            </w:r>
          </w:p>
        </w:tc>
      </w:tr>
      <w:tr w14:paraId="6DDE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restart"/>
            <w:tcBorders>
              <w:tl2br w:val="nil"/>
              <w:tr2bl w:val="nil"/>
            </w:tcBorders>
            <w:noWrap w:val="0"/>
            <w:vAlign w:val="center"/>
          </w:tcPr>
          <w:p w14:paraId="0F624AE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现场记录</w:t>
            </w:r>
          </w:p>
        </w:tc>
        <w:tc>
          <w:tcPr>
            <w:tcW w:w="1393" w:type="pct"/>
            <w:tcBorders>
              <w:tl2br w:val="nil"/>
              <w:tr2bl w:val="nil"/>
            </w:tcBorders>
            <w:noWrap w:val="0"/>
            <w:vAlign w:val="center"/>
          </w:tcPr>
          <w:p w14:paraId="34A8A60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颜色</w:t>
            </w:r>
          </w:p>
        </w:tc>
        <w:tc>
          <w:tcPr>
            <w:tcW w:w="1030" w:type="pct"/>
            <w:tcBorders>
              <w:tl2br w:val="nil"/>
              <w:tr2bl w:val="nil"/>
            </w:tcBorders>
            <w:noWrap w:val="0"/>
            <w:vAlign w:val="center"/>
          </w:tcPr>
          <w:p w14:paraId="10C1A48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黄棕色</w:t>
            </w:r>
          </w:p>
        </w:tc>
        <w:tc>
          <w:tcPr>
            <w:tcW w:w="1031" w:type="pct"/>
            <w:tcBorders>
              <w:tl2br w:val="nil"/>
              <w:tr2bl w:val="nil"/>
            </w:tcBorders>
            <w:noWrap w:val="0"/>
            <w:vAlign w:val="center"/>
          </w:tcPr>
          <w:p w14:paraId="2C69BA2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黄棕色</w:t>
            </w:r>
          </w:p>
        </w:tc>
        <w:tc>
          <w:tcPr>
            <w:tcW w:w="1032" w:type="pct"/>
            <w:tcBorders>
              <w:tl2br w:val="nil"/>
              <w:tr2bl w:val="nil"/>
            </w:tcBorders>
            <w:noWrap w:val="0"/>
            <w:vAlign w:val="center"/>
          </w:tcPr>
          <w:p w14:paraId="71E2C55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黄棕色</w:t>
            </w:r>
          </w:p>
        </w:tc>
      </w:tr>
      <w:tr w14:paraId="69DC2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337770D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noWrap w:val="0"/>
            <w:vAlign w:val="center"/>
          </w:tcPr>
          <w:p w14:paraId="5EE1E1D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结构</w:t>
            </w:r>
          </w:p>
        </w:tc>
        <w:tc>
          <w:tcPr>
            <w:tcW w:w="1030" w:type="pct"/>
            <w:tcBorders>
              <w:tl2br w:val="nil"/>
              <w:tr2bl w:val="nil"/>
            </w:tcBorders>
            <w:noWrap w:val="0"/>
            <w:vAlign w:val="center"/>
          </w:tcPr>
          <w:p w14:paraId="6BF784D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团粒状</w:t>
            </w:r>
          </w:p>
        </w:tc>
        <w:tc>
          <w:tcPr>
            <w:tcW w:w="1031" w:type="pct"/>
            <w:tcBorders>
              <w:tl2br w:val="nil"/>
              <w:tr2bl w:val="nil"/>
            </w:tcBorders>
            <w:noWrap w:val="0"/>
            <w:vAlign w:val="center"/>
          </w:tcPr>
          <w:p w14:paraId="3A81D00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团粒状</w:t>
            </w:r>
          </w:p>
        </w:tc>
        <w:tc>
          <w:tcPr>
            <w:tcW w:w="1032" w:type="pct"/>
            <w:tcBorders>
              <w:tl2br w:val="nil"/>
              <w:tr2bl w:val="nil"/>
            </w:tcBorders>
            <w:noWrap w:val="0"/>
            <w:vAlign w:val="center"/>
          </w:tcPr>
          <w:p w14:paraId="12FE8A6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团粒状</w:t>
            </w:r>
          </w:p>
        </w:tc>
      </w:tr>
      <w:tr w14:paraId="694AC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73CD779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noWrap w:val="0"/>
            <w:vAlign w:val="center"/>
          </w:tcPr>
          <w:p w14:paraId="317B7F4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质地</w:t>
            </w:r>
          </w:p>
        </w:tc>
        <w:tc>
          <w:tcPr>
            <w:tcW w:w="1030" w:type="pct"/>
            <w:tcBorders>
              <w:tl2br w:val="nil"/>
              <w:tr2bl w:val="nil"/>
            </w:tcBorders>
            <w:noWrap w:val="0"/>
            <w:vAlign w:val="center"/>
          </w:tcPr>
          <w:p w14:paraId="2B313AD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轻壤土</w:t>
            </w:r>
          </w:p>
        </w:tc>
        <w:tc>
          <w:tcPr>
            <w:tcW w:w="1031" w:type="pct"/>
            <w:tcBorders>
              <w:tl2br w:val="nil"/>
              <w:tr2bl w:val="nil"/>
            </w:tcBorders>
            <w:noWrap w:val="0"/>
            <w:vAlign w:val="center"/>
          </w:tcPr>
          <w:p w14:paraId="5B0366C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轻壤土</w:t>
            </w:r>
          </w:p>
        </w:tc>
        <w:tc>
          <w:tcPr>
            <w:tcW w:w="1032" w:type="pct"/>
            <w:tcBorders>
              <w:tl2br w:val="nil"/>
              <w:tr2bl w:val="nil"/>
            </w:tcBorders>
            <w:noWrap w:val="0"/>
            <w:vAlign w:val="center"/>
          </w:tcPr>
          <w:p w14:paraId="633E40E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轻壤土</w:t>
            </w:r>
          </w:p>
        </w:tc>
      </w:tr>
      <w:tr w14:paraId="5C62F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2AEA8B0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noWrap w:val="0"/>
            <w:vAlign w:val="center"/>
          </w:tcPr>
          <w:p w14:paraId="3C23F94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砂砾含量</w:t>
            </w:r>
          </w:p>
        </w:tc>
        <w:tc>
          <w:tcPr>
            <w:tcW w:w="1030" w:type="pct"/>
            <w:tcBorders>
              <w:tl2br w:val="nil"/>
              <w:tr2bl w:val="nil"/>
            </w:tcBorders>
            <w:noWrap w:val="0"/>
            <w:vAlign w:val="center"/>
          </w:tcPr>
          <w:p w14:paraId="6F3377FE">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小于5%</w:t>
            </w:r>
          </w:p>
        </w:tc>
        <w:tc>
          <w:tcPr>
            <w:tcW w:w="1031" w:type="pct"/>
            <w:tcBorders>
              <w:tl2br w:val="nil"/>
              <w:tr2bl w:val="nil"/>
            </w:tcBorders>
            <w:noWrap w:val="0"/>
            <w:vAlign w:val="center"/>
          </w:tcPr>
          <w:p w14:paraId="18F2351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小于5%</w:t>
            </w:r>
          </w:p>
        </w:tc>
        <w:tc>
          <w:tcPr>
            <w:tcW w:w="1032" w:type="pct"/>
            <w:tcBorders>
              <w:tl2br w:val="nil"/>
              <w:tr2bl w:val="nil"/>
            </w:tcBorders>
            <w:noWrap w:val="0"/>
            <w:vAlign w:val="center"/>
          </w:tcPr>
          <w:p w14:paraId="59CF815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小于5%</w:t>
            </w:r>
          </w:p>
        </w:tc>
      </w:tr>
      <w:tr w14:paraId="75C55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65FEFF1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noWrap w:val="0"/>
            <w:vAlign w:val="center"/>
          </w:tcPr>
          <w:p w14:paraId="4E11CC8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其他异物</w:t>
            </w:r>
          </w:p>
        </w:tc>
        <w:tc>
          <w:tcPr>
            <w:tcW w:w="1030" w:type="pct"/>
            <w:tcBorders>
              <w:tl2br w:val="nil"/>
              <w:tr2bl w:val="nil"/>
            </w:tcBorders>
            <w:noWrap w:val="0"/>
            <w:vAlign w:val="center"/>
          </w:tcPr>
          <w:p w14:paraId="6D96E56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少量</w:t>
            </w:r>
          </w:p>
        </w:tc>
        <w:tc>
          <w:tcPr>
            <w:tcW w:w="1031" w:type="pct"/>
            <w:tcBorders>
              <w:tl2br w:val="nil"/>
              <w:tr2bl w:val="nil"/>
            </w:tcBorders>
            <w:noWrap w:val="0"/>
            <w:vAlign w:val="center"/>
          </w:tcPr>
          <w:p w14:paraId="185DDF7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少量</w:t>
            </w:r>
          </w:p>
        </w:tc>
        <w:tc>
          <w:tcPr>
            <w:tcW w:w="1032" w:type="pct"/>
            <w:tcBorders>
              <w:tl2br w:val="nil"/>
              <w:tr2bl w:val="nil"/>
            </w:tcBorders>
            <w:noWrap w:val="0"/>
            <w:vAlign w:val="center"/>
          </w:tcPr>
          <w:p w14:paraId="06BFDADC">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少量</w:t>
            </w:r>
          </w:p>
        </w:tc>
      </w:tr>
      <w:tr w14:paraId="55E0E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restart"/>
            <w:tcBorders>
              <w:tl2br w:val="nil"/>
              <w:tr2bl w:val="nil"/>
            </w:tcBorders>
            <w:noWrap w:val="0"/>
            <w:vAlign w:val="center"/>
          </w:tcPr>
          <w:p w14:paraId="562B577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实验室测定</w:t>
            </w:r>
          </w:p>
        </w:tc>
        <w:tc>
          <w:tcPr>
            <w:tcW w:w="1393" w:type="pct"/>
            <w:tcBorders>
              <w:tl2br w:val="nil"/>
              <w:tr2bl w:val="nil"/>
            </w:tcBorders>
            <w:noWrap w:val="0"/>
            <w:vAlign w:val="center"/>
          </w:tcPr>
          <w:p w14:paraId="4ACB7906">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pH值（无量纲）</w:t>
            </w:r>
          </w:p>
        </w:tc>
        <w:tc>
          <w:tcPr>
            <w:tcW w:w="1030" w:type="pct"/>
            <w:tcBorders>
              <w:tl2br w:val="nil"/>
              <w:tr2bl w:val="nil"/>
            </w:tcBorders>
            <w:noWrap w:val="0"/>
            <w:vAlign w:val="center"/>
          </w:tcPr>
          <w:p w14:paraId="3116332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7.78</w:t>
            </w:r>
          </w:p>
        </w:tc>
        <w:tc>
          <w:tcPr>
            <w:tcW w:w="1031" w:type="pct"/>
            <w:tcBorders>
              <w:tl2br w:val="nil"/>
              <w:tr2bl w:val="nil"/>
            </w:tcBorders>
            <w:noWrap w:val="0"/>
            <w:vAlign w:val="center"/>
          </w:tcPr>
          <w:p w14:paraId="21882BC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8.09</w:t>
            </w:r>
          </w:p>
        </w:tc>
        <w:tc>
          <w:tcPr>
            <w:tcW w:w="1032" w:type="pct"/>
            <w:tcBorders>
              <w:tl2br w:val="nil"/>
              <w:tr2bl w:val="nil"/>
            </w:tcBorders>
            <w:noWrap w:val="0"/>
            <w:vAlign w:val="center"/>
          </w:tcPr>
          <w:p w14:paraId="0F34070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8.01</w:t>
            </w:r>
          </w:p>
        </w:tc>
      </w:tr>
      <w:tr w14:paraId="41479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5D41BED2">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noWrap w:val="0"/>
            <w:vAlign w:val="center"/>
          </w:tcPr>
          <w:p w14:paraId="1A5C61F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阳离子交换量（cmol/kg）</w:t>
            </w:r>
          </w:p>
        </w:tc>
        <w:tc>
          <w:tcPr>
            <w:tcW w:w="1030" w:type="pct"/>
            <w:tcBorders>
              <w:tl2br w:val="nil"/>
              <w:tr2bl w:val="nil"/>
            </w:tcBorders>
            <w:noWrap w:val="0"/>
            <w:vAlign w:val="center"/>
          </w:tcPr>
          <w:p w14:paraId="58FDB52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9.2</w:t>
            </w:r>
          </w:p>
        </w:tc>
        <w:tc>
          <w:tcPr>
            <w:tcW w:w="1031" w:type="pct"/>
            <w:tcBorders>
              <w:tl2br w:val="nil"/>
              <w:tr2bl w:val="nil"/>
            </w:tcBorders>
            <w:noWrap w:val="0"/>
            <w:vAlign w:val="center"/>
          </w:tcPr>
          <w:p w14:paraId="331880DF">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w:t>
            </w:r>
          </w:p>
        </w:tc>
        <w:tc>
          <w:tcPr>
            <w:tcW w:w="1032" w:type="pct"/>
            <w:tcBorders>
              <w:tl2br w:val="nil"/>
              <w:tr2bl w:val="nil"/>
            </w:tcBorders>
            <w:noWrap w:val="0"/>
            <w:vAlign w:val="center"/>
          </w:tcPr>
          <w:p w14:paraId="309B03F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10.7</w:t>
            </w:r>
          </w:p>
        </w:tc>
      </w:tr>
      <w:tr w14:paraId="04835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618869B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noWrap w:val="0"/>
            <w:vAlign w:val="center"/>
          </w:tcPr>
          <w:p w14:paraId="358A5AC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氧化还原电位（m</w:t>
            </w:r>
            <w:r>
              <w:rPr>
                <w:rFonts w:hint="eastAsia" w:ascii="Times New Roman" w:hAnsi="Times New Roman" w:cs="Times New Roman"/>
                <w:color w:val="auto"/>
                <w:sz w:val="21"/>
                <w:szCs w:val="21"/>
                <w:highlight w:val="none"/>
                <w:lang w:val="en-US" w:eastAsia="zh-CN"/>
              </w:rPr>
              <w:t>V</w:t>
            </w:r>
            <w:r>
              <w:rPr>
                <w:rFonts w:hint="default" w:ascii="Times New Roman" w:hAnsi="Times New Roman" w:cs="Times New Roman"/>
                <w:color w:val="auto"/>
                <w:sz w:val="21"/>
                <w:szCs w:val="21"/>
                <w:highlight w:val="none"/>
                <w:lang w:val="en-US" w:eastAsia="zh-CN"/>
              </w:rPr>
              <w:t>）</w:t>
            </w:r>
          </w:p>
        </w:tc>
        <w:tc>
          <w:tcPr>
            <w:tcW w:w="1030" w:type="pct"/>
            <w:tcBorders>
              <w:tl2br w:val="nil"/>
              <w:tr2bl w:val="nil"/>
            </w:tcBorders>
            <w:noWrap w:val="0"/>
            <w:vAlign w:val="center"/>
          </w:tcPr>
          <w:p w14:paraId="1FC3B63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449</w:t>
            </w:r>
          </w:p>
        </w:tc>
        <w:tc>
          <w:tcPr>
            <w:tcW w:w="1031" w:type="pct"/>
            <w:tcBorders>
              <w:tl2br w:val="nil"/>
              <w:tr2bl w:val="nil"/>
            </w:tcBorders>
            <w:noWrap w:val="0"/>
            <w:vAlign w:val="center"/>
          </w:tcPr>
          <w:p w14:paraId="0E81A50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448</w:t>
            </w:r>
          </w:p>
        </w:tc>
        <w:tc>
          <w:tcPr>
            <w:tcW w:w="1032" w:type="pct"/>
            <w:tcBorders>
              <w:tl2br w:val="nil"/>
              <w:tr2bl w:val="nil"/>
            </w:tcBorders>
            <w:noWrap w:val="0"/>
            <w:vAlign w:val="center"/>
          </w:tcPr>
          <w:p w14:paraId="4845EEB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458</w:t>
            </w:r>
          </w:p>
        </w:tc>
      </w:tr>
      <w:tr w14:paraId="128A1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5612E37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noWrap w:val="0"/>
            <w:vAlign w:val="center"/>
          </w:tcPr>
          <w:p w14:paraId="2F737D3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饱和导水率（cm/s）</w:t>
            </w:r>
          </w:p>
        </w:tc>
        <w:tc>
          <w:tcPr>
            <w:tcW w:w="1030" w:type="pct"/>
            <w:tcBorders>
              <w:tl2br w:val="nil"/>
              <w:tr2bl w:val="nil"/>
            </w:tcBorders>
            <w:noWrap w:val="0"/>
            <w:vAlign w:val="center"/>
          </w:tcPr>
          <w:p w14:paraId="41EEF67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1.63</w:t>
            </w:r>
          </w:p>
        </w:tc>
        <w:tc>
          <w:tcPr>
            <w:tcW w:w="1031" w:type="pct"/>
            <w:tcBorders>
              <w:tl2br w:val="nil"/>
              <w:tr2bl w:val="nil"/>
            </w:tcBorders>
            <w:noWrap w:val="0"/>
            <w:vAlign w:val="center"/>
          </w:tcPr>
          <w:p w14:paraId="4233857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1.81</w:t>
            </w:r>
          </w:p>
        </w:tc>
        <w:tc>
          <w:tcPr>
            <w:tcW w:w="1032" w:type="pct"/>
            <w:tcBorders>
              <w:tl2br w:val="nil"/>
              <w:tr2bl w:val="nil"/>
            </w:tcBorders>
            <w:noWrap w:val="0"/>
            <w:vAlign w:val="center"/>
          </w:tcPr>
          <w:p w14:paraId="2F309C2D">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1.70</w:t>
            </w:r>
          </w:p>
        </w:tc>
      </w:tr>
      <w:tr w14:paraId="42C3C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417300C4">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shd w:val="clear" w:color="auto" w:fill="auto"/>
            <w:noWrap w:val="0"/>
            <w:vAlign w:val="center"/>
          </w:tcPr>
          <w:p w14:paraId="39EDFA70">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土壤容重（g/cm</w:t>
            </w:r>
            <w:r>
              <w:rPr>
                <w:rFonts w:hint="default"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lang w:val="en-US" w:eastAsia="zh-CN"/>
              </w:rPr>
              <w:t>）</w:t>
            </w:r>
          </w:p>
        </w:tc>
        <w:tc>
          <w:tcPr>
            <w:tcW w:w="1030" w:type="pct"/>
            <w:tcBorders>
              <w:tl2br w:val="nil"/>
              <w:tr2bl w:val="nil"/>
            </w:tcBorders>
            <w:shd w:val="clear" w:color="auto" w:fill="auto"/>
            <w:noWrap w:val="0"/>
            <w:vAlign w:val="center"/>
          </w:tcPr>
          <w:p w14:paraId="7D1D048B">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1.41</w:t>
            </w:r>
          </w:p>
        </w:tc>
        <w:tc>
          <w:tcPr>
            <w:tcW w:w="1031" w:type="pct"/>
            <w:tcBorders>
              <w:tl2br w:val="nil"/>
              <w:tr2bl w:val="nil"/>
            </w:tcBorders>
            <w:shd w:val="clear" w:color="auto" w:fill="auto"/>
            <w:noWrap w:val="0"/>
            <w:vAlign w:val="center"/>
          </w:tcPr>
          <w:p w14:paraId="51891D2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1.44</w:t>
            </w:r>
          </w:p>
        </w:tc>
        <w:tc>
          <w:tcPr>
            <w:tcW w:w="1032" w:type="pct"/>
            <w:tcBorders>
              <w:tl2br w:val="nil"/>
              <w:tr2bl w:val="nil"/>
            </w:tcBorders>
            <w:shd w:val="clear" w:color="auto" w:fill="auto"/>
            <w:noWrap w:val="0"/>
            <w:vAlign w:val="center"/>
          </w:tcPr>
          <w:p w14:paraId="775D2D15">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1.39</w:t>
            </w:r>
          </w:p>
        </w:tc>
      </w:tr>
      <w:tr w14:paraId="2F311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12" w:type="pct"/>
            <w:vMerge w:val="continue"/>
            <w:tcBorders>
              <w:tl2br w:val="nil"/>
              <w:tr2bl w:val="nil"/>
            </w:tcBorders>
            <w:noWrap w:val="0"/>
            <w:vAlign w:val="center"/>
          </w:tcPr>
          <w:p w14:paraId="6B8325C9">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393" w:type="pct"/>
            <w:tcBorders>
              <w:tl2br w:val="nil"/>
              <w:tr2bl w:val="nil"/>
            </w:tcBorders>
            <w:shd w:val="clear" w:color="auto" w:fill="auto"/>
            <w:noWrap w:val="0"/>
            <w:vAlign w:val="center"/>
          </w:tcPr>
          <w:p w14:paraId="0CFC7DCA">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孔隙度（%）</w:t>
            </w:r>
          </w:p>
        </w:tc>
        <w:tc>
          <w:tcPr>
            <w:tcW w:w="1030" w:type="pct"/>
            <w:tcBorders>
              <w:tl2br w:val="nil"/>
              <w:tr2bl w:val="nil"/>
            </w:tcBorders>
            <w:shd w:val="clear" w:color="auto" w:fill="auto"/>
            <w:noWrap w:val="0"/>
            <w:vAlign w:val="center"/>
          </w:tcPr>
          <w:p w14:paraId="5DEDD833">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48.2</w:t>
            </w:r>
          </w:p>
        </w:tc>
        <w:tc>
          <w:tcPr>
            <w:tcW w:w="1031" w:type="pct"/>
            <w:tcBorders>
              <w:tl2br w:val="nil"/>
              <w:tr2bl w:val="nil"/>
            </w:tcBorders>
            <w:shd w:val="clear" w:color="auto" w:fill="auto"/>
            <w:noWrap w:val="0"/>
            <w:vAlign w:val="center"/>
          </w:tcPr>
          <w:p w14:paraId="530DA077">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44.7</w:t>
            </w:r>
          </w:p>
        </w:tc>
        <w:tc>
          <w:tcPr>
            <w:tcW w:w="1032" w:type="pct"/>
            <w:tcBorders>
              <w:tl2br w:val="nil"/>
              <w:tr2bl w:val="nil"/>
            </w:tcBorders>
            <w:shd w:val="clear" w:color="auto" w:fill="auto"/>
            <w:noWrap w:val="0"/>
            <w:vAlign w:val="center"/>
          </w:tcPr>
          <w:p w14:paraId="59915D78">
            <w:pPr>
              <w:pStyle w:val="3"/>
              <w:keepNext w:val="0"/>
              <w:keepLines w:val="0"/>
              <w:pageBreakBefore w:val="0"/>
              <w:widowControl w:val="0"/>
              <w:kinsoku/>
              <w:wordWrap/>
              <w:overflowPunct/>
              <w:topLinePunct w:val="0"/>
              <w:autoSpaceDE/>
              <w:autoSpaceDN/>
              <w:bidi w:val="0"/>
              <w:adjustRightInd/>
              <w:snapToGrid/>
              <w:spacing w:after="0" w:line="28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48.1</w:t>
            </w:r>
          </w:p>
        </w:tc>
      </w:tr>
    </w:tbl>
    <w:p w14:paraId="0FCBD86C">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5.2.4.6</w:t>
      </w:r>
      <w:r>
        <w:rPr>
          <w:rFonts w:hint="default" w:ascii="Times New Roman" w:hAnsi="Times New Roman" w:eastAsia="宋体" w:cs="Times New Roman"/>
          <w:b/>
          <w:bCs w:val="0"/>
          <w:color w:val="auto"/>
          <w:sz w:val="24"/>
          <w:szCs w:val="24"/>
          <w:lang w:val="en-US" w:eastAsia="zh-CN"/>
        </w:rPr>
        <w:t xml:space="preserve"> 现状监测结果</w:t>
      </w:r>
    </w:p>
    <w:p w14:paraId="0A96E127">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土壤环境现状监测结果见表</w:t>
      </w:r>
      <w:r>
        <w:rPr>
          <w:rFonts w:hint="eastAsia" w:ascii="Times New Roman" w:hAnsi="Times New Roman" w:eastAsia="宋体" w:cs="Times New Roman"/>
          <w:color w:val="auto"/>
          <w:lang w:val="en-US" w:eastAsia="zh-CN"/>
        </w:rPr>
        <w:t>5.2</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11</w:t>
      </w:r>
      <w:r>
        <w:rPr>
          <w:rFonts w:hint="default" w:ascii="Times New Roman" w:hAnsi="Times New Roman" w:eastAsia="宋体" w:cs="Times New Roman"/>
          <w:color w:val="auto"/>
          <w:lang w:val="en-US" w:eastAsia="zh-CN"/>
        </w:rPr>
        <w:t>。</w:t>
      </w:r>
    </w:p>
    <w:p w14:paraId="4684DA2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5.2</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11</w:t>
      </w:r>
      <w:r>
        <w:rPr>
          <w:rFonts w:hint="default" w:ascii="Times New Roman" w:hAnsi="Times New Roman" w:eastAsia="宋体" w:cs="Times New Roman"/>
          <w:b/>
          <w:bCs/>
          <w:color w:val="auto"/>
          <w:sz w:val="24"/>
          <w:szCs w:val="24"/>
          <w:lang w:val="en-US" w:eastAsia="zh-CN"/>
        </w:rPr>
        <w:t xml:space="preserve">  土壤监测结果表  单位：mg/kg（pH值无量纲）</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8"/>
        <w:gridCol w:w="2210"/>
        <w:gridCol w:w="2212"/>
        <w:gridCol w:w="2215"/>
      </w:tblGrid>
      <w:tr w14:paraId="4117D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vMerge w:val="restart"/>
            <w:tcBorders>
              <w:tl2br w:val="nil"/>
              <w:tr2bl w:val="nil"/>
            </w:tcBorders>
            <w:noWrap w:val="0"/>
            <w:vAlign w:val="center"/>
          </w:tcPr>
          <w:p w14:paraId="0063386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检测项目</w:t>
            </w:r>
          </w:p>
        </w:tc>
        <w:tc>
          <w:tcPr>
            <w:tcW w:w="3751" w:type="pct"/>
            <w:gridSpan w:val="3"/>
            <w:tcBorders>
              <w:tl2br w:val="nil"/>
              <w:tr2bl w:val="nil"/>
            </w:tcBorders>
            <w:noWrap w:val="0"/>
            <w:vAlign w:val="center"/>
          </w:tcPr>
          <w:p w14:paraId="6F35643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检测点位/检测结果</w:t>
            </w:r>
          </w:p>
        </w:tc>
      </w:tr>
      <w:tr w14:paraId="7B11C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vMerge w:val="continue"/>
            <w:tcBorders>
              <w:tl2br w:val="nil"/>
              <w:tr2bl w:val="nil"/>
            </w:tcBorders>
            <w:noWrap w:val="0"/>
            <w:vAlign w:val="center"/>
          </w:tcPr>
          <w:p w14:paraId="142264E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249" w:type="pct"/>
            <w:tcBorders>
              <w:tl2br w:val="nil"/>
              <w:tr2bl w:val="nil"/>
            </w:tcBorders>
            <w:noWrap w:val="0"/>
            <w:vAlign w:val="center"/>
          </w:tcPr>
          <w:p w14:paraId="56213EB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w:t>
            </w:r>
          </w:p>
        </w:tc>
        <w:tc>
          <w:tcPr>
            <w:tcW w:w="1250" w:type="pct"/>
            <w:tcBorders>
              <w:tl2br w:val="nil"/>
              <w:tr2bl w:val="nil"/>
            </w:tcBorders>
            <w:noWrap w:val="0"/>
            <w:vAlign w:val="center"/>
          </w:tcPr>
          <w:p w14:paraId="6B0FEC2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1251" w:type="pct"/>
            <w:tcBorders>
              <w:tl2br w:val="nil"/>
              <w:tr2bl w:val="nil"/>
            </w:tcBorders>
            <w:noWrap w:val="0"/>
            <w:vAlign w:val="center"/>
          </w:tcPr>
          <w:p w14:paraId="67248EA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r>
      <w:tr w14:paraId="74D0D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noWrap w:val="0"/>
            <w:vAlign w:val="center"/>
          </w:tcPr>
          <w:p w14:paraId="4FF1E6F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全盐量</w:t>
            </w:r>
          </w:p>
        </w:tc>
        <w:tc>
          <w:tcPr>
            <w:tcW w:w="1249" w:type="pct"/>
            <w:tcBorders>
              <w:tl2br w:val="nil"/>
              <w:tr2bl w:val="nil"/>
            </w:tcBorders>
            <w:noWrap w:val="0"/>
            <w:vAlign w:val="center"/>
          </w:tcPr>
          <w:p w14:paraId="41FE4EB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0.68(g/kg)</w:t>
            </w:r>
          </w:p>
        </w:tc>
        <w:tc>
          <w:tcPr>
            <w:tcW w:w="1250" w:type="pct"/>
            <w:tcBorders>
              <w:tl2br w:val="nil"/>
              <w:tr2bl w:val="nil"/>
            </w:tcBorders>
            <w:noWrap w:val="0"/>
            <w:vAlign w:val="center"/>
          </w:tcPr>
          <w:p w14:paraId="3D0603D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0.77(g/kg)</w:t>
            </w:r>
          </w:p>
        </w:tc>
        <w:tc>
          <w:tcPr>
            <w:tcW w:w="1251" w:type="pct"/>
            <w:tcBorders>
              <w:tl2br w:val="nil"/>
              <w:tr2bl w:val="nil"/>
            </w:tcBorders>
            <w:noWrap w:val="0"/>
            <w:vAlign w:val="center"/>
          </w:tcPr>
          <w:p w14:paraId="69465D7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0.56(g/kg)</w:t>
            </w:r>
          </w:p>
        </w:tc>
      </w:tr>
      <w:tr w14:paraId="71926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noWrap w:val="0"/>
            <w:vAlign w:val="center"/>
          </w:tcPr>
          <w:p w14:paraId="10A4419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汞</w:t>
            </w:r>
          </w:p>
        </w:tc>
        <w:tc>
          <w:tcPr>
            <w:tcW w:w="1249" w:type="pct"/>
            <w:tcBorders>
              <w:tl2br w:val="nil"/>
              <w:tr2bl w:val="nil"/>
            </w:tcBorders>
            <w:noWrap w:val="0"/>
            <w:vAlign w:val="center"/>
          </w:tcPr>
          <w:p w14:paraId="58AB4BC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0.013</w:t>
            </w:r>
          </w:p>
        </w:tc>
        <w:tc>
          <w:tcPr>
            <w:tcW w:w="2212" w:type="dxa"/>
            <w:tcBorders>
              <w:tl2br w:val="nil"/>
              <w:tr2bl w:val="nil"/>
            </w:tcBorders>
            <w:noWrap w:val="0"/>
            <w:vAlign w:val="center"/>
          </w:tcPr>
          <w:p w14:paraId="0A5EFBA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2215" w:type="dxa"/>
            <w:tcBorders>
              <w:tl2br w:val="nil"/>
              <w:tr2bl w:val="nil"/>
            </w:tcBorders>
            <w:noWrap w:val="0"/>
            <w:vAlign w:val="center"/>
          </w:tcPr>
          <w:p w14:paraId="7261D87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53EAE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noWrap w:val="0"/>
            <w:vAlign w:val="center"/>
          </w:tcPr>
          <w:p w14:paraId="4ACED57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砷</w:t>
            </w:r>
          </w:p>
        </w:tc>
        <w:tc>
          <w:tcPr>
            <w:tcW w:w="1249" w:type="pct"/>
            <w:tcBorders>
              <w:tl2br w:val="nil"/>
              <w:tr2bl w:val="nil"/>
            </w:tcBorders>
            <w:noWrap w:val="0"/>
            <w:vAlign w:val="center"/>
          </w:tcPr>
          <w:p w14:paraId="1D4D755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6.64</w:t>
            </w:r>
          </w:p>
        </w:tc>
        <w:tc>
          <w:tcPr>
            <w:tcW w:w="2212" w:type="dxa"/>
            <w:tcBorders>
              <w:tl2br w:val="nil"/>
              <w:tr2bl w:val="nil"/>
            </w:tcBorders>
            <w:noWrap w:val="0"/>
            <w:vAlign w:val="center"/>
          </w:tcPr>
          <w:p w14:paraId="331D926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2215" w:type="dxa"/>
            <w:tcBorders>
              <w:tl2br w:val="nil"/>
              <w:tr2bl w:val="nil"/>
            </w:tcBorders>
            <w:noWrap w:val="0"/>
            <w:vAlign w:val="center"/>
          </w:tcPr>
          <w:p w14:paraId="3488002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BE90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4C892A2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铜</w:t>
            </w:r>
          </w:p>
        </w:tc>
        <w:tc>
          <w:tcPr>
            <w:tcW w:w="1249" w:type="pct"/>
            <w:tcBorders>
              <w:tl2br w:val="nil"/>
              <w:tr2bl w:val="nil"/>
            </w:tcBorders>
            <w:shd w:val="clear" w:color="auto" w:fill="auto"/>
            <w:noWrap w:val="0"/>
            <w:vAlign w:val="center"/>
          </w:tcPr>
          <w:p w14:paraId="6515169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1250" w:type="pct"/>
            <w:tcBorders>
              <w:tl2br w:val="nil"/>
              <w:tr2bl w:val="nil"/>
            </w:tcBorders>
            <w:shd w:val="clear" w:color="auto" w:fill="auto"/>
            <w:noWrap w:val="0"/>
            <w:vAlign w:val="center"/>
          </w:tcPr>
          <w:p w14:paraId="2B852DD7">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shd w:val="clear" w:color="auto" w:fill="auto"/>
            <w:noWrap w:val="0"/>
            <w:vAlign w:val="center"/>
          </w:tcPr>
          <w:p w14:paraId="741A11A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0A43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7FA54FF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镍</w:t>
            </w:r>
          </w:p>
        </w:tc>
        <w:tc>
          <w:tcPr>
            <w:tcW w:w="1249" w:type="pct"/>
            <w:tcBorders>
              <w:tl2br w:val="nil"/>
              <w:tr2bl w:val="nil"/>
            </w:tcBorders>
            <w:shd w:val="clear" w:color="auto" w:fill="auto"/>
            <w:noWrap w:val="0"/>
            <w:vAlign w:val="center"/>
          </w:tcPr>
          <w:p w14:paraId="0EF3D91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w:t>
            </w:r>
          </w:p>
        </w:tc>
        <w:tc>
          <w:tcPr>
            <w:tcW w:w="1250" w:type="pct"/>
            <w:tcBorders>
              <w:tl2br w:val="nil"/>
              <w:tr2bl w:val="nil"/>
            </w:tcBorders>
            <w:shd w:val="clear" w:color="auto" w:fill="auto"/>
            <w:noWrap w:val="0"/>
            <w:vAlign w:val="center"/>
          </w:tcPr>
          <w:p w14:paraId="033602D0">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shd w:val="clear" w:color="auto" w:fill="auto"/>
            <w:noWrap w:val="0"/>
            <w:vAlign w:val="center"/>
          </w:tcPr>
          <w:p w14:paraId="556328F0">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7565C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5A064CD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铅</w:t>
            </w:r>
          </w:p>
        </w:tc>
        <w:tc>
          <w:tcPr>
            <w:tcW w:w="1249" w:type="pct"/>
            <w:tcBorders>
              <w:tl2br w:val="nil"/>
              <w:tr2bl w:val="nil"/>
            </w:tcBorders>
            <w:shd w:val="clear" w:color="auto" w:fill="auto"/>
            <w:noWrap w:val="0"/>
            <w:vAlign w:val="center"/>
          </w:tcPr>
          <w:p w14:paraId="202C3CB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18.2</w:t>
            </w:r>
          </w:p>
        </w:tc>
        <w:tc>
          <w:tcPr>
            <w:tcW w:w="1250" w:type="pct"/>
            <w:tcBorders>
              <w:tl2br w:val="nil"/>
              <w:tr2bl w:val="nil"/>
            </w:tcBorders>
            <w:shd w:val="clear" w:color="auto" w:fill="auto"/>
            <w:noWrap w:val="0"/>
            <w:vAlign w:val="center"/>
          </w:tcPr>
          <w:p w14:paraId="0004CCF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shd w:val="clear" w:color="auto" w:fill="auto"/>
            <w:noWrap w:val="0"/>
            <w:vAlign w:val="center"/>
          </w:tcPr>
          <w:p w14:paraId="3681E72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2B5B8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51A4B43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镉</w:t>
            </w:r>
          </w:p>
        </w:tc>
        <w:tc>
          <w:tcPr>
            <w:tcW w:w="1249" w:type="pct"/>
            <w:tcBorders>
              <w:tl2br w:val="nil"/>
              <w:tr2bl w:val="nil"/>
            </w:tcBorders>
            <w:shd w:val="clear" w:color="auto" w:fill="auto"/>
            <w:noWrap w:val="0"/>
            <w:vAlign w:val="center"/>
          </w:tcPr>
          <w:p w14:paraId="33E3C06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0.07</w:t>
            </w:r>
          </w:p>
        </w:tc>
        <w:tc>
          <w:tcPr>
            <w:tcW w:w="1250" w:type="pct"/>
            <w:tcBorders>
              <w:tl2br w:val="nil"/>
              <w:tr2bl w:val="nil"/>
            </w:tcBorders>
            <w:shd w:val="clear" w:color="auto" w:fill="auto"/>
            <w:noWrap w:val="0"/>
            <w:vAlign w:val="center"/>
          </w:tcPr>
          <w:p w14:paraId="2CF1DB0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shd w:val="clear" w:color="auto" w:fill="auto"/>
            <w:noWrap w:val="0"/>
            <w:vAlign w:val="center"/>
          </w:tcPr>
          <w:p w14:paraId="242EC1F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ECA7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35E40F9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铬（六价）</w:t>
            </w:r>
          </w:p>
        </w:tc>
        <w:tc>
          <w:tcPr>
            <w:tcW w:w="1249" w:type="pct"/>
            <w:tcBorders>
              <w:tl2br w:val="nil"/>
              <w:tr2bl w:val="nil"/>
            </w:tcBorders>
            <w:shd w:val="clear" w:color="auto" w:fill="auto"/>
            <w:noWrap w:val="0"/>
            <w:vAlign w:val="center"/>
          </w:tcPr>
          <w:p w14:paraId="29ADA47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shd w:val="clear" w:color="auto" w:fill="auto"/>
            <w:noWrap w:val="0"/>
            <w:vAlign w:val="center"/>
          </w:tcPr>
          <w:p w14:paraId="0F74372B">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shd w:val="clear" w:color="auto" w:fill="auto"/>
            <w:noWrap w:val="0"/>
            <w:vAlign w:val="center"/>
          </w:tcPr>
          <w:p w14:paraId="3E4CEE2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5C597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3BE991C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四氯化碳</w:t>
            </w:r>
          </w:p>
        </w:tc>
        <w:tc>
          <w:tcPr>
            <w:tcW w:w="1249" w:type="pct"/>
            <w:tcBorders>
              <w:tl2br w:val="nil"/>
              <w:tr2bl w:val="nil"/>
            </w:tcBorders>
            <w:noWrap w:val="0"/>
            <w:vAlign w:val="center"/>
          </w:tcPr>
          <w:p w14:paraId="6E77A2C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1C8EE9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2D189339">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081B8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7F83EED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氯仿</w:t>
            </w:r>
          </w:p>
        </w:tc>
        <w:tc>
          <w:tcPr>
            <w:tcW w:w="1249" w:type="pct"/>
            <w:tcBorders>
              <w:tl2br w:val="nil"/>
              <w:tr2bl w:val="nil"/>
            </w:tcBorders>
            <w:noWrap w:val="0"/>
            <w:vAlign w:val="center"/>
          </w:tcPr>
          <w:p w14:paraId="180821F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44FCD9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436573CE">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F41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4DCB25C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氯甲烷</w:t>
            </w:r>
          </w:p>
        </w:tc>
        <w:tc>
          <w:tcPr>
            <w:tcW w:w="1249" w:type="pct"/>
            <w:tcBorders>
              <w:tl2br w:val="nil"/>
              <w:tr2bl w:val="nil"/>
            </w:tcBorders>
            <w:noWrap w:val="0"/>
            <w:vAlign w:val="center"/>
          </w:tcPr>
          <w:p w14:paraId="177CB1C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816D83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2DB27B8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35F5A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736CD69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1-二氯乙烷</w:t>
            </w:r>
          </w:p>
        </w:tc>
        <w:tc>
          <w:tcPr>
            <w:tcW w:w="1249" w:type="pct"/>
            <w:tcBorders>
              <w:tl2br w:val="nil"/>
              <w:tr2bl w:val="nil"/>
            </w:tcBorders>
            <w:noWrap w:val="0"/>
            <w:vAlign w:val="center"/>
          </w:tcPr>
          <w:p w14:paraId="25CE716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5EE11FE7">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2A79932C">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5676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77B9F8F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2-二氯乙烷</w:t>
            </w:r>
          </w:p>
        </w:tc>
        <w:tc>
          <w:tcPr>
            <w:tcW w:w="1249" w:type="pct"/>
            <w:tcBorders>
              <w:tl2br w:val="nil"/>
              <w:tr2bl w:val="nil"/>
            </w:tcBorders>
            <w:noWrap w:val="0"/>
            <w:vAlign w:val="center"/>
          </w:tcPr>
          <w:p w14:paraId="53A3255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2508A7E">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0D7D29BD">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538D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6560042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1-二氯乙烯</w:t>
            </w:r>
          </w:p>
        </w:tc>
        <w:tc>
          <w:tcPr>
            <w:tcW w:w="1249" w:type="pct"/>
            <w:tcBorders>
              <w:tl2br w:val="nil"/>
              <w:tr2bl w:val="nil"/>
            </w:tcBorders>
            <w:noWrap w:val="0"/>
            <w:vAlign w:val="center"/>
          </w:tcPr>
          <w:p w14:paraId="70B2F93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62EFFE4B">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6562E53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543E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533CD86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顺-1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1-二氯乙烯</w:t>
            </w:r>
          </w:p>
        </w:tc>
        <w:tc>
          <w:tcPr>
            <w:tcW w:w="1249" w:type="pct"/>
            <w:tcBorders>
              <w:tl2br w:val="nil"/>
              <w:tr2bl w:val="nil"/>
            </w:tcBorders>
            <w:noWrap w:val="0"/>
            <w:vAlign w:val="center"/>
          </w:tcPr>
          <w:p w14:paraId="1866AD4C">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57AB8B3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1DAE61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2A33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2FF0FF4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反-1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1-二氯乙烯</w:t>
            </w:r>
          </w:p>
        </w:tc>
        <w:tc>
          <w:tcPr>
            <w:tcW w:w="1249" w:type="pct"/>
            <w:tcBorders>
              <w:tl2br w:val="nil"/>
              <w:tr2bl w:val="nil"/>
            </w:tcBorders>
            <w:noWrap w:val="0"/>
            <w:vAlign w:val="center"/>
          </w:tcPr>
          <w:p w14:paraId="410EF23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68976C37">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417FBA2E">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5B204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11648DF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二氯甲烷</w:t>
            </w:r>
          </w:p>
        </w:tc>
        <w:tc>
          <w:tcPr>
            <w:tcW w:w="1249" w:type="pct"/>
            <w:tcBorders>
              <w:tl2br w:val="nil"/>
              <w:tr2bl w:val="nil"/>
            </w:tcBorders>
            <w:noWrap w:val="0"/>
            <w:vAlign w:val="center"/>
          </w:tcPr>
          <w:p w14:paraId="4A04B82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C40E329">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834B05D">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7B0C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209910D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2-二氯</w:t>
            </w:r>
            <w:r>
              <w:rPr>
                <w:rFonts w:hint="eastAsia" w:ascii="Times New Roman" w:hAnsi="Times New Roman" w:cs="Times New Roman"/>
                <w:color w:val="auto"/>
                <w:sz w:val="21"/>
                <w:szCs w:val="21"/>
                <w:highlight w:val="none"/>
                <w:lang w:val="en-US" w:eastAsia="zh-CN"/>
              </w:rPr>
              <w:t>丙烷</w:t>
            </w:r>
          </w:p>
        </w:tc>
        <w:tc>
          <w:tcPr>
            <w:tcW w:w="1249" w:type="pct"/>
            <w:tcBorders>
              <w:tl2br w:val="nil"/>
              <w:tr2bl w:val="nil"/>
            </w:tcBorders>
            <w:noWrap w:val="0"/>
            <w:vAlign w:val="center"/>
          </w:tcPr>
          <w:p w14:paraId="2DD6235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46ED0A0D">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DD878CE">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067C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1FC9DB7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2-四氯乙烷</w:t>
            </w:r>
          </w:p>
        </w:tc>
        <w:tc>
          <w:tcPr>
            <w:tcW w:w="1249" w:type="pct"/>
            <w:tcBorders>
              <w:tl2br w:val="nil"/>
              <w:tr2bl w:val="nil"/>
            </w:tcBorders>
            <w:noWrap w:val="0"/>
            <w:vAlign w:val="center"/>
          </w:tcPr>
          <w:p w14:paraId="71E11A1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8D5F85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5B8E407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2D4F5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60EEB36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2-四氯乙烷</w:t>
            </w:r>
          </w:p>
        </w:tc>
        <w:tc>
          <w:tcPr>
            <w:tcW w:w="1249" w:type="pct"/>
            <w:tcBorders>
              <w:tl2br w:val="nil"/>
              <w:tr2bl w:val="nil"/>
            </w:tcBorders>
            <w:noWrap w:val="0"/>
            <w:vAlign w:val="center"/>
          </w:tcPr>
          <w:p w14:paraId="1CDC2267">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447F77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417222ED">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D188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70F6122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四氯乙烯</w:t>
            </w:r>
          </w:p>
        </w:tc>
        <w:tc>
          <w:tcPr>
            <w:tcW w:w="1249" w:type="pct"/>
            <w:tcBorders>
              <w:tl2br w:val="nil"/>
              <w:tr2bl w:val="nil"/>
            </w:tcBorders>
            <w:noWrap w:val="0"/>
            <w:vAlign w:val="center"/>
          </w:tcPr>
          <w:p w14:paraId="62844B9E">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7A80322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50C9C6BD">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7AF32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3DEB7A8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1-三氯乙烷</w:t>
            </w:r>
          </w:p>
        </w:tc>
        <w:tc>
          <w:tcPr>
            <w:tcW w:w="1249" w:type="pct"/>
            <w:tcBorders>
              <w:tl2br w:val="nil"/>
              <w:tr2bl w:val="nil"/>
            </w:tcBorders>
            <w:noWrap w:val="0"/>
            <w:vAlign w:val="center"/>
          </w:tcPr>
          <w:p w14:paraId="75AFD2D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49252929">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18A47409">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37FBE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4B2FF6A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2-三氯乙烷</w:t>
            </w:r>
          </w:p>
        </w:tc>
        <w:tc>
          <w:tcPr>
            <w:tcW w:w="1249" w:type="pct"/>
            <w:tcBorders>
              <w:tl2br w:val="nil"/>
              <w:tr2bl w:val="nil"/>
            </w:tcBorders>
            <w:noWrap w:val="0"/>
            <w:vAlign w:val="center"/>
          </w:tcPr>
          <w:p w14:paraId="4A8B6F0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69629B6B">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534AA80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B472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507C1A1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三氯乙烯</w:t>
            </w:r>
          </w:p>
        </w:tc>
        <w:tc>
          <w:tcPr>
            <w:tcW w:w="1249" w:type="pct"/>
            <w:tcBorders>
              <w:tl2br w:val="nil"/>
              <w:tr2bl w:val="nil"/>
            </w:tcBorders>
            <w:noWrap w:val="0"/>
            <w:vAlign w:val="center"/>
          </w:tcPr>
          <w:p w14:paraId="6851BFA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A2D9AE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425198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D16F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3C207C9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3-三氯</w:t>
            </w:r>
            <w:r>
              <w:rPr>
                <w:rFonts w:hint="eastAsia" w:ascii="Times New Roman" w:hAnsi="Times New Roman" w:cs="Times New Roman"/>
                <w:color w:val="auto"/>
                <w:sz w:val="21"/>
                <w:szCs w:val="21"/>
                <w:highlight w:val="none"/>
                <w:lang w:val="en-US" w:eastAsia="zh-CN"/>
              </w:rPr>
              <w:t>丙烷</w:t>
            </w:r>
          </w:p>
        </w:tc>
        <w:tc>
          <w:tcPr>
            <w:tcW w:w="1249" w:type="pct"/>
            <w:tcBorders>
              <w:tl2br w:val="nil"/>
              <w:tr2bl w:val="nil"/>
            </w:tcBorders>
            <w:noWrap w:val="0"/>
            <w:vAlign w:val="center"/>
          </w:tcPr>
          <w:p w14:paraId="7C2E373C">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514127D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099A57CC">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A3BD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00EC204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氯乙烯</w:t>
            </w:r>
          </w:p>
        </w:tc>
        <w:tc>
          <w:tcPr>
            <w:tcW w:w="1249" w:type="pct"/>
            <w:tcBorders>
              <w:tl2br w:val="nil"/>
              <w:tr2bl w:val="nil"/>
            </w:tcBorders>
            <w:noWrap w:val="0"/>
            <w:vAlign w:val="center"/>
          </w:tcPr>
          <w:p w14:paraId="3392E46C">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63A3BE2">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3DD7769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08768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00B6D33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苯</w:t>
            </w:r>
          </w:p>
        </w:tc>
        <w:tc>
          <w:tcPr>
            <w:tcW w:w="1249" w:type="pct"/>
            <w:tcBorders>
              <w:tl2br w:val="nil"/>
              <w:tr2bl w:val="nil"/>
            </w:tcBorders>
            <w:noWrap w:val="0"/>
            <w:vAlign w:val="center"/>
          </w:tcPr>
          <w:p w14:paraId="2ED2245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15AD45F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4954850">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7935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34E17BB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氯苯</w:t>
            </w:r>
          </w:p>
        </w:tc>
        <w:tc>
          <w:tcPr>
            <w:tcW w:w="1249" w:type="pct"/>
            <w:tcBorders>
              <w:tl2br w:val="nil"/>
              <w:tr2bl w:val="nil"/>
            </w:tcBorders>
            <w:noWrap w:val="0"/>
            <w:vAlign w:val="center"/>
          </w:tcPr>
          <w:p w14:paraId="0F4F839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5882CF2">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035D36C2">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1D65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641AFA6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2-二氯苯</w:t>
            </w:r>
          </w:p>
        </w:tc>
        <w:tc>
          <w:tcPr>
            <w:tcW w:w="1249" w:type="pct"/>
            <w:tcBorders>
              <w:tl2br w:val="nil"/>
              <w:tr2bl w:val="nil"/>
            </w:tcBorders>
            <w:noWrap w:val="0"/>
            <w:vAlign w:val="center"/>
          </w:tcPr>
          <w:p w14:paraId="6DB6578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0C2074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1C781B9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0B6A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5E423CD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4-二氯苯</w:t>
            </w:r>
          </w:p>
        </w:tc>
        <w:tc>
          <w:tcPr>
            <w:tcW w:w="1249" w:type="pct"/>
            <w:tcBorders>
              <w:tl2br w:val="nil"/>
              <w:tr2bl w:val="nil"/>
            </w:tcBorders>
            <w:noWrap w:val="0"/>
            <w:vAlign w:val="center"/>
          </w:tcPr>
          <w:p w14:paraId="02029947">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DC7944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12EFF530">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03613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1C2EFF1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乙苯</w:t>
            </w:r>
          </w:p>
        </w:tc>
        <w:tc>
          <w:tcPr>
            <w:tcW w:w="1249" w:type="pct"/>
            <w:tcBorders>
              <w:tl2br w:val="nil"/>
              <w:tr2bl w:val="nil"/>
            </w:tcBorders>
            <w:noWrap w:val="0"/>
            <w:vAlign w:val="center"/>
          </w:tcPr>
          <w:p w14:paraId="081491CB">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360F202">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028F5136">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515D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3199448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苯乙烯</w:t>
            </w:r>
          </w:p>
        </w:tc>
        <w:tc>
          <w:tcPr>
            <w:tcW w:w="1249" w:type="pct"/>
            <w:tcBorders>
              <w:tl2br w:val="nil"/>
              <w:tr2bl w:val="nil"/>
            </w:tcBorders>
            <w:noWrap w:val="0"/>
            <w:vAlign w:val="center"/>
          </w:tcPr>
          <w:p w14:paraId="568D50B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19AC6AA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348A41B">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3D7E5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5D72BF2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甲苯</w:t>
            </w:r>
          </w:p>
        </w:tc>
        <w:tc>
          <w:tcPr>
            <w:tcW w:w="1249" w:type="pct"/>
            <w:tcBorders>
              <w:tl2br w:val="nil"/>
              <w:tr2bl w:val="nil"/>
            </w:tcBorders>
            <w:noWrap w:val="0"/>
            <w:vAlign w:val="center"/>
          </w:tcPr>
          <w:p w14:paraId="566B737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1633EC3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6E5432AB">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385E9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2947BD5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间二甲苯+对二甲苯</w:t>
            </w:r>
          </w:p>
        </w:tc>
        <w:tc>
          <w:tcPr>
            <w:tcW w:w="1249" w:type="pct"/>
            <w:tcBorders>
              <w:tl2br w:val="nil"/>
              <w:tr2bl w:val="nil"/>
            </w:tcBorders>
            <w:noWrap w:val="0"/>
            <w:vAlign w:val="center"/>
          </w:tcPr>
          <w:p w14:paraId="7CF38F3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79C391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53BFBAC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0C46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1B51CBF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邻二甲苯</w:t>
            </w:r>
          </w:p>
        </w:tc>
        <w:tc>
          <w:tcPr>
            <w:tcW w:w="1249" w:type="pct"/>
            <w:tcBorders>
              <w:tl2br w:val="nil"/>
              <w:tr2bl w:val="nil"/>
            </w:tcBorders>
            <w:noWrap w:val="0"/>
            <w:vAlign w:val="center"/>
          </w:tcPr>
          <w:p w14:paraId="152A2F2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5EFBB59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8393930">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3522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58DDBD8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硝基苯</w:t>
            </w:r>
          </w:p>
        </w:tc>
        <w:tc>
          <w:tcPr>
            <w:tcW w:w="1249" w:type="pct"/>
            <w:tcBorders>
              <w:tl2br w:val="nil"/>
              <w:tr2bl w:val="nil"/>
            </w:tcBorders>
            <w:noWrap w:val="0"/>
            <w:vAlign w:val="center"/>
          </w:tcPr>
          <w:p w14:paraId="4EFA50C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761D151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5AAD5C8C">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655BF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2D5740B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苯胺</w:t>
            </w:r>
          </w:p>
        </w:tc>
        <w:tc>
          <w:tcPr>
            <w:tcW w:w="1249" w:type="pct"/>
            <w:tcBorders>
              <w:tl2br w:val="nil"/>
              <w:tr2bl w:val="nil"/>
            </w:tcBorders>
            <w:noWrap w:val="0"/>
            <w:vAlign w:val="center"/>
          </w:tcPr>
          <w:p w14:paraId="181B99B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631F753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685CA8E9">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03B7D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6F94657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2-氯酚</w:t>
            </w:r>
          </w:p>
        </w:tc>
        <w:tc>
          <w:tcPr>
            <w:tcW w:w="1249" w:type="pct"/>
            <w:tcBorders>
              <w:tl2br w:val="nil"/>
              <w:tr2bl w:val="nil"/>
            </w:tcBorders>
            <w:noWrap w:val="0"/>
            <w:vAlign w:val="center"/>
          </w:tcPr>
          <w:p w14:paraId="707B6B6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0F60141B">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0001FFB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7A062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707A7CF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苯并［a］蒽</w:t>
            </w:r>
          </w:p>
        </w:tc>
        <w:tc>
          <w:tcPr>
            <w:tcW w:w="1249" w:type="pct"/>
            <w:tcBorders>
              <w:tl2br w:val="nil"/>
              <w:tr2bl w:val="nil"/>
            </w:tcBorders>
            <w:noWrap w:val="0"/>
            <w:vAlign w:val="center"/>
          </w:tcPr>
          <w:p w14:paraId="125CF4C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55100F97">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454E12E2">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20174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6F52CDC5">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苯并［a］芘</w:t>
            </w:r>
          </w:p>
        </w:tc>
        <w:tc>
          <w:tcPr>
            <w:tcW w:w="1249" w:type="pct"/>
            <w:tcBorders>
              <w:tl2br w:val="nil"/>
              <w:tr2bl w:val="nil"/>
            </w:tcBorders>
            <w:noWrap w:val="0"/>
            <w:vAlign w:val="center"/>
          </w:tcPr>
          <w:p w14:paraId="518E28A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755CB266">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4EBB8D8D">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374B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0657C78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苯并［b］荧蒽</w:t>
            </w:r>
          </w:p>
        </w:tc>
        <w:tc>
          <w:tcPr>
            <w:tcW w:w="1249" w:type="pct"/>
            <w:tcBorders>
              <w:tl2br w:val="nil"/>
              <w:tr2bl w:val="nil"/>
            </w:tcBorders>
            <w:noWrap w:val="0"/>
            <w:vAlign w:val="center"/>
          </w:tcPr>
          <w:p w14:paraId="29F30D9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34CAC78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002E930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09CB4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257D746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苯并［k］荧蒽</w:t>
            </w:r>
          </w:p>
        </w:tc>
        <w:tc>
          <w:tcPr>
            <w:tcW w:w="1249" w:type="pct"/>
            <w:tcBorders>
              <w:tl2br w:val="nil"/>
              <w:tr2bl w:val="nil"/>
            </w:tcBorders>
            <w:noWrap w:val="0"/>
            <w:vAlign w:val="center"/>
          </w:tcPr>
          <w:p w14:paraId="5D7F544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3EA7ECCC">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31113215">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35E97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0038B22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䓛</w:t>
            </w:r>
          </w:p>
        </w:tc>
        <w:tc>
          <w:tcPr>
            <w:tcW w:w="1249" w:type="pct"/>
            <w:tcBorders>
              <w:tl2br w:val="nil"/>
              <w:tr2bl w:val="nil"/>
            </w:tcBorders>
            <w:noWrap w:val="0"/>
            <w:vAlign w:val="center"/>
          </w:tcPr>
          <w:p w14:paraId="41DAD642">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535C993F">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2E9DCD66">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7A4AD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6BF3AA4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二苯并［a、h］蒽</w:t>
            </w:r>
          </w:p>
        </w:tc>
        <w:tc>
          <w:tcPr>
            <w:tcW w:w="1249" w:type="pct"/>
            <w:tcBorders>
              <w:tl2br w:val="nil"/>
              <w:tr2bl w:val="nil"/>
            </w:tcBorders>
            <w:noWrap w:val="0"/>
            <w:vAlign w:val="center"/>
          </w:tcPr>
          <w:p w14:paraId="7F75C5E6">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70241CA3">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1009870">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DA30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44DC067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茚并［1</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3-cd］芘</w:t>
            </w:r>
          </w:p>
        </w:tc>
        <w:tc>
          <w:tcPr>
            <w:tcW w:w="1249" w:type="pct"/>
            <w:tcBorders>
              <w:tl2br w:val="nil"/>
              <w:tr2bl w:val="nil"/>
            </w:tcBorders>
            <w:noWrap w:val="0"/>
            <w:vAlign w:val="center"/>
          </w:tcPr>
          <w:p w14:paraId="6854892A">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234396F6">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043F2828">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5C013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shd w:val="clear" w:color="auto" w:fill="auto"/>
            <w:noWrap w:val="0"/>
            <w:vAlign w:val="center"/>
          </w:tcPr>
          <w:p w14:paraId="65B7920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萘</w:t>
            </w:r>
          </w:p>
        </w:tc>
        <w:tc>
          <w:tcPr>
            <w:tcW w:w="1249" w:type="pct"/>
            <w:tcBorders>
              <w:tl2br w:val="nil"/>
              <w:tr2bl w:val="nil"/>
            </w:tcBorders>
            <w:noWrap w:val="0"/>
            <w:vAlign w:val="center"/>
          </w:tcPr>
          <w:p w14:paraId="18804EF4">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ND</w:t>
            </w:r>
          </w:p>
        </w:tc>
        <w:tc>
          <w:tcPr>
            <w:tcW w:w="1250" w:type="pct"/>
            <w:tcBorders>
              <w:tl2br w:val="nil"/>
              <w:tr2bl w:val="nil"/>
            </w:tcBorders>
            <w:noWrap w:val="0"/>
            <w:vAlign w:val="center"/>
          </w:tcPr>
          <w:p w14:paraId="3A93E021">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1251" w:type="pct"/>
            <w:tcBorders>
              <w:tl2br w:val="nil"/>
              <w:tr2bl w:val="nil"/>
            </w:tcBorders>
            <w:noWrap w:val="0"/>
            <w:vAlign w:val="center"/>
          </w:tcPr>
          <w:p w14:paraId="77264BA7">
            <w:pPr>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D8E7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8" w:type="pct"/>
            <w:tcBorders>
              <w:tl2br w:val="nil"/>
              <w:tr2bl w:val="nil"/>
            </w:tcBorders>
            <w:noWrap w:val="0"/>
            <w:vAlign w:val="center"/>
          </w:tcPr>
          <w:p w14:paraId="375B0ADE">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石油烃</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C</w:t>
            </w:r>
            <w:r>
              <w:rPr>
                <w:rFonts w:hint="default" w:ascii="Times New Roman" w:hAnsi="Times New Roman" w:cs="Times New Roman"/>
                <w:color w:val="auto"/>
                <w:sz w:val="21"/>
                <w:szCs w:val="21"/>
                <w:highlight w:val="none"/>
                <w:vertAlign w:val="subscript"/>
                <w:lang w:val="en-US" w:eastAsia="zh-CN"/>
              </w:rPr>
              <w:t>10</w:t>
            </w:r>
            <w:r>
              <w:rPr>
                <w:rFonts w:hint="default" w:ascii="Times New Roman" w:hAnsi="Times New Roman" w:cs="Times New Roman"/>
                <w:color w:val="auto"/>
                <w:sz w:val="21"/>
                <w:szCs w:val="21"/>
                <w:highlight w:val="none"/>
                <w:lang w:val="en-US" w:eastAsia="zh-CN"/>
              </w:rPr>
              <w:t>-C</w:t>
            </w:r>
            <w:r>
              <w:rPr>
                <w:rFonts w:hint="default" w:ascii="Times New Roman" w:hAnsi="Times New Roman" w:cs="Times New Roman"/>
                <w:color w:val="auto"/>
                <w:sz w:val="21"/>
                <w:szCs w:val="21"/>
                <w:highlight w:val="none"/>
                <w:vertAlign w:val="subscript"/>
                <w:lang w:val="en-US" w:eastAsia="zh-CN"/>
              </w:rPr>
              <w:t>40</w:t>
            </w:r>
            <w:r>
              <w:rPr>
                <w:rFonts w:hint="eastAsia" w:ascii="Times New Roman" w:hAnsi="Times New Roman" w:cs="Times New Roman"/>
                <w:color w:val="auto"/>
                <w:sz w:val="21"/>
                <w:szCs w:val="21"/>
                <w:highlight w:val="none"/>
                <w:lang w:val="en-US" w:eastAsia="zh-CN"/>
              </w:rPr>
              <w:t>）</w:t>
            </w:r>
          </w:p>
        </w:tc>
        <w:tc>
          <w:tcPr>
            <w:tcW w:w="1249" w:type="pct"/>
            <w:tcBorders>
              <w:tl2br w:val="nil"/>
              <w:tr2bl w:val="nil"/>
            </w:tcBorders>
            <w:noWrap w:val="0"/>
            <w:vAlign w:val="center"/>
          </w:tcPr>
          <w:p w14:paraId="53217AC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70</w:t>
            </w:r>
          </w:p>
        </w:tc>
        <w:tc>
          <w:tcPr>
            <w:tcW w:w="1250" w:type="pct"/>
            <w:tcBorders>
              <w:tl2br w:val="nil"/>
              <w:tr2bl w:val="nil"/>
            </w:tcBorders>
            <w:noWrap w:val="0"/>
            <w:vAlign w:val="center"/>
          </w:tcPr>
          <w:p w14:paraId="150BAD8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42</w:t>
            </w:r>
          </w:p>
        </w:tc>
        <w:tc>
          <w:tcPr>
            <w:tcW w:w="1251" w:type="pct"/>
            <w:tcBorders>
              <w:tl2br w:val="nil"/>
              <w:tr2bl w:val="nil"/>
            </w:tcBorders>
            <w:noWrap w:val="0"/>
            <w:vAlign w:val="center"/>
          </w:tcPr>
          <w:p w14:paraId="2E372039">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w:t>
            </w:r>
          </w:p>
        </w:tc>
      </w:tr>
    </w:tbl>
    <w:p w14:paraId="71631C1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5.2.4.7</w:t>
      </w:r>
      <w:r>
        <w:rPr>
          <w:rFonts w:hint="default" w:ascii="Times New Roman" w:hAnsi="Times New Roman" w:eastAsia="宋体" w:cs="Times New Roman"/>
          <w:b/>
          <w:bCs w:val="0"/>
          <w:color w:val="auto"/>
          <w:sz w:val="24"/>
          <w:szCs w:val="24"/>
          <w:lang w:val="en-US" w:eastAsia="zh-CN"/>
        </w:rPr>
        <w:t xml:space="preserve"> 土壤环境质量现状评价结论</w:t>
      </w:r>
    </w:p>
    <w:p w14:paraId="56698E72">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lang w:val="en-US" w:eastAsia="zh-CN"/>
        </w:rPr>
      </w:pPr>
      <w:r>
        <w:rPr>
          <w:rFonts w:hint="default" w:ascii="Times New Roman" w:hAnsi="Times New Roman" w:eastAsia="宋体" w:cs="Times New Roman"/>
          <w:color w:val="auto"/>
          <w:spacing w:val="0"/>
          <w:lang w:val="en-US" w:eastAsia="zh-CN"/>
        </w:rPr>
        <w:t>根据监测结果可知，本项目</w:t>
      </w:r>
      <w:r>
        <w:rPr>
          <w:rFonts w:hint="eastAsia" w:ascii="Times New Roman" w:hAnsi="Times New Roman" w:eastAsia="宋体" w:cs="Times New Roman"/>
          <w:color w:val="auto"/>
          <w:spacing w:val="0"/>
          <w:lang w:val="en-US" w:eastAsia="zh-CN"/>
        </w:rPr>
        <w:t>1#、2#、3#</w:t>
      </w:r>
      <w:r>
        <w:rPr>
          <w:rFonts w:hint="default" w:ascii="Times New Roman" w:hAnsi="Times New Roman" w:eastAsia="宋体" w:cs="Times New Roman"/>
          <w:color w:val="auto"/>
          <w:spacing w:val="0"/>
          <w:lang w:val="en-US" w:eastAsia="zh-CN"/>
        </w:rPr>
        <w:t>土壤环境监测点位监测值满足《土壤环境质量</w:t>
      </w:r>
      <w:r>
        <w:rPr>
          <w:rFonts w:hint="eastAsia" w:ascii="Times New Roman" w:hAnsi="Times New Roman" w:eastAsia="宋体" w:cs="Times New Roman"/>
          <w:color w:val="auto"/>
          <w:spacing w:val="0"/>
          <w:lang w:val="en-US" w:eastAsia="zh-CN"/>
        </w:rPr>
        <w:t xml:space="preserve"> </w:t>
      </w:r>
      <w:r>
        <w:rPr>
          <w:rFonts w:hint="default" w:ascii="Times New Roman" w:hAnsi="Times New Roman" w:eastAsia="宋体" w:cs="Times New Roman"/>
          <w:color w:val="auto"/>
          <w:spacing w:val="0"/>
          <w:lang w:val="en-US" w:eastAsia="zh-CN"/>
        </w:rPr>
        <w:t>建设用地土壤污染风险管控标准》（GB36600-2018）中第二类用地筛选值标准。</w:t>
      </w:r>
    </w:p>
    <w:p w14:paraId="639F993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87" w:name="_Toc1211"/>
      <w:bookmarkStart w:id="388" w:name="_Toc14359"/>
      <w:bookmarkStart w:id="389" w:name="_Toc22784"/>
      <w:r>
        <w:rPr>
          <w:rFonts w:hint="eastAsia" w:ascii="Times New Roman" w:hAnsi="Times New Roman" w:cs="Times New Roman"/>
          <w:b/>
          <w:bCs/>
          <w:color w:val="auto"/>
          <w:sz w:val="28"/>
          <w:szCs w:val="28"/>
          <w:lang w:val="en-US" w:eastAsia="zh-CN"/>
        </w:rPr>
        <w:t>5.2.5 生态环境现状调查与评价</w:t>
      </w:r>
      <w:bookmarkEnd w:id="387"/>
      <w:bookmarkEnd w:id="388"/>
      <w:bookmarkEnd w:id="389"/>
    </w:p>
    <w:p w14:paraId="672E91F1">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rPr>
      </w:pPr>
      <w:r>
        <w:rPr>
          <w:rFonts w:hint="default" w:ascii="Times New Roman" w:hAnsi="Times New Roman" w:eastAsia="宋体" w:cs="Times New Roman"/>
          <w:color w:val="auto"/>
          <w:spacing w:val="0"/>
        </w:rPr>
        <w:t>本项目位于</w:t>
      </w:r>
      <w:r>
        <w:rPr>
          <w:rFonts w:hint="eastAsia" w:eastAsia="宋体" w:cs="Times New Roman"/>
          <w:color w:val="auto"/>
          <w:spacing w:val="0"/>
          <w:lang w:val="en-US" w:eastAsia="zh-CN"/>
        </w:rPr>
        <w:t>八五二农场场部建成区</w:t>
      </w:r>
      <w:r>
        <w:rPr>
          <w:rFonts w:hint="default" w:ascii="Times New Roman" w:hAnsi="Times New Roman" w:eastAsia="宋体" w:cs="Times New Roman"/>
          <w:color w:val="auto"/>
          <w:spacing w:val="0"/>
        </w:rPr>
        <w:t>范围内，由于多年的开发活动，本项目所在区域自然生态环境已被人工生态环境所取代。区域内土地肥沃，植被主要以水稻、玉米、大豆等粮食作物为主，其他农作物主要为蔬菜。此外，道路两旁及房前屋后栽种的各种绿化或经济林木也有效地改善了生态环境质量。本区陆生动物除了人工饲养的牛、猪、鸡、兔、羊之外，还有少量的野生动物，包括鸟、鼠、蛙、昆虫等，无大型野生哺乳动物，本项目区域范围内不涉及珍惜野生保护植物及动物。</w:t>
      </w:r>
    </w:p>
    <w:p w14:paraId="1ED990C0">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390" w:name="_Toc5554"/>
      <w:bookmarkStart w:id="391" w:name="_Toc5880"/>
      <w:r>
        <w:rPr>
          <w:rFonts w:hint="eastAsia" w:ascii="Times New Roman" w:hAnsi="Times New Roman" w:cs="Times New Roman"/>
          <w:b/>
          <w:bCs/>
          <w:color w:val="auto"/>
          <w:lang w:val="en-US" w:eastAsia="zh-CN"/>
        </w:rPr>
        <w:t xml:space="preserve">5.3 </w:t>
      </w:r>
      <w:r>
        <w:rPr>
          <w:rFonts w:hint="default" w:ascii="Times New Roman" w:hAnsi="Times New Roman" w:eastAsia="宋体" w:cs="Times New Roman"/>
          <w:b/>
          <w:bCs/>
          <w:color w:val="auto"/>
        </w:rPr>
        <w:t>区域环境保护目标调查</w:t>
      </w:r>
      <w:bookmarkEnd w:id="390"/>
      <w:bookmarkEnd w:id="391"/>
    </w:p>
    <w:p w14:paraId="28A7C316">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92" w:name="_Toc52"/>
      <w:bookmarkStart w:id="393" w:name="_Toc105659929"/>
      <w:bookmarkStart w:id="394" w:name="_Toc253"/>
      <w:bookmarkStart w:id="395" w:name="_Toc29827"/>
      <w:bookmarkStart w:id="396" w:name="_Toc107238146"/>
      <w:bookmarkStart w:id="397" w:name="_Toc15814"/>
      <w:r>
        <w:rPr>
          <w:rFonts w:hint="eastAsia" w:ascii="Times New Roman" w:hAnsi="Times New Roman" w:cs="Times New Roman"/>
          <w:b/>
          <w:bCs/>
          <w:color w:val="auto"/>
          <w:sz w:val="28"/>
          <w:szCs w:val="28"/>
          <w:lang w:val="en-US" w:eastAsia="zh-CN"/>
        </w:rPr>
        <w:t>5.3.1 环境功能区划</w:t>
      </w:r>
      <w:bookmarkEnd w:id="392"/>
      <w:bookmarkEnd w:id="393"/>
      <w:bookmarkEnd w:id="394"/>
      <w:bookmarkEnd w:id="395"/>
      <w:bookmarkEnd w:id="396"/>
      <w:bookmarkEnd w:id="397"/>
    </w:p>
    <w:p w14:paraId="3A29E2B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（1）水环境：地表水环境执行《地表水环境质量标准》（GB3838-2002）表1地表水环境质量标准基本项目标准限值中Ⅲ类标准</w:t>
      </w:r>
    </w:p>
    <w:p w14:paraId="5D4C3A8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（2）环境空气：本项目所在区域为二类功能区，环境空气质量标准执行国家《环境空气质量标准》（GB3095-2026）中过渡期二级标准。</w:t>
      </w:r>
    </w:p>
    <w:p w14:paraId="7760DB7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（3）声环境：项目所在地划分为2类声环境功能区，本项目所在区域执行《声环境质量标准》（GB3096-2008）中2类标准。</w:t>
      </w:r>
    </w:p>
    <w:p w14:paraId="4953F14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（4）土壤环境：项目所在区域为公共设施用地，土壤执行《土壤环境质量 建设用地土壤污染风险管控标准（试行）》（GB36600-2018）第二类用地标准。</w:t>
      </w:r>
    </w:p>
    <w:p w14:paraId="1227F4C3">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cs="Times New Roman"/>
          <w:b/>
          <w:bCs/>
          <w:color w:val="auto"/>
          <w:sz w:val="28"/>
          <w:szCs w:val="28"/>
          <w:lang w:val="en-US" w:eastAsia="zh-CN"/>
        </w:rPr>
      </w:pPr>
      <w:bookmarkStart w:id="398" w:name="_Toc21001"/>
      <w:bookmarkStart w:id="399" w:name="_Toc25530"/>
      <w:bookmarkStart w:id="400" w:name="_Toc23641"/>
      <w:r>
        <w:rPr>
          <w:rFonts w:hint="eastAsia" w:ascii="Times New Roman" w:hAnsi="Times New Roman" w:cs="Times New Roman"/>
          <w:b/>
          <w:bCs/>
          <w:color w:val="auto"/>
          <w:sz w:val="28"/>
          <w:szCs w:val="28"/>
          <w:lang w:val="en-US" w:eastAsia="zh-CN"/>
        </w:rPr>
        <w:t>5.3.2 环境保护目标调查</w:t>
      </w:r>
      <w:bookmarkEnd w:id="398"/>
      <w:bookmarkEnd w:id="399"/>
      <w:bookmarkEnd w:id="400"/>
    </w:p>
    <w:p w14:paraId="4C0BCFF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经现场踏查，本项目厂址选在</w:t>
      </w:r>
      <w:r>
        <w:rPr>
          <w:rFonts w:hint="default" w:ascii="Times New Roman" w:hAnsi="Times New Roman" w:eastAsia="宋体" w:cs="Times New Roman"/>
          <w:color w:val="auto"/>
          <w:sz w:val="24"/>
          <w:szCs w:val="24"/>
          <w:highlight w:val="none"/>
          <w:lang w:val="zh-CN" w:eastAsia="zh-CN"/>
        </w:rPr>
        <w:t>黑龙江省宝清县红兴隆管理局八五二农场场部</w:t>
      </w:r>
      <w:r>
        <w:rPr>
          <w:rFonts w:hint="eastAsia" w:ascii="Times New Roman" w:hAnsi="Times New Roman" w:eastAsia="宋体" w:cs="Times New Roman"/>
          <w:color w:val="auto"/>
          <w:sz w:val="24"/>
          <w:szCs w:val="24"/>
          <w:highlight w:val="none"/>
          <w:lang w:val="en-US" w:eastAsia="zh-CN"/>
        </w:rPr>
        <w:t>现有厂区内，不新增占地。本项目评价范围内不存在自然保护区、风景名胜区、世界文化和自然遗产地、海洋特别保护区；基本农田保护区、重要湿地、基本草原、森林公园、地质公园、天然林、野生动物重要栖息地、重点保护野生植物生长繁殖地、重要水生生物的自然产卵场、索饵场、越冬场和洄游通道、天然渔场、水土流失重点防治区、沙化土地封禁保护区、封闭及半封闭海域；以居住、医疗卫生、文化教育、科研、行政办公等为主要功能的区域以及文物保护单位。存在居住区、文化区和医疗区，详见环境保护目标章节。</w:t>
      </w:r>
    </w:p>
    <w:p w14:paraId="1C67A509">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default" w:ascii="Times New Roman" w:hAnsi="Times New Roman" w:eastAsia="宋体" w:cs="Times New Roman"/>
          <w:b/>
          <w:bCs/>
          <w:color w:val="auto"/>
        </w:rPr>
      </w:pPr>
      <w:bookmarkStart w:id="401" w:name="_Toc13497"/>
      <w:bookmarkStart w:id="402" w:name="_Toc27149"/>
      <w:r>
        <w:rPr>
          <w:rFonts w:hint="eastAsia" w:ascii="Times New Roman" w:hAnsi="Times New Roman" w:cs="Times New Roman"/>
          <w:b/>
          <w:bCs/>
          <w:color w:val="auto"/>
          <w:lang w:val="en-US" w:eastAsia="zh-CN"/>
        </w:rPr>
        <w:t xml:space="preserve">5.4 </w:t>
      </w:r>
      <w:r>
        <w:rPr>
          <w:rFonts w:hint="default" w:ascii="Times New Roman" w:hAnsi="Times New Roman" w:eastAsia="宋体" w:cs="Times New Roman"/>
          <w:b/>
          <w:bCs/>
          <w:color w:val="auto"/>
        </w:rPr>
        <w:t>区域污染源调查</w:t>
      </w:r>
      <w:bookmarkEnd w:id="401"/>
      <w:bookmarkEnd w:id="402"/>
    </w:p>
    <w:p w14:paraId="0097C46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lang w:val="en-US" w:eastAsia="zh-CN"/>
        </w:rPr>
        <w:t>位于</w:t>
      </w:r>
      <w:r>
        <w:rPr>
          <w:rFonts w:hint="default" w:ascii="Times New Roman" w:hAnsi="Times New Roman" w:eastAsia="宋体" w:cs="Times New Roman"/>
          <w:color w:val="auto"/>
          <w:sz w:val="24"/>
          <w:szCs w:val="24"/>
          <w:highlight w:val="none"/>
          <w:lang w:val="zh-CN" w:eastAsia="zh-CN"/>
        </w:rPr>
        <w:t>黑龙江省宝清县红兴隆管理局八五二农场场部</w:t>
      </w:r>
      <w:r>
        <w:rPr>
          <w:rFonts w:hint="eastAsia" w:ascii="Times New Roman" w:hAnsi="Times New Roman" w:eastAsia="宋体" w:cs="Times New Roman"/>
          <w:color w:val="auto"/>
          <w:sz w:val="24"/>
          <w:szCs w:val="24"/>
          <w:highlight w:val="none"/>
          <w:lang w:val="en-US" w:eastAsia="zh-CN"/>
        </w:rPr>
        <w:t>，根据现状调查，项目周边无其他同类企业，周边环境简单。除本项目外，无其他集中供热热源。</w:t>
      </w:r>
      <w:r>
        <w:rPr>
          <w:rFonts w:hint="eastAsia" w:ascii="Times New Roman" w:hAnsi="Times New Roman" w:eastAsia="宋体" w:cs="Times New Roman"/>
          <w:color w:val="FF0000"/>
          <w:sz w:val="24"/>
          <w:szCs w:val="24"/>
          <w:highlight w:val="none"/>
          <w:lang w:val="en-US" w:eastAsia="zh-CN"/>
        </w:rPr>
        <w:t>区域内仅本次改建拆除替代的原有2台46MW锅炉。本次替代锅炉排放污染数据根据“重点排污单位自动监控与基础数据库系统信息”年排放量统计信息，通过年利用小时数2880h折算，参数如下。</w:t>
      </w:r>
    </w:p>
    <w:p w14:paraId="6C8198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FF0000"/>
          <w:sz w:val="24"/>
          <w:szCs w:val="24"/>
          <w:lang w:val="en-US" w:eastAsia="zh-CN"/>
        </w:rPr>
      </w:pPr>
      <w:r>
        <w:rPr>
          <w:rFonts w:hint="default" w:ascii="Times New Roman" w:hAnsi="Times New Roman" w:eastAsia="宋体" w:cs="Times New Roman"/>
          <w:b/>
          <w:bCs/>
          <w:color w:val="FF0000"/>
          <w:sz w:val="24"/>
          <w:szCs w:val="24"/>
          <w:lang w:val="en-US" w:eastAsia="zh-CN"/>
        </w:rPr>
        <w:t>表</w:t>
      </w:r>
      <w:r>
        <w:rPr>
          <w:rFonts w:hint="eastAsia" w:ascii="Times New Roman" w:hAnsi="Times New Roman" w:eastAsia="宋体" w:cs="Times New Roman"/>
          <w:b/>
          <w:bCs/>
          <w:color w:val="FF0000"/>
          <w:sz w:val="24"/>
          <w:szCs w:val="24"/>
          <w:lang w:val="en-US" w:eastAsia="zh-CN"/>
        </w:rPr>
        <w:t>5.4</w:t>
      </w:r>
      <w:r>
        <w:rPr>
          <w:rFonts w:hint="default" w:ascii="Times New Roman" w:hAnsi="Times New Roman" w:eastAsia="宋体" w:cs="Times New Roman"/>
          <w:b/>
          <w:bCs/>
          <w:color w:val="FF0000"/>
          <w:sz w:val="24"/>
          <w:szCs w:val="24"/>
          <w:lang w:val="en-US" w:eastAsia="zh-CN"/>
        </w:rPr>
        <w:t>-</w:t>
      </w:r>
      <w:r>
        <w:rPr>
          <w:rFonts w:hint="eastAsia" w:ascii="Times New Roman" w:hAnsi="Times New Roman" w:eastAsia="宋体" w:cs="Times New Roman"/>
          <w:b/>
          <w:bCs/>
          <w:color w:val="FF0000"/>
          <w:sz w:val="24"/>
          <w:szCs w:val="24"/>
          <w:lang w:val="en-US" w:eastAsia="zh-CN"/>
        </w:rPr>
        <w:t>1</w:t>
      </w:r>
      <w:r>
        <w:rPr>
          <w:rFonts w:hint="default" w:ascii="Times New Roman" w:hAnsi="Times New Roman" w:eastAsia="宋体" w:cs="Times New Roman"/>
          <w:b/>
          <w:bCs/>
          <w:color w:val="FF0000"/>
          <w:sz w:val="24"/>
          <w:szCs w:val="24"/>
          <w:lang w:val="en-US" w:eastAsia="zh-CN"/>
        </w:rPr>
        <w:t xml:space="preserve"> </w:t>
      </w:r>
      <w:r>
        <w:rPr>
          <w:rFonts w:hint="eastAsia" w:eastAsia="宋体" w:cs="Times New Roman"/>
          <w:b/>
          <w:bCs/>
          <w:color w:val="FF0000"/>
          <w:sz w:val="24"/>
          <w:szCs w:val="24"/>
          <w:lang w:val="en-US" w:eastAsia="zh-CN"/>
        </w:rPr>
        <w:t xml:space="preserve"> </w:t>
      </w:r>
      <w:r>
        <w:rPr>
          <w:rFonts w:hint="default" w:ascii="Times New Roman" w:hAnsi="Times New Roman" w:eastAsia="宋体" w:cs="Times New Roman"/>
          <w:b/>
          <w:bCs/>
          <w:color w:val="FF0000"/>
          <w:sz w:val="24"/>
          <w:szCs w:val="24"/>
          <w:lang w:val="en-US" w:eastAsia="zh-CN"/>
        </w:rPr>
        <w:t>本项目</w:t>
      </w:r>
      <w:r>
        <w:rPr>
          <w:rFonts w:hint="eastAsia" w:ascii="Times New Roman" w:hAnsi="Times New Roman" w:eastAsia="宋体" w:cs="Times New Roman"/>
          <w:b/>
          <w:bCs/>
          <w:color w:val="FF0000"/>
          <w:sz w:val="24"/>
          <w:szCs w:val="24"/>
          <w:lang w:val="en-US" w:eastAsia="zh-CN"/>
        </w:rPr>
        <w:t>替代</w:t>
      </w:r>
      <w:r>
        <w:rPr>
          <w:rFonts w:hint="default" w:ascii="Times New Roman" w:hAnsi="Times New Roman" w:eastAsia="宋体" w:cs="Times New Roman"/>
          <w:b/>
          <w:bCs/>
          <w:color w:val="FF0000"/>
          <w:sz w:val="24"/>
          <w:szCs w:val="24"/>
          <w:lang w:val="en-US" w:eastAsia="zh-CN"/>
        </w:rPr>
        <w:t>污染源的排放参数表</w:t>
      </w:r>
    </w:p>
    <w:tbl>
      <w:tblPr>
        <w:tblStyle w:val="40"/>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
        <w:gridCol w:w="1099"/>
        <w:gridCol w:w="568"/>
        <w:gridCol w:w="420"/>
        <w:gridCol w:w="553"/>
        <w:gridCol w:w="658"/>
        <w:gridCol w:w="537"/>
        <w:gridCol w:w="500"/>
        <w:gridCol w:w="646"/>
        <w:gridCol w:w="624"/>
        <w:gridCol w:w="551"/>
        <w:gridCol w:w="707"/>
        <w:gridCol w:w="815"/>
        <w:gridCol w:w="783"/>
      </w:tblGrid>
      <w:tr w14:paraId="0AA11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4" w:type="pct"/>
            <w:vMerge w:val="restart"/>
            <w:tcBorders>
              <w:tl2br w:val="nil"/>
              <w:tr2bl w:val="nil"/>
            </w:tcBorders>
            <w:vAlign w:val="center"/>
          </w:tcPr>
          <w:p w14:paraId="6F7C30B5">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编号</w:t>
            </w:r>
          </w:p>
        </w:tc>
        <w:tc>
          <w:tcPr>
            <w:tcW w:w="621" w:type="pct"/>
            <w:vMerge w:val="restart"/>
            <w:tcBorders>
              <w:tl2br w:val="nil"/>
              <w:tr2bl w:val="nil"/>
            </w:tcBorders>
            <w:vAlign w:val="center"/>
          </w:tcPr>
          <w:p w14:paraId="49A04447">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工程内容</w:t>
            </w:r>
          </w:p>
        </w:tc>
        <w:tc>
          <w:tcPr>
            <w:tcW w:w="321" w:type="pct"/>
            <w:vMerge w:val="restart"/>
            <w:tcBorders>
              <w:tl2br w:val="nil"/>
              <w:tr2bl w:val="nil"/>
            </w:tcBorders>
            <w:vAlign w:val="center"/>
          </w:tcPr>
          <w:p w14:paraId="1850F8AD">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污染源名称</w:t>
            </w:r>
          </w:p>
        </w:tc>
        <w:tc>
          <w:tcPr>
            <w:tcW w:w="550" w:type="pct"/>
            <w:gridSpan w:val="2"/>
            <w:tcBorders>
              <w:tl2br w:val="nil"/>
              <w:tr2bl w:val="nil"/>
            </w:tcBorders>
            <w:vAlign w:val="center"/>
          </w:tcPr>
          <w:p w14:paraId="0C095C1F">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排气筒底部中心坐标/m</w:t>
            </w:r>
          </w:p>
        </w:tc>
        <w:tc>
          <w:tcPr>
            <w:tcW w:w="371" w:type="pct"/>
            <w:vMerge w:val="restart"/>
            <w:tcBorders>
              <w:tl2br w:val="nil"/>
              <w:tr2bl w:val="nil"/>
            </w:tcBorders>
            <w:vAlign w:val="center"/>
          </w:tcPr>
          <w:p w14:paraId="6A9C77DE">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排气筒底部海拔高度/m</w:t>
            </w:r>
          </w:p>
        </w:tc>
        <w:tc>
          <w:tcPr>
            <w:tcW w:w="303" w:type="pct"/>
            <w:vMerge w:val="restart"/>
            <w:tcBorders>
              <w:tl2br w:val="nil"/>
              <w:tr2bl w:val="nil"/>
            </w:tcBorders>
            <w:vAlign w:val="center"/>
          </w:tcPr>
          <w:p w14:paraId="720E8D9D">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排气筒高度/m</w:t>
            </w:r>
          </w:p>
        </w:tc>
        <w:tc>
          <w:tcPr>
            <w:tcW w:w="282" w:type="pct"/>
            <w:vMerge w:val="restart"/>
            <w:tcBorders>
              <w:tl2br w:val="nil"/>
              <w:tr2bl w:val="nil"/>
            </w:tcBorders>
            <w:vAlign w:val="center"/>
          </w:tcPr>
          <w:p w14:paraId="0D720A88">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排气筒出口内径/m</w:t>
            </w:r>
          </w:p>
        </w:tc>
        <w:tc>
          <w:tcPr>
            <w:tcW w:w="365" w:type="pct"/>
            <w:vMerge w:val="restart"/>
            <w:tcBorders>
              <w:tl2br w:val="nil"/>
              <w:tr2bl w:val="nil"/>
            </w:tcBorders>
            <w:vAlign w:val="center"/>
          </w:tcPr>
          <w:p w14:paraId="0212F024">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烟气流量/m</w:t>
            </w:r>
            <w:r>
              <w:rPr>
                <w:rFonts w:ascii="Times New Roman" w:hAnsi="Times New Roman" w:eastAsia="宋体" w:cs="Times New Roman"/>
                <w:color w:val="FF0000"/>
                <w:kern w:val="0"/>
                <w:sz w:val="21"/>
                <w:szCs w:val="21"/>
                <w:vertAlign w:val="superscript"/>
              </w:rPr>
              <w:t>3</w:t>
            </w:r>
            <w:r>
              <w:rPr>
                <w:rFonts w:ascii="Times New Roman" w:hAnsi="Times New Roman" w:eastAsia="宋体" w:cs="Times New Roman"/>
                <w:color w:val="FF0000"/>
                <w:kern w:val="0"/>
                <w:sz w:val="21"/>
                <w:szCs w:val="21"/>
              </w:rPr>
              <w:t>/h</w:t>
            </w:r>
          </w:p>
        </w:tc>
        <w:tc>
          <w:tcPr>
            <w:tcW w:w="352" w:type="pct"/>
            <w:vMerge w:val="restart"/>
            <w:tcBorders>
              <w:tl2br w:val="nil"/>
              <w:tr2bl w:val="nil"/>
            </w:tcBorders>
            <w:vAlign w:val="center"/>
          </w:tcPr>
          <w:p w14:paraId="4F940982">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烟气出口温度/℃</w:t>
            </w:r>
          </w:p>
        </w:tc>
        <w:tc>
          <w:tcPr>
            <w:tcW w:w="311" w:type="pct"/>
            <w:vMerge w:val="restart"/>
            <w:tcBorders>
              <w:tl2br w:val="nil"/>
              <w:tr2bl w:val="nil"/>
            </w:tcBorders>
            <w:vAlign w:val="center"/>
          </w:tcPr>
          <w:p w14:paraId="19F121AB">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年排放小时数/h</w:t>
            </w:r>
          </w:p>
        </w:tc>
        <w:tc>
          <w:tcPr>
            <w:tcW w:w="399" w:type="pct"/>
            <w:vMerge w:val="restart"/>
            <w:tcBorders>
              <w:tl2br w:val="nil"/>
              <w:tr2bl w:val="nil"/>
            </w:tcBorders>
            <w:vAlign w:val="center"/>
          </w:tcPr>
          <w:p w14:paraId="216A8574">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排放工况</w:t>
            </w:r>
          </w:p>
        </w:tc>
        <w:tc>
          <w:tcPr>
            <w:tcW w:w="904" w:type="pct"/>
            <w:gridSpan w:val="2"/>
            <w:vMerge w:val="restart"/>
            <w:tcBorders>
              <w:tl2br w:val="nil"/>
              <w:tr2bl w:val="nil"/>
            </w:tcBorders>
            <w:vAlign w:val="center"/>
          </w:tcPr>
          <w:p w14:paraId="3167A640">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污染物排放速率/(kg/h)</w:t>
            </w:r>
          </w:p>
        </w:tc>
      </w:tr>
      <w:tr w14:paraId="30872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4" w:type="pct"/>
            <w:vMerge w:val="continue"/>
            <w:tcBorders>
              <w:tl2br w:val="nil"/>
              <w:tr2bl w:val="nil"/>
            </w:tcBorders>
            <w:vAlign w:val="center"/>
          </w:tcPr>
          <w:p w14:paraId="1F0A5EBF">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621" w:type="pct"/>
            <w:vMerge w:val="continue"/>
            <w:tcBorders>
              <w:tl2br w:val="nil"/>
              <w:tr2bl w:val="nil"/>
            </w:tcBorders>
            <w:vAlign w:val="center"/>
          </w:tcPr>
          <w:p w14:paraId="7545AE62">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21" w:type="pct"/>
            <w:vMerge w:val="continue"/>
            <w:tcBorders>
              <w:tl2br w:val="nil"/>
              <w:tr2bl w:val="nil"/>
            </w:tcBorders>
            <w:vAlign w:val="center"/>
          </w:tcPr>
          <w:p w14:paraId="57D7DFC6">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37" w:type="pct"/>
            <w:tcBorders>
              <w:tl2br w:val="nil"/>
              <w:tr2bl w:val="nil"/>
            </w:tcBorders>
            <w:vAlign w:val="center"/>
          </w:tcPr>
          <w:p w14:paraId="66A7B5C0">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X</w:t>
            </w:r>
          </w:p>
        </w:tc>
        <w:tc>
          <w:tcPr>
            <w:tcW w:w="312" w:type="pct"/>
            <w:tcBorders>
              <w:tl2br w:val="nil"/>
              <w:tr2bl w:val="nil"/>
            </w:tcBorders>
            <w:vAlign w:val="center"/>
          </w:tcPr>
          <w:p w14:paraId="2346D526">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Y</w:t>
            </w:r>
          </w:p>
        </w:tc>
        <w:tc>
          <w:tcPr>
            <w:tcW w:w="371" w:type="pct"/>
            <w:vMerge w:val="continue"/>
            <w:tcBorders>
              <w:tl2br w:val="nil"/>
              <w:tr2bl w:val="nil"/>
            </w:tcBorders>
            <w:vAlign w:val="center"/>
          </w:tcPr>
          <w:p w14:paraId="54622625">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03" w:type="pct"/>
            <w:vMerge w:val="continue"/>
            <w:tcBorders>
              <w:tl2br w:val="nil"/>
              <w:tr2bl w:val="nil"/>
            </w:tcBorders>
            <w:vAlign w:val="center"/>
          </w:tcPr>
          <w:p w14:paraId="09876E9F">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82" w:type="pct"/>
            <w:vMerge w:val="continue"/>
            <w:tcBorders>
              <w:tl2br w:val="nil"/>
              <w:tr2bl w:val="nil"/>
            </w:tcBorders>
            <w:vAlign w:val="center"/>
          </w:tcPr>
          <w:p w14:paraId="1B6DE6D8">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65" w:type="pct"/>
            <w:vMerge w:val="continue"/>
            <w:tcBorders>
              <w:tl2br w:val="nil"/>
              <w:tr2bl w:val="nil"/>
            </w:tcBorders>
            <w:vAlign w:val="center"/>
          </w:tcPr>
          <w:p w14:paraId="1DE287B3">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52" w:type="pct"/>
            <w:vMerge w:val="continue"/>
            <w:tcBorders>
              <w:tl2br w:val="nil"/>
              <w:tr2bl w:val="nil"/>
            </w:tcBorders>
            <w:vAlign w:val="center"/>
          </w:tcPr>
          <w:p w14:paraId="1970E06E">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11" w:type="pct"/>
            <w:vMerge w:val="continue"/>
            <w:tcBorders>
              <w:tl2br w:val="nil"/>
              <w:tr2bl w:val="nil"/>
            </w:tcBorders>
            <w:vAlign w:val="center"/>
          </w:tcPr>
          <w:p w14:paraId="4EAF48FB">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99" w:type="pct"/>
            <w:vMerge w:val="continue"/>
            <w:tcBorders>
              <w:tl2br w:val="nil"/>
              <w:tr2bl w:val="nil"/>
            </w:tcBorders>
            <w:vAlign w:val="center"/>
          </w:tcPr>
          <w:p w14:paraId="3B466609">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904" w:type="pct"/>
            <w:gridSpan w:val="2"/>
            <w:vMerge w:val="continue"/>
            <w:tcBorders>
              <w:tl2br w:val="nil"/>
              <w:tr2bl w:val="nil"/>
            </w:tcBorders>
            <w:vAlign w:val="center"/>
          </w:tcPr>
          <w:p w14:paraId="6C4F307C">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r>
      <w:tr w14:paraId="6A3A8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4" w:type="pct"/>
            <w:vMerge w:val="restart"/>
            <w:tcBorders>
              <w:tl2br w:val="nil"/>
              <w:tr2bl w:val="nil"/>
            </w:tcBorders>
            <w:vAlign w:val="center"/>
          </w:tcPr>
          <w:p w14:paraId="2AB1C15E">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1</w:t>
            </w:r>
          </w:p>
        </w:tc>
        <w:tc>
          <w:tcPr>
            <w:tcW w:w="621" w:type="pct"/>
            <w:vMerge w:val="restart"/>
            <w:tcBorders>
              <w:tl2br w:val="nil"/>
              <w:tr2bl w:val="nil"/>
            </w:tcBorders>
            <w:vAlign w:val="center"/>
          </w:tcPr>
          <w:p w14:paraId="605D24D4">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sz w:val="21"/>
                <w:szCs w:val="21"/>
                <w:lang w:val="en-US" w:eastAsia="zh-CN"/>
              </w:rPr>
              <w:t>现有2×46MW锅炉</w:t>
            </w:r>
          </w:p>
        </w:tc>
        <w:tc>
          <w:tcPr>
            <w:tcW w:w="321" w:type="pct"/>
            <w:vMerge w:val="restart"/>
            <w:tcBorders>
              <w:tl2br w:val="nil"/>
              <w:tr2bl w:val="nil"/>
            </w:tcBorders>
            <w:vAlign w:val="center"/>
          </w:tcPr>
          <w:p w14:paraId="132128BA">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锅炉烟囱</w:t>
            </w:r>
            <w:r>
              <w:rPr>
                <w:rFonts w:hint="eastAsia" w:ascii="Times New Roman" w:hAnsi="Times New Roman" w:eastAsia="宋体" w:cs="Times New Roman"/>
                <w:color w:val="FF0000"/>
                <w:kern w:val="0"/>
                <w:sz w:val="21"/>
                <w:szCs w:val="21"/>
              </w:rPr>
              <w:t>DA001</w:t>
            </w:r>
          </w:p>
        </w:tc>
        <w:tc>
          <w:tcPr>
            <w:tcW w:w="237" w:type="pct"/>
            <w:vMerge w:val="restart"/>
            <w:tcBorders>
              <w:tl2br w:val="nil"/>
              <w:tr2bl w:val="nil"/>
            </w:tcBorders>
            <w:vAlign w:val="center"/>
          </w:tcPr>
          <w:p w14:paraId="19593CC9">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150</w:t>
            </w:r>
          </w:p>
        </w:tc>
        <w:tc>
          <w:tcPr>
            <w:tcW w:w="312" w:type="pct"/>
            <w:vMerge w:val="restart"/>
            <w:tcBorders>
              <w:tl2br w:val="nil"/>
              <w:tr2bl w:val="nil"/>
            </w:tcBorders>
            <w:vAlign w:val="center"/>
          </w:tcPr>
          <w:p w14:paraId="46E0CB66">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169</w:t>
            </w:r>
          </w:p>
        </w:tc>
        <w:tc>
          <w:tcPr>
            <w:tcW w:w="371" w:type="pct"/>
            <w:vMerge w:val="restart"/>
            <w:tcBorders>
              <w:tl2br w:val="nil"/>
              <w:tr2bl w:val="nil"/>
            </w:tcBorders>
            <w:vAlign w:val="center"/>
          </w:tcPr>
          <w:p w14:paraId="4C992613">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126</w:t>
            </w:r>
          </w:p>
        </w:tc>
        <w:tc>
          <w:tcPr>
            <w:tcW w:w="303" w:type="pct"/>
            <w:vMerge w:val="restart"/>
            <w:tcBorders>
              <w:tl2br w:val="nil"/>
              <w:tr2bl w:val="nil"/>
            </w:tcBorders>
            <w:vAlign w:val="center"/>
          </w:tcPr>
          <w:p w14:paraId="084D4EB2">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eastAsia" w:ascii="Times New Roman" w:hAnsi="Times New Roman" w:eastAsia="宋体" w:cs="Times New Roman"/>
                <w:color w:val="FF0000"/>
                <w:kern w:val="0"/>
                <w:sz w:val="21"/>
                <w:szCs w:val="21"/>
                <w:lang w:eastAsia="zh-CN"/>
              </w:rPr>
            </w:pPr>
            <w:r>
              <w:rPr>
                <w:rFonts w:hint="eastAsia" w:ascii="Times New Roman" w:hAnsi="Times New Roman" w:eastAsia="宋体" w:cs="Times New Roman"/>
                <w:color w:val="FF0000"/>
                <w:kern w:val="0"/>
                <w:sz w:val="21"/>
                <w:szCs w:val="21"/>
              </w:rPr>
              <w:t>5</w:t>
            </w:r>
            <w:r>
              <w:rPr>
                <w:rFonts w:hint="eastAsia" w:ascii="Times New Roman" w:hAnsi="Times New Roman" w:eastAsia="宋体" w:cs="Times New Roman"/>
                <w:color w:val="FF0000"/>
                <w:kern w:val="0"/>
                <w:sz w:val="21"/>
                <w:szCs w:val="21"/>
                <w:lang w:val="en-US" w:eastAsia="zh-CN"/>
              </w:rPr>
              <w:t>8</w:t>
            </w:r>
          </w:p>
        </w:tc>
        <w:tc>
          <w:tcPr>
            <w:tcW w:w="282" w:type="pct"/>
            <w:vMerge w:val="restart"/>
            <w:tcBorders>
              <w:tl2br w:val="nil"/>
              <w:tr2bl w:val="nil"/>
            </w:tcBorders>
            <w:vAlign w:val="center"/>
          </w:tcPr>
          <w:p w14:paraId="2846B9A5">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2.4</w:t>
            </w:r>
          </w:p>
        </w:tc>
        <w:tc>
          <w:tcPr>
            <w:tcW w:w="365" w:type="pct"/>
            <w:vMerge w:val="restart"/>
            <w:tcBorders>
              <w:tl2br w:val="nil"/>
              <w:tr2bl w:val="nil"/>
            </w:tcBorders>
            <w:vAlign w:val="center"/>
          </w:tcPr>
          <w:p w14:paraId="178613C3">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sz w:val="21"/>
                <w:szCs w:val="21"/>
                <w:lang w:val="en-US" w:eastAsia="zh-CN"/>
              </w:rPr>
              <w:t>201529.142</w:t>
            </w:r>
          </w:p>
        </w:tc>
        <w:tc>
          <w:tcPr>
            <w:tcW w:w="352" w:type="pct"/>
            <w:vMerge w:val="restart"/>
            <w:tcBorders>
              <w:tl2br w:val="nil"/>
              <w:tr2bl w:val="nil"/>
            </w:tcBorders>
            <w:vAlign w:val="center"/>
          </w:tcPr>
          <w:p w14:paraId="4A439E24">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50</w:t>
            </w:r>
          </w:p>
        </w:tc>
        <w:tc>
          <w:tcPr>
            <w:tcW w:w="311" w:type="pct"/>
            <w:vMerge w:val="restart"/>
            <w:tcBorders>
              <w:tl2br w:val="nil"/>
              <w:tr2bl w:val="nil"/>
            </w:tcBorders>
            <w:vAlign w:val="center"/>
          </w:tcPr>
          <w:p w14:paraId="6ECB9A86">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2880</w:t>
            </w:r>
          </w:p>
        </w:tc>
        <w:tc>
          <w:tcPr>
            <w:tcW w:w="399" w:type="pct"/>
            <w:vMerge w:val="restart"/>
            <w:tcBorders>
              <w:tl2br w:val="nil"/>
              <w:tr2bl w:val="nil"/>
            </w:tcBorders>
            <w:vAlign w:val="center"/>
          </w:tcPr>
          <w:p w14:paraId="148801E8">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正常排放</w:t>
            </w:r>
          </w:p>
        </w:tc>
        <w:tc>
          <w:tcPr>
            <w:tcW w:w="461" w:type="pct"/>
            <w:tcBorders>
              <w:tl2br w:val="nil"/>
              <w:tr2bl w:val="nil"/>
            </w:tcBorders>
            <w:vAlign w:val="center"/>
          </w:tcPr>
          <w:p w14:paraId="010DE1E7">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iCs/>
                <w:color w:val="FF0000"/>
                <w:kern w:val="0"/>
                <w:sz w:val="21"/>
                <w:szCs w:val="21"/>
              </w:rPr>
              <w:t>PM</w:t>
            </w:r>
            <w:r>
              <w:rPr>
                <w:rFonts w:ascii="Times New Roman" w:hAnsi="Times New Roman" w:eastAsia="宋体" w:cs="Times New Roman"/>
                <w:iCs/>
                <w:color w:val="FF0000"/>
                <w:kern w:val="0"/>
                <w:sz w:val="21"/>
                <w:szCs w:val="21"/>
                <w:vertAlign w:val="subscript"/>
              </w:rPr>
              <w:t>10</w:t>
            </w:r>
          </w:p>
        </w:tc>
        <w:tc>
          <w:tcPr>
            <w:tcW w:w="442" w:type="pct"/>
            <w:tcBorders>
              <w:tl2br w:val="nil"/>
              <w:tr2bl w:val="nil"/>
            </w:tcBorders>
            <w:vAlign w:val="center"/>
          </w:tcPr>
          <w:p w14:paraId="43B6765C">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2.137</w:t>
            </w:r>
          </w:p>
        </w:tc>
      </w:tr>
      <w:tr w14:paraId="17724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4" w:type="pct"/>
            <w:vMerge w:val="continue"/>
            <w:tcBorders>
              <w:tl2br w:val="nil"/>
              <w:tr2bl w:val="nil"/>
            </w:tcBorders>
            <w:vAlign w:val="center"/>
          </w:tcPr>
          <w:p w14:paraId="7BE32638">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621" w:type="pct"/>
            <w:vMerge w:val="continue"/>
            <w:tcBorders>
              <w:tl2br w:val="nil"/>
              <w:tr2bl w:val="nil"/>
            </w:tcBorders>
            <w:vAlign w:val="center"/>
          </w:tcPr>
          <w:p w14:paraId="08B783FF">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sz w:val="21"/>
                <w:szCs w:val="21"/>
              </w:rPr>
            </w:pPr>
          </w:p>
        </w:tc>
        <w:tc>
          <w:tcPr>
            <w:tcW w:w="321" w:type="pct"/>
            <w:vMerge w:val="continue"/>
            <w:tcBorders>
              <w:tl2br w:val="nil"/>
              <w:tr2bl w:val="nil"/>
            </w:tcBorders>
            <w:vAlign w:val="center"/>
          </w:tcPr>
          <w:p w14:paraId="1D2D4D2C">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37" w:type="pct"/>
            <w:vMerge w:val="continue"/>
            <w:tcBorders>
              <w:tl2br w:val="nil"/>
              <w:tr2bl w:val="nil"/>
            </w:tcBorders>
            <w:vAlign w:val="center"/>
          </w:tcPr>
          <w:p w14:paraId="23023A60">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12" w:type="pct"/>
            <w:vMerge w:val="continue"/>
            <w:tcBorders>
              <w:tl2br w:val="nil"/>
              <w:tr2bl w:val="nil"/>
            </w:tcBorders>
            <w:vAlign w:val="center"/>
          </w:tcPr>
          <w:p w14:paraId="164CA4FE">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71" w:type="pct"/>
            <w:vMerge w:val="continue"/>
            <w:tcBorders>
              <w:tl2br w:val="nil"/>
              <w:tr2bl w:val="nil"/>
            </w:tcBorders>
            <w:vAlign w:val="center"/>
          </w:tcPr>
          <w:p w14:paraId="3278B3F7">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03" w:type="pct"/>
            <w:vMerge w:val="continue"/>
            <w:tcBorders>
              <w:tl2br w:val="nil"/>
              <w:tr2bl w:val="nil"/>
            </w:tcBorders>
            <w:vAlign w:val="center"/>
          </w:tcPr>
          <w:p w14:paraId="79CB865A">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82" w:type="pct"/>
            <w:vMerge w:val="continue"/>
            <w:tcBorders>
              <w:tl2br w:val="nil"/>
              <w:tr2bl w:val="nil"/>
            </w:tcBorders>
            <w:vAlign w:val="center"/>
          </w:tcPr>
          <w:p w14:paraId="3B4E1B68">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65" w:type="pct"/>
            <w:vMerge w:val="continue"/>
            <w:tcBorders>
              <w:tl2br w:val="nil"/>
              <w:tr2bl w:val="nil"/>
            </w:tcBorders>
            <w:vAlign w:val="center"/>
          </w:tcPr>
          <w:p w14:paraId="573AA6F0">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sz w:val="21"/>
                <w:szCs w:val="21"/>
              </w:rPr>
            </w:pPr>
          </w:p>
        </w:tc>
        <w:tc>
          <w:tcPr>
            <w:tcW w:w="352" w:type="pct"/>
            <w:vMerge w:val="continue"/>
            <w:tcBorders>
              <w:tl2br w:val="nil"/>
              <w:tr2bl w:val="nil"/>
            </w:tcBorders>
            <w:vAlign w:val="center"/>
          </w:tcPr>
          <w:p w14:paraId="792B8D52">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11" w:type="pct"/>
            <w:vMerge w:val="continue"/>
            <w:tcBorders>
              <w:tl2br w:val="nil"/>
              <w:tr2bl w:val="nil"/>
            </w:tcBorders>
            <w:vAlign w:val="center"/>
          </w:tcPr>
          <w:p w14:paraId="4EB21228">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99" w:type="pct"/>
            <w:vMerge w:val="continue"/>
            <w:tcBorders>
              <w:tl2br w:val="nil"/>
              <w:tr2bl w:val="nil"/>
            </w:tcBorders>
            <w:vAlign w:val="center"/>
          </w:tcPr>
          <w:p w14:paraId="0DEA43D3">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461" w:type="pct"/>
            <w:tcBorders>
              <w:tl2br w:val="nil"/>
              <w:tr2bl w:val="nil"/>
            </w:tcBorders>
            <w:vAlign w:val="center"/>
          </w:tcPr>
          <w:p w14:paraId="67786DE3">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iCs/>
                <w:color w:val="FF0000"/>
                <w:kern w:val="0"/>
                <w:sz w:val="21"/>
                <w:szCs w:val="21"/>
                <w:vertAlign w:val="subscript"/>
              </w:rPr>
            </w:pPr>
            <w:r>
              <w:rPr>
                <w:rFonts w:hint="eastAsia" w:ascii="Times New Roman" w:hAnsi="Times New Roman" w:eastAsia="宋体" w:cs="Times New Roman"/>
                <w:iCs/>
                <w:color w:val="FF0000"/>
                <w:kern w:val="0"/>
                <w:sz w:val="21"/>
                <w:szCs w:val="21"/>
              </w:rPr>
              <w:t>PM</w:t>
            </w:r>
            <w:r>
              <w:rPr>
                <w:rFonts w:hint="eastAsia" w:ascii="Times New Roman" w:hAnsi="Times New Roman" w:eastAsia="宋体" w:cs="Times New Roman"/>
                <w:iCs/>
                <w:color w:val="FF0000"/>
                <w:kern w:val="0"/>
                <w:sz w:val="21"/>
                <w:szCs w:val="21"/>
                <w:vertAlign w:val="subscript"/>
              </w:rPr>
              <w:t>2.5</w:t>
            </w:r>
          </w:p>
        </w:tc>
        <w:tc>
          <w:tcPr>
            <w:tcW w:w="442" w:type="pct"/>
            <w:tcBorders>
              <w:tl2br w:val="nil"/>
              <w:tr2bl w:val="nil"/>
            </w:tcBorders>
            <w:vAlign w:val="center"/>
          </w:tcPr>
          <w:p w14:paraId="09AF2149">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1.389</w:t>
            </w:r>
          </w:p>
        </w:tc>
      </w:tr>
      <w:tr w14:paraId="224DA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4" w:type="pct"/>
            <w:vMerge w:val="continue"/>
            <w:tcBorders>
              <w:tl2br w:val="nil"/>
              <w:tr2bl w:val="nil"/>
            </w:tcBorders>
            <w:vAlign w:val="center"/>
          </w:tcPr>
          <w:p w14:paraId="6E974FEB">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621" w:type="pct"/>
            <w:vMerge w:val="continue"/>
            <w:tcBorders>
              <w:tl2br w:val="nil"/>
              <w:tr2bl w:val="nil"/>
            </w:tcBorders>
            <w:vAlign w:val="center"/>
          </w:tcPr>
          <w:p w14:paraId="3BD2940E">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21" w:type="pct"/>
            <w:vMerge w:val="continue"/>
            <w:tcBorders>
              <w:tl2br w:val="nil"/>
              <w:tr2bl w:val="nil"/>
            </w:tcBorders>
            <w:vAlign w:val="center"/>
          </w:tcPr>
          <w:p w14:paraId="7518C689">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37" w:type="pct"/>
            <w:vMerge w:val="continue"/>
            <w:tcBorders>
              <w:tl2br w:val="nil"/>
              <w:tr2bl w:val="nil"/>
            </w:tcBorders>
            <w:vAlign w:val="center"/>
          </w:tcPr>
          <w:p w14:paraId="13E0898E">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12" w:type="pct"/>
            <w:vMerge w:val="continue"/>
            <w:tcBorders>
              <w:tl2br w:val="nil"/>
              <w:tr2bl w:val="nil"/>
            </w:tcBorders>
            <w:vAlign w:val="center"/>
          </w:tcPr>
          <w:p w14:paraId="2C9C3A30">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71" w:type="pct"/>
            <w:vMerge w:val="continue"/>
            <w:tcBorders>
              <w:tl2br w:val="nil"/>
              <w:tr2bl w:val="nil"/>
            </w:tcBorders>
            <w:vAlign w:val="center"/>
          </w:tcPr>
          <w:p w14:paraId="63A9946B">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03" w:type="pct"/>
            <w:vMerge w:val="continue"/>
            <w:tcBorders>
              <w:tl2br w:val="nil"/>
              <w:tr2bl w:val="nil"/>
            </w:tcBorders>
            <w:vAlign w:val="center"/>
          </w:tcPr>
          <w:p w14:paraId="5F390348">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82" w:type="pct"/>
            <w:vMerge w:val="continue"/>
            <w:tcBorders>
              <w:tl2br w:val="nil"/>
              <w:tr2bl w:val="nil"/>
            </w:tcBorders>
            <w:vAlign w:val="center"/>
          </w:tcPr>
          <w:p w14:paraId="736743C6">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65" w:type="pct"/>
            <w:vMerge w:val="continue"/>
            <w:tcBorders>
              <w:tl2br w:val="nil"/>
              <w:tr2bl w:val="nil"/>
            </w:tcBorders>
            <w:vAlign w:val="center"/>
          </w:tcPr>
          <w:p w14:paraId="66525F18">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52" w:type="pct"/>
            <w:vMerge w:val="continue"/>
            <w:tcBorders>
              <w:tl2br w:val="nil"/>
              <w:tr2bl w:val="nil"/>
            </w:tcBorders>
            <w:vAlign w:val="center"/>
          </w:tcPr>
          <w:p w14:paraId="1DB03B30">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11" w:type="pct"/>
            <w:vMerge w:val="continue"/>
            <w:tcBorders>
              <w:tl2br w:val="nil"/>
              <w:tr2bl w:val="nil"/>
            </w:tcBorders>
            <w:vAlign w:val="center"/>
          </w:tcPr>
          <w:p w14:paraId="6DC2885E">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99" w:type="pct"/>
            <w:vMerge w:val="continue"/>
            <w:tcBorders>
              <w:tl2br w:val="nil"/>
              <w:tr2bl w:val="nil"/>
            </w:tcBorders>
            <w:vAlign w:val="center"/>
          </w:tcPr>
          <w:p w14:paraId="1C17F97E">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461" w:type="pct"/>
            <w:tcBorders>
              <w:tl2br w:val="nil"/>
              <w:tr2bl w:val="nil"/>
            </w:tcBorders>
            <w:vAlign w:val="center"/>
          </w:tcPr>
          <w:p w14:paraId="2D740B7B">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SO</w:t>
            </w:r>
            <w:r>
              <w:rPr>
                <w:rFonts w:ascii="Times New Roman" w:hAnsi="Times New Roman" w:eastAsia="宋体" w:cs="Times New Roman"/>
                <w:color w:val="FF0000"/>
                <w:kern w:val="0"/>
                <w:sz w:val="21"/>
                <w:szCs w:val="21"/>
                <w:vertAlign w:val="subscript"/>
              </w:rPr>
              <w:t>2</w:t>
            </w:r>
          </w:p>
        </w:tc>
        <w:tc>
          <w:tcPr>
            <w:tcW w:w="442" w:type="pct"/>
            <w:tcBorders>
              <w:tl2br w:val="nil"/>
              <w:tr2bl w:val="nil"/>
            </w:tcBorders>
            <w:vAlign w:val="center"/>
          </w:tcPr>
          <w:p w14:paraId="058FD516">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18.081</w:t>
            </w:r>
          </w:p>
        </w:tc>
      </w:tr>
      <w:tr w14:paraId="4736E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4" w:type="pct"/>
            <w:vMerge w:val="continue"/>
            <w:tcBorders>
              <w:tl2br w:val="nil"/>
              <w:tr2bl w:val="nil"/>
            </w:tcBorders>
            <w:vAlign w:val="center"/>
          </w:tcPr>
          <w:p w14:paraId="4A5F550E">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621" w:type="pct"/>
            <w:vMerge w:val="continue"/>
            <w:tcBorders>
              <w:tl2br w:val="nil"/>
              <w:tr2bl w:val="nil"/>
            </w:tcBorders>
            <w:vAlign w:val="center"/>
          </w:tcPr>
          <w:p w14:paraId="1C2EC9AE">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21" w:type="pct"/>
            <w:vMerge w:val="continue"/>
            <w:tcBorders>
              <w:tl2br w:val="nil"/>
              <w:tr2bl w:val="nil"/>
            </w:tcBorders>
            <w:vAlign w:val="center"/>
          </w:tcPr>
          <w:p w14:paraId="1AA61F76">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37" w:type="pct"/>
            <w:vMerge w:val="continue"/>
            <w:tcBorders>
              <w:tl2br w:val="nil"/>
              <w:tr2bl w:val="nil"/>
            </w:tcBorders>
            <w:vAlign w:val="center"/>
          </w:tcPr>
          <w:p w14:paraId="35F0D322">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12" w:type="pct"/>
            <w:vMerge w:val="continue"/>
            <w:tcBorders>
              <w:tl2br w:val="nil"/>
              <w:tr2bl w:val="nil"/>
            </w:tcBorders>
            <w:vAlign w:val="center"/>
          </w:tcPr>
          <w:p w14:paraId="4389FD6E">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71" w:type="pct"/>
            <w:vMerge w:val="continue"/>
            <w:tcBorders>
              <w:tl2br w:val="nil"/>
              <w:tr2bl w:val="nil"/>
            </w:tcBorders>
            <w:vAlign w:val="center"/>
          </w:tcPr>
          <w:p w14:paraId="1E1B6F71">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03" w:type="pct"/>
            <w:vMerge w:val="continue"/>
            <w:tcBorders>
              <w:tl2br w:val="nil"/>
              <w:tr2bl w:val="nil"/>
            </w:tcBorders>
            <w:vAlign w:val="center"/>
          </w:tcPr>
          <w:p w14:paraId="446E5DA8">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282" w:type="pct"/>
            <w:vMerge w:val="continue"/>
            <w:tcBorders>
              <w:tl2br w:val="nil"/>
              <w:tr2bl w:val="nil"/>
            </w:tcBorders>
            <w:vAlign w:val="center"/>
          </w:tcPr>
          <w:p w14:paraId="1E794CDC">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65" w:type="pct"/>
            <w:vMerge w:val="continue"/>
            <w:tcBorders>
              <w:tl2br w:val="nil"/>
              <w:tr2bl w:val="nil"/>
            </w:tcBorders>
            <w:vAlign w:val="center"/>
          </w:tcPr>
          <w:p w14:paraId="7D11055B">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52" w:type="pct"/>
            <w:vMerge w:val="continue"/>
            <w:tcBorders>
              <w:tl2br w:val="nil"/>
              <w:tr2bl w:val="nil"/>
            </w:tcBorders>
            <w:vAlign w:val="center"/>
          </w:tcPr>
          <w:p w14:paraId="78B94508">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11" w:type="pct"/>
            <w:vMerge w:val="continue"/>
            <w:tcBorders>
              <w:tl2br w:val="nil"/>
              <w:tr2bl w:val="nil"/>
            </w:tcBorders>
            <w:vAlign w:val="center"/>
          </w:tcPr>
          <w:p w14:paraId="3059AEA5">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399" w:type="pct"/>
            <w:vMerge w:val="continue"/>
            <w:tcBorders>
              <w:tl2br w:val="nil"/>
              <w:tr2bl w:val="nil"/>
            </w:tcBorders>
            <w:vAlign w:val="center"/>
          </w:tcPr>
          <w:p w14:paraId="15FC5939">
            <w:pPr>
              <w:keepNext w:val="0"/>
              <w:keepLines w:val="0"/>
              <w:pageBreakBefore w:val="0"/>
              <w:widowControl/>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p>
        </w:tc>
        <w:tc>
          <w:tcPr>
            <w:tcW w:w="461" w:type="pct"/>
            <w:tcBorders>
              <w:tl2br w:val="nil"/>
              <w:tr2bl w:val="nil"/>
            </w:tcBorders>
            <w:vAlign w:val="center"/>
          </w:tcPr>
          <w:p w14:paraId="29D158AA">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ascii="Times New Roman" w:hAnsi="Times New Roman" w:eastAsia="宋体" w:cs="Times New Roman"/>
                <w:color w:val="FF0000"/>
                <w:kern w:val="0"/>
                <w:sz w:val="21"/>
                <w:szCs w:val="21"/>
              </w:rPr>
            </w:pPr>
            <w:r>
              <w:rPr>
                <w:rFonts w:ascii="Times New Roman" w:hAnsi="Times New Roman" w:eastAsia="宋体" w:cs="Times New Roman"/>
                <w:color w:val="FF0000"/>
                <w:kern w:val="0"/>
                <w:sz w:val="21"/>
                <w:szCs w:val="21"/>
              </w:rPr>
              <w:t>NO</w:t>
            </w:r>
            <w:r>
              <w:rPr>
                <w:rFonts w:ascii="Times New Roman" w:hAnsi="Times New Roman" w:eastAsia="宋体" w:cs="Times New Roman"/>
                <w:color w:val="FF0000"/>
                <w:kern w:val="0"/>
                <w:sz w:val="21"/>
                <w:szCs w:val="21"/>
                <w:vertAlign w:val="subscript"/>
              </w:rPr>
              <w:t>x</w:t>
            </w:r>
          </w:p>
        </w:tc>
        <w:tc>
          <w:tcPr>
            <w:tcW w:w="442" w:type="pct"/>
            <w:tcBorders>
              <w:tl2br w:val="nil"/>
              <w:tr2bl w:val="nil"/>
            </w:tcBorders>
            <w:vAlign w:val="center"/>
          </w:tcPr>
          <w:p w14:paraId="1A8BFB17">
            <w:pPr>
              <w:keepNext w:val="0"/>
              <w:keepLines w:val="0"/>
              <w:pageBreakBefore w:val="0"/>
              <w:kinsoku/>
              <w:wordWrap/>
              <w:overflowPunct/>
              <w:topLinePunct w:val="0"/>
              <w:autoSpaceDE/>
              <w:autoSpaceDN/>
              <w:bidi w:val="0"/>
              <w:adjustRightInd/>
              <w:snapToGrid/>
              <w:spacing w:line="240" w:lineRule="exact"/>
              <w:ind w:firstLine="0" w:firstLineChars="0"/>
              <w:jc w:val="center"/>
              <w:textAlignment w:val="auto"/>
              <w:rPr>
                <w:rFonts w:hint="default" w:ascii="Times New Roman" w:hAnsi="Times New Roman" w:eastAsia="宋体" w:cs="Times New Roman"/>
                <w:color w:val="FF0000"/>
                <w:kern w:val="0"/>
                <w:sz w:val="21"/>
                <w:szCs w:val="21"/>
                <w:lang w:val="en-US" w:eastAsia="zh-CN"/>
              </w:rPr>
            </w:pPr>
            <w:r>
              <w:rPr>
                <w:rFonts w:hint="eastAsia" w:ascii="Times New Roman" w:hAnsi="Times New Roman" w:eastAsia="宋体" w:cs="Times New Roman"/>
                <w:color w:val="FF0000"/>
                <w:kern w:val="0"/>
                <w:sz w:val="21"/>
                <w:szCs w:val="21"/>
                <w:lang w:val="en-US" w:eastAsia="zh-CN"/>
              </w:rPr>
              <w:t>25.395</w:t>
            </w:r>
          </w:p>
        </w:tc>
      </w:tr>
    </w:tbl>
    <w:p w14:paraId="67D6AE5B">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default" w:ascii="Times New Roman" w:hAnsi="Times New Roman" w:eastAsia="宋体" w:cs="Times New Roman"/>
          <w:b/>
          <w:bCs/>
          <w:color w:val="auto"/>
          <w:kern w:val="2"/>
          <w:sz w:val="32"/>
          <w:szCs w:val="32"/>
        </w:rPr>
      </w:pPr>
      <w:bookmarkStart w:id="403" w:name="_Toc25723"/>
      <w:bookmarkStart w:id="404" w:name="_Toc26497"/>
      <w:r>
        <w:rPr>
          <w:rStyle w:val="164"/>
          <w:rFonts w:hint="eastAsia" w:ascii="Times New Roman" w:hAnsi="Times New Roman" w:eastAsia="宋体" w:cs="Times New Roman"/>
          <w:b/>
          <w:bCs/>
          <w:color w:val="auto"/>
          <w:kern w:val="2"/>
          <w:sz w:val="32"/>
          <w:szCs w:val="32"/>
          <w:lang w:val="en-US"/>
        </w:rPr>
        <w:t>6、</w:t>
      </w:r>
      <w:r>
        <w:rPr>
          <w:rStyle w:val="164"/>
          <w:rFonts w:hint="default" w:ascii="Times New Roman" w:hAnsi="Times New Roman" w:eastAsia="宋体" w:cs="Times New Roman"/>
          <w:b/>
          <w:bCs/>
          <w:color w:val="auto"/>
          <w:kern w:val="2"/>
          <w:sz w:val="32"/>
          <w:szCs w:val="32"/>
        </w:rPr>
        <w:t>环境影响预测与评价</w:t>
      </w:r>
      <w:bookmarkEnd w:id="403"/>
      <w:bookmarkEnd w:id="404"/>
    </w:p>
    <w:p w14:paraId="244D5BCA">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405" w:name="_Toc25826"/>
      <w:bookmarkStart w:id="406" w:name="_Toc26883"/>
      <w:r>
        <w:rPr>
          <w:rFonts w:hint="eastAsia" w:ascii="Times New Roman" w:hAnsi="Times New Roman" w:eastAsia="宋体" w:cs="Times New Roman"/>
          <w:b/>
          <w:bCs/>
          <w:color w:val="auto"/>
          <w:lang w:val="en-US" w:eastAsia="zh-CN"/>
        </w:rPr>
        <w:t xml:space="preserve">6.1 </w:t>
      </w:r>
      <w:r>
        <w:rPr>
          <w:rFonts w:hint="eastAsia" w:ascii="Times New Roman" w:hAnsi="Times New Roman" w:eastAsia="宋体" w:cs="Times New Roman"/>
          <w:b/>
          <w:bCs/>
          <w:color w:val="auto"/>
        </w:rPr>
        <w:t>施工期环境影响预测</w:t>
      </w:r>
      <w:bookmarkEnd w:id="405"/>
      <w:bookmarkEnd w:id="406"/>
    </w:p>
    <w:p w14:paraId="7295EF7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07" w:name="_Toc5511"/>
      <w:bookmarkStart w:id="408" w:name="_Toc17221"/>
      <w:bookmarkStart w:id="409" w:name="_Toc2776"/>
      <w:r>
        <w:rPr>
          <w:rFonts w:hint="eastAsia" w:ascii="Times New Roman" w:hAnsi="Times New Roman" w:eastAsia="宋体" w:cs="Times New Roman"/>
          <w:b/>
          <w:bCs/>
          <w:color w:val="auto"/>
          <w:sz w:val="28"/>
          <w:szCs w:val="28"/>
          <w:lang w:val="en-US" w:eastAsia="zh-CN"/>
        </w:rPr>
        <w:t>6.1.1 大气环境影响评价</w:t>
      </w:r>
      <w:bookmarkEnd w:id="407"/>
      <w:bookmarkEnd w:id="408"/>
      <w:bookmarkEnd w:id="409"/>
    </w:p>
    <w:p w14:paraId="27E9ADC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本项目施工期扬尘主要来自施工厂房内建筑材料（白灰、水泥、沙子等）的现场搬运及堆放扬尘；</w:t>
      </w:r>
      <w:r>
        <w:rPr>
          <w:rFonts w:hint="eastAsia" w:ascii="Times New Roman" w:hAnsi="Times New Roman" w:eastAsia="宋体" w:cs="Times New Roman"/>
          <w:color w:val="auto"/>
          <w:sz w:val="24"/>
          <w:szCs w:val="24"/>
          <w:highlight w:val="none"/>
          <w:lang w:val="en-US" w:eastAsia="zh-CN"/>
        </w:rPr>
        <w:t>土方的挖掘扬尘及堆放扬尘，</w:t>
      </w:r>
      <w:r>
        <w:rPr>
          <w:rFonts w:hint="default" w:ascii="Times New Roman" w:hAnsi="Times New Roman" w:eastAsia="宋体" w:cs="Times New Roman"/>
          <w:color w:val="auto"/>
          <w:sz w:val="24"/>
          <w:szCs w:val="24"/>
          <w:highlight w:val="none"/>
          <w:lang w:val="en-US" w:eastAsia="zh-CN"/>
        </w:rPr>
        <w:t>施工现场道路扬尘。其扬尘量的大小与施工现场条件、管理水平、机械化程度及施工季节、土质及天气等诸多因素有关。本次评价采用类比法对施工期扬尘进行分析，类比资料来源于北京市环境保护科学研究院对建筑工程施工工地的扬尘情况监测数据，见表6.1-1。</w:t>
      </w:r>
    </w:p>
    <w:p w14:paraId="515E78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表6.1-1  建筑施工现场扬尘（TSP）对环境的污染状况（mg/m</w:t>
      </w:r>
      <w:r>
        <w:rPr>
          <w:rFonts w:hint="default" w:ascii="Times New Roman" w:hAnsi="Times New Roman" w:eastAsia="宋体" w:cs="Times New Roman"/>
          <w:b/>
          <w:bCs/>
          <w:color w:val="auto"/>
          <w:sz w:val="24"/>
          <w:szCs w:val="24"/>
          <w:vertAlign w:val="superscript"/>
          <w:lang w:val="en-US" w:eastAsia="zh-CN"/>
        </w:rPr>
        <w:t>3</w:t>
      </w:r>
      <w:r>
        <w:rPr>
          <w:rFonts w:hint="default" w:ascii="Times New Roman" w:hAnsi="Times New Roman" w:eastAsia="宋体" w:cs="Times New Roman"/>
          <w:b/>
          <w:bCs/>
          <w:color w:val="auto"/>
          <w:sz w:val="24"/>
          <w:szCs w:val="24"/>
          <w:lang w:val="en-US" w:eastAsia="zh-CN"/>
        </w:rPr>
        <w:t>）</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490"/>
        <w:gridCol w:w="821"/>
        <w:gridCol w:w="823"/>
        <w:gridCol w:w="823"/>
        <w:gridCol w:w="823"/>
        <w:gridCol w:w="823"/>
        <w:gridCol w:w="841"/>
        <w:gridCol w:w="1179"/>
        <w:gridCol w:w="1223"/>
      </w:tblGrid>
      <w:tr w14:paraId="401451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97" w:hRule="atLeast"/>
          <w:jc w:val="center"/>
        </w:trPr>
        <w:tc>
          <w:tcPr>
            <w:tcW w:w="842" w:type="pct"/>
            <w:vMerge w:val="restart"/>
            <w:tcBorders>
              <w:tl2br w:val="nil"/>
              <w:tr2bl w:val="nil"/>
            </w:tcBorders>
            <w:vAlign w:val="center"/>
          </w:tcPr>
          <w:p w14:paraId="7D7C2B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防尘措施</w:t>
            </w:r>
          </w:p>
        </w:tc>
        <w:tc>
          <w:tcPr>
            <w:tcW w:w="2799" w:type="pct"/>
            <w:gridSpan w:val="6"/>
            <w:tcBorders>
              <w:tl2br w:val="nil"/>
              <w:tr2bl w:val="nil"/>
            </w:tcBorders>
            <w:vAlign w:val="center"/>
          </w:tcPr>
          <w:p w14:paraId="07383E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工地下风向距离</w:t>
            </w:r>
          </w:p>
        </w:tc>
        <w:tc>
          <w:tcPr>
            <w:tcW w:w="666" w:type="pct"/>
            <w:vMerge w:val="restart"/>
            <w:tcBorders>
              <w:tl2br w:val="nil"/>
              <w:tr2bl w:val="nil"/>
            </w:tcBorders>
            <w:vAlign w:val="center"/>
          </w:tcPr>
          <w:p w14:paraId="6AA56C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工地上</w:t>
            </w:r>
          </w:p>
          <w:p w14:paraId="5156E1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风向</w:t>
            </w:r>
          </w:p>
          <w:p w14:paraId="3ED149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（对照点）</w:t>
            </w:r>
          </w:p>
        </w:tc>
        <w:tc>
          <w:tcPr>
            <w:tcW w:w="691" w:type="pct"/>
            <w:vMerge w:val="restart"/>
            <w:tcBorders>
              <w:tl2br w:val="nil"/>
              <w:tr2bl w:val="nil"/>
            </w:tcBorders>
            <w:vAlign w:val="center"/>
          </w:tcPr>
          <w:p w14:paraId="1D4A47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无组织排放监控浓度限值</w:t>
            </w:r>
          </w:p>
        </w:tc>
      </w:tr>
      <w:tr w14:paraId="19FD99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97" w:hRule="atLeast"/>
          <w:jc w:val="center"/>
        </w:trPr>
        <w:tc>
          <w:tcPr>
            <w:tcW w:w="842" w:type="pct"/>
            <w:vMerge w:val="continue"/>
            <w:tcBorders>
              <w:tl2br w:val="nil"/>
              <w:tr2bl w:val="nil"/>
            </w:tcBorders>
            <w:vAlign w:val="center"/>
          </w:tcPr>
          <w:p w14:paraId="521D3A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464" w:type="pct"/>
            <w:tcBorders>
              <w:tl2br w:val="nil"/>
              <w:tr2bl w:val="nil"/>
            </w:tcBorders>
            <w:vAlign w:val="center"/>
          </w:tcPr>
          <w:p w14:paraId="558F56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20m</w:t>
            </w:r>
          </w:p>
        </w:tc>
        <w:tc>
          <w:tcPr>
            <w:tcW w:w="465" w:type="pct"/>
            <w:tcBorders>
              <w:tl2br w:val="nil"/>
              <w:tr2bl w:val="nil"/>
            </w:tcBorders>
            <w:vAlign w:val="center"/>
          </w:tcPr>
          <w:p w14:paraId="11B22F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50m</w:t>
            </w:r>
          </w:p>
        </w:tc>
        <w:tc>
          <w:tcPr>
            <w:tcW w:w="465" w:type="pct"/>
            <w:tcBorders>
              <w:tl2br w:val="nil"/>
              <w:tr2bl w:val="nil"/>
            </w:tcBorders>
            <w:vAlign w:val="center"/>
          </w:tcPr>
          <w:p w14:paraId="508269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100m</w:t>
            </w:r>
          </w:p>
        </w:tc>
        <w:tc>
          <w:tcPr>
            <w:tcW w:w="465" w:type="pct"/>
            <w:tcBorders>
              <w:tl2br w:val="nil"/>
              <w:tr2bl w:val="nil"/>
            </w:tcBorders>
            <w:vAlign w:val="center"/>
          </w:tcPr>
          <w:p w14:paraId="1474F6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150m</w:t>
            </w:r>
          </w:p>
        </w:tc>
        <w:tc>
          <w:tcPr>
            <w:tcW w:w="465" w:type="pct"/>
            <w:tcBorders>
              <w:tl2br w:val="nil"/>
              <w:tr2bl w:val="nil"/>
            </w:tcBorders>
            <w:vAlign w:val="center"/>
          </w:tcPr>
          <w:p w14:paraId="428789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200m</w:t>
            </w:r>
          </w:p>
        </w:tc>
        <w:tc>
          <w:tcPr>
            <w:tcW w:w="473" w:type="pct"/>
            <w:tcBorders>
              <w:tl2br w:val="nil"/>
              <w:tr2bl w:val="nil"/>
            </w:tcBorders>
            <w:vAlign w:val="center"/>
          </w:tcPr>
          <w:p w14:paraId="4B4B25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250m</w:t>
            </w:r>
          </w:p>
        </w:tc>
        <w:tc>
          <w:tcPr>
            <w:tcW w:w="666" w:type="pct"/>
            <w:vMerge w:val="continue"/>
            <w:tcBorders>
              <w:tl2br w:val="nil"/>
              <w:tr2bl w:val="nil"/>
            </w:tcBorders>
            <w:vAlign w:val="center"/>
          </w:tcPr>
          <w:p w14:paraId="19DBDF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91" w:type="pct"/>
            <w:vMerge w:val="continue"/>
            <w:tcBorders>
              <w:tl2br w:val="nil"/>
              <w:tr2bl w:val="nil"/>
            </w:tcBorders>
            <w:vAlign w:val="center"/>
          </w:tcPr>
          <w:p w14:paraId="61F9D1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7CBE8E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97" w:hRule="atLeast"/>
          <w:jc w:val="center"/>
        </w:trPr>
        <w:tc>
          <w:tcPr>
            <w:tcW w:w="842" w:type="pct"/>
            <w:tcBorders>
              <w:tl2br w:val="nil"/>
              <w:tr2bl w:val="nil"/>
            </w:tcBorders>
            <w:vAlign w:val="center"/>
          </w:tcPr>
          <w:p w14:paraId="404D67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无防护措施</w:t>
            </w:r>
          </w:p>
        </w:tc>
        <w:tc>
          <w:tcPr>
            <w:tcW w:w="464" w:type="pct"/>
            <w:tcBorders>
              <w:tl2br w:val="nil"/>
              <w:tr2bl w:val="nil"/>
            </w:tcBorders>
            <w:vAlign w:val="center"/>
          </w:tcPr>
          <w:p w14:paraId="507E8D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1.303</w:t>
            </w:r>
          </w:p>
        </w:tc>
        <w:tc>
          <w:tcPr>
            <w:tcW w:w="465" w:type="pct"/>
            <w:tcBorders>
              <w:tl2br w:val="nil"/>
              <w:tr2bl w:val="nil"/>
            </w:tcBorders>
            <w:vAlign w:val="center"/>
          </w:tcPr>
          <w:p w14:paraId="249FF4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0.722</w:t>
            </w:r>
          </w:p>
        </w:tc>
        <w:tc>
          <w:tcPr>
            <w:tcW w:w="465" w:type="pct"/>
            <w:tcBorders>
              <w:tl2br w:val="nil"/>
              <w:tr2bl w:val="nil"/>
            </w:tcBorders>
            <w:vAlign w:val="center"/>
          </w:tcPr>
          <w:p w14:paraId="194622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0.402</w:t>
            </w:r>
          </w:p>
        </w:tc>
        <w:tc>
          <w:tcPr>
            <w:tcW w:w="465" w:type="pct"/>
            <w:tcBorders>
              <w:tl2br w:val="nil"/>
              <w:tr2bl w:val="nil"/>
            </w:tcBorders>
            <w:vAlign w:val="center"/>
          </w:tcPr>
          <w:p w14:paraId="68338A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0.311</w:t>
            </w:r>
          </w:p>
        </w:tc>
        <w:tc>
          <w:tcPr>
            <w:tcW w:w="465" w:type="pct"/>
            <w:tcBorders>
              <w:tl2br w:val="nil"/>
              <w:tr2bl w:val="nil"/>
            </w:tcBorders>
            <w:vAlign w:val="center"/>
          </w:tcPr>
          <w:p w14:paraId="15FB01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0.270</w:t>
            </w:r>
          </w:p>
        </w:tc>
        <w:tc>
          <w:tcPr>
            <w:tcW w:w="473" w:type="pct"/>
            <w:tcBorders>
              <w:tl2br w:val="nil"/>
              <w:tr2bl w:val="nil"/>
            </w:tcBorders>
            <w:vAlign w:val="center"/>
          </w:tcPr>
          <w:p w14:paraId="06E5A3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0.210</w:t>
            </w:r>
          </w:p>
        </w:tc>
        <w:tc>
          <w:tcPr>
            <w:tcW w:w="666" w:type="pct"/>
            <w:vMerge w:val="restart"/>
            <w:tcBorders>
              <w:tl2br w:val="nil"/>
              <w:tr2bl w:val="nil"/>
            </w:tcBorders>
            <w:vAlign w:val="center"/>
          </w:tcPr>
          <w:p w14:paraId="73B2C7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0.204</w:t>
            </w:r>
          </w:p>
        </w:tc>
        <w:tc>
          <w:tcPr>
            <w:tcW w:w="691" w:type="pct"/>
            <w:vMerge w:val="restart"/>
            <w:tcBorders>
              <w:tl2br w:val="nil"/>
              <w:tr2bl w:val="nil"/>
            </w:tcBorders>
            <w:vAlign w:val="center"/>
          </w:tcPr>
          <w:p w14:paraId="3554D2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w:t>
            </w:r>
          </w:p>
        </w:tc>
      </w:tr>
      <w:tr w14:paraId="1F821C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97" w:hRule="atLeast"/>
          <w:jc w:val="center"/>
        </w:trPr>
        <w:tc>
          <w:tcPr>
            <w:tcW w:w="842" w:type="pct"/>
            <w:tcBorders>
              <w:tl2br w:val="nil"/>
              <w:tr2bl w:val="nil"/>
            </w:tcBorders>
            <w:vAlign w:val="center"/>
          </w:tcPr>
          <w:p w14:paraId="21FB26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有（围金属板）</w:t>
            </w:r>
          </w:p>
        </w:tc>
        <w:tc>
          <w:tcPr>
            <w:tcW w:w="464" w:type="pct"/>
            <w:tcBorders>
              <w:tl2br w:val="nil"/>
              <w:tr2bl w:val="nil"/>
            </w:tcBorders>
            <w:vAlign w:val="center"/>
          </w:tcPr>
          <w:p w14:paraId="014A1F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0.824</w:t>
            </w:r>
          </w:p>
        </w:tc>
        <w:tc>
          <w:tcPr>
            <w:tcW w:w="465" w:type="pct"/>
            <w:tcBorders>
              <w:tl2br w:val="nil"/>
              <w:tr2bl w:val="nil"/>
            </w:tcBorders>
            <w:vAlign w:val="center"/>
          </w:tcPr>
          <w:p w14:paraId="33DC30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0.426</w:t>
            </w:r>
          </w:p>
        </w:tc>
        <w:tc>
          <w:tcPr>
            <w:tcW w:w="465" w:type="pct"/>
            <w:tcBorders>
              <w:tl2br w:val="nil"/>
              <w:tr2bl w:val="nil"/>
            </w:tcBorders>
            <w:vAlign w:val="center"/>
          </w:tcPr>
          <w:p w14:paraId="54BFBB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0.235</w:t>
            </w:r>
          </w:p>
        </w:tc>
        <w:tc>
          <w:tcPr>
            <w:tcW w:w="465" w:type="pct"/>
            <w:tcBorders>
              <w:tl2br w:val="nil"/>
              <w:tr2bl w:val="nil"/>
            </w:tcBorders>
            <w:vAlign w:val="center"/>
          </w:tcPr>
          <w:p w14:paraId="1A45BF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0.221</w:t>
            </w:r>
          </w:p>
        </w:tc>
        <w:tc>
          <w:tcPr>
            <w:tcW w:w="465" w:type="pct"/>
            <w:tcBorders>
              <w:tl2br w:val="nil"/>
              <w:tr2bl w:val="nil"/>
            </w:tcBorders>
            <w:vAlign w:val="center"/>
          </w:tcPr>
          <w:p w14:paraId="794EE9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0.215</w:t>
            </w:r>
          </w:p>
        </w:tc>
        <w:tc>
          <w:tcPr>
            <w:tcW w:w="473" w:type="pct"/>
            <w:tcBorders>
              <w:tl2br w:val="nil"/>
              <w:tr2bl w:val="nil"/>
            </w:tcBorders>
            <w:vAlign w:val="center"/>
          </w:tcPr>
          <w:p w14:paraId="2275E7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0.206</w:t>
            </w:r>
          </w:p>
        </w:tc>
        <w:tc>
          <w:tcPr>
            <w:tcW w:w="666" w:type="pct"/>
            <w:vMerge w:val="continue"/>
            <w:tcBorders>
              <w:tl2br w:val="nil"/>
              <w:tr2bl w:val="nil"/>
            </w:tcBorders>
            <w:vAlign w:val="center"/>
          </w:tcPr>
          <w:p w14:paraId="59512C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91" w:type="pct"/>
            <w:vMerge w:val="continue"/>
            <w:tcBorders>
              <w:tl2br w:val="nil"/>
              <w:tr2bl w:val="nil"/>
            </w:tcBorders>
            <w:vAlign w:val="center"/>
          </w:tcPr>
          <w:p w14:paraId="2188F5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r>
    </w:tbl>
    <w:p w14:paraId="4ACF68D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由表</w:t>
      </w:r>
      <w:r>
        <w:rPr>
          <w:rFonts w:hint="eastAsia" w:ascii="Times New Roman" w:hAnsi="Times New Roman" w:eastAsia="宋体" w:cs="Times New Roman"/>
          <w:color w:val="auto"/>
          <w:sz w:val="24"/>
          <w:szCs w:val="24"/>
          <w:highlight w:val="none"/>
          <w:lang w:val="en-US" w:eastAsia="zh-CN"/>
        </w:rPr>
        <w:t>6.1</w:t>
      </w:r>
      <w:r>
        <w:rPr>
          <w:rFonts w:hint="default" w:ascii="Times New Roman" w:hAnsi="Times New Roman" w:eastAsia="宋体" w:cs="Times New Roman"/>
          <w:color w:val="auto"/>
          <w:sz w:val="24"/>
          <w:szCs w:val="24"/>
          <w:highlight w:val="none"/>
          <w:lang w:val="en-US" w:eastAsia="zh-CN"/>
        </w:rPr>
        <w:t>-1可以看出，在无任何防尘措施的情况下，施工现场对周围环境的影响较严重，污染范围在200m范围内，TSP最大污染物浓度是对照点TSP浓度值的6.39倍；而在有防尘措施的情况下，污染范围降至20m范围内，最高污染浓度是对照点的4.04倍，最大污染浓度较无防尘措施降低了0.479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w:t>
      </w:r>
    </w:p>
    <w:p w14:paraId="0F7A251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施工扬尘对环境有一定影响，其影响将在1.0mg/m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以上，通过在厂界周围设置2.5m高金属档板后，扬尘（TSP）浓度低于0.824mg/m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，低于《大气污染物综合排放标准》（GB16297-1996）中规定的颗粒物无组织排放监控浓度限值的要求。本项目施工期间产生的扬尘对周围环境影响是可以接受的。</w:t>
      </w:r>
    </w:p>
    <w:p w14:paraId="38F04D3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10" w:name="_Toc18106"/>
      <w:bookmarkStart w:id="411" w:name="_Toc10335"/>
      <w:bookmarkStart w:id="412" w:name="_Toc6072"/>
      <w:r>
        <w:rPr>
          <w:rFonts w:hint="eastAsia" w:ascii="Times New Roman" w:hAnsi="Times New Roman" w:eastAsia="宋体" w:cs="Times New Roman"/>
          <w:b/>
          <w:bCs/>
          <w:color w:val="auto"/>
          <w:sz w:val="28"/>
          <w:szCs w:val="28"/>
          <w:lang w:val="en-US" w:eastAsia="zh-CN"/>
        </w:rPr>
        <w:t>6.1.2 地表水环境影响评价</w:t>
      </w:r>
      <w:bookmarkEnd w:id="410"/>
      <w:bookmarkEnd w:id="411"/>
      <w:bookmarkEnd w:id="412"/>
    </w:p>
    <w:p w14:paraId="2866C05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施工单位使用的施工机械为先进设备，施工机械不进行现场维修，定期送至维修点维修，不产生含油废水。土建施工砂石骨料冲洗、混凝土养生将产生工业废水，施工废水主要污染因子为SS，经过沉淀池处理后用于施工场地降尘，禁止散排。因此施工生产废水不会对地表水环境产生影响。</w:t>
      </w:r>
    </w:p>
    <w:p w14:paraId="44D8CCE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施工人员入驻施工现场，将产生生活污水，主要污染因子为COD、SS和氨氮，施工人员</w:t>
      </w:r>
      <w:r>
        <w:rPr>
          <w:rFonts w:hint="eastAsia" w:ascii="Times New Roman" w:hAnsi="Times New Roman" w:eastAsia="宋体"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人，</w:t>
      </w:r>
      <w:r>
        <w:rPr>
          <w:rFonts w:hint="eastAsia" w:ascii="Times New Roman" w:hAnsi="Times New Roman" w:eastAsia="宋体" w:cs="Times New Roman"/>
          <w:color w:val="auto"/>
          <w:sz w:val="24"/>
          <w:szCs w:val="24"/>
          <w:highlight w:val="none"/>
          <w:lang w:val="en-US" w:eastAsia="zh-CN"/>
        </w:rPr>
        <w:t>参考</w:t>
      </w:r>
      <w:r>
        <w:rPr>
          <w:rFonts w:hint="default" w:ascii="Times New Roman" w:hAnsi="Times New Roman" w:eastAsia="宋体" w:cs="Times New Roman"/>
          <w:color w:val="auto"/>
          <w:sz w:val="24"/>
          <w:szCs w:val="24"/>
          <w:highlight w:val="none"/>
          <w:lang w:val="en-US" w:eastAsia="zh-CN"/>
        </w:rPr>
        <w:t>《黑龙江省地方标准用水定额》（DB23/T727-202</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）中</w:t>
      </w:r>
      <w:r>
        <w:rPr>
          <w:rFonts w:hint="eastAsia" w:ascii="Times New Roman" w:hAnsi="Times New Roman" w:eastAsia="宋体" w:cs="Times New Roman"/>
          <w:color w:val="auto"/>
          <w:sz w:val="24"/>
          <w:szCs w:val="24"/>
          <w:highlight w:val="none"/>
          <w:lang w:val="en-US" w:eastAsia="zh-CN"/>
        </w:rPr>
        <w:t>农村居民</w:t>
      </w:r>
      <w:r>
        <w:rPr>
          <w:rFonts w:hint="default" w:ascii="Times New Roman" w:hAnsi="Times New Roman" w:eastAsia="宋体" w:cs="Times New Roman"/>
          <w:color w:val="auto"/>
          <w:sz w:val="24"/>
          <w:szCs w:val="24"/>
          <w:highlight w:val="none"/>
          <w:lang w:val="en-US" w:eastAsia="zh-CN"/>
        </w:rPr>
        <w:t>生活用水定额要求，生活用水量按80L/人·d计，用水量为</w:t>
      </w:r>
      <w:r>
        <w:rPr>
          <w:rFonts w:hint="eastAsia" w:ascii="Times New Roman" w:hAnsi="Times New Roman" w:eastAsia="宋体" w:cs="Times New Roman"/>
          <w:color w:val="auto"/>
          <w:sz w:val="24"/>
          <w:szCs w:val="24"/>
          <w:highlight w:val="none"/>
          <w:lang w:val="en-US" w:eastAsia="zh-CN"/>
        </w:rPr>
        <w:t>1.6</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/d，污水排放量为</w:t>
      </w:r>
      <w:r>
        <w:rPr>
          <w:rFonts w:hint="eastAsia" w:ascii="Times New Roman" w:hAnsi="Times New Roman" w:eastAsia="宋体" w:cs="Times New Roman"/>
          <w:color w:val="auto"/>
          <w:sz w:val="24"/>
          <w:szCs w:val="24"/>
          <w:highlight w:val="none"/>
          <w:lang w:val="en-US" w:eastAsia="zh-CN"/>
        </w:rPr>
        <w:t>1.28</w:t>
      </w:r>
      <w:r>
        <w:rPr>
          <w:rFonts w:hint="default" w:ascii="Times New Roman" w:hAnsi="Times New Roman" w:eastAsia="宋体" w:cs="Times New Roman"/>
          <w:color w:val="auto"/>
          <w:sz w:val="24"/>
          <w:szCs w:val="24"/>
          <w:highlight w:val="none"/>
          <w:lang w:val="en-US" w:eastAsia="zh-CN"/>
        </w:rPr>
        <w:t>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/d，施工期施工人员产生的生活污水经市政污水管网排入</w:t>
      </w:r>
      <w:r>
        <w:rPr>
          <w:rFonts w:hint="eastAsia" w:ascii="Times New Roman" w:hAnsi="Times New Roman" w:eastAsia="宋体" w:cs="Times New Roman"/>
          <w:color w:val="auto"/>
          <w:sz w:val="24"/>
          <w:szCs w:val="24"/>
          <w:highlight w:val="none"/>
          <w:lang w:val="en-US" w:eastAsia="zh-CN"/>
        </w:rPr>
        <w:t>八五二农场污水处理厂</w:t>
      </w:r>
      <w:r>
        <w:rPr>
          <w:rFonts w:hint="default" w:ascii="Times New Roman" w:hAnsi="Times New Roman" w:eastAsia="宋体" w:cs="Times New Roman"/>
          <w:color w:val="auto"/>
          <w:sz w:val="24"/>
          <w:szCs w:val="24"/>
          <w:highlight w:val="none"/>
          <w:lang w:val="en-US" w:eastAsia="zh-CN"/>
        </w:rPr>
        <w:t>处理，不会对地表水环境产生影响。</w:t>
      </w:r>
    </w:p>
    <w:p w14:paraId="52DE41A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项目管线维修更换后对管道需进行试验，管道试压试验产生一定量的废水，循环使用，试压完成后排放。废水污染物较少，含有一定的沙砾等杂物。一般通过简易沉降后回用于场地洒水降尘，对周围环境影响较小。</w:t>
      </w:r>
    </w:p>
    <w:p w14:paraId="4C944E9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13" w:name="_Toc19893"/>
      <w:bookmarkStart w:id="414" w:name="_Toc12707"/>
      <w:bookmarkStart w:id="415" w:name="_Toc8361"/>
      <w:r>
        <w:rPr>
          <w:rFonts w:hint="eastAsia" w:ascii="Times New Roman" w:hAnsi="Times New Roman" w:eastAsia="宋体" w:cs="Times New Roman"/>
          <w:b/>
          <w:bCs/>
          <w:color w:val="auto"/>
          <w:sz w:val="28"/>
          <w:szCs w:val="28"/>
          <w:lang w:val="en-US" w:eastAsia="zh-CN"/>
        </w:rPr>
        <w:t>6.1.3 声环境影响评价</w:t>
      </w:r>
      <w:bookmarkEnd w:id="413"/>
      <w:bookmarkEnd w:id="414"/>
      <w:bookmarkEnd w:id="415"/>
    </w:p>
    <w:p w14:paraId="74B54EE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施工期噪声主要来源于锅炉安装过程中使用的机械设备以及管道维修过程地面开挖使用的机械设备，具有高噪声、无规律的特点，它对外环境的影响是暂时的，随施工结束而消失。根据《大型机械噪声源分析》（华侨大学机电及自动化学院）等有关资料，将主要施工机械产生的噪声状况列于表6.1-2。</w:t>
      </w:r>
    </w:p>
    <w:p w14:paraId="634CC3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表6.1-2  施工机械噪声源源强  单位：dB(A)</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17"/>
        <w:gridCol w:w="4633"/>
      </w:tblGrid>
      <w:tr w14:paraId="38F0A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82" w:type="pct"/>
            <w:tcBorders>
              <w:tl2br w:val="nil"/>
              <w:tr2bl w:val="nil"/>
            </w:tcBorders>
            <w:vAlign w:val="center"/>
          </w:tcPr>
          <w:p w14:paraId="6765A7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施工设备名称</w:t>
            </w:r>
          </w:p>
        </w:tc>
        <w:tc>
          <w:tcPr>
            <w:tcW w:w="2617" w:type="pct"/>
            <w:tcBorders>
              <w:tl2br w:val="nil"/>
              <w:tr2bl w:val="nil"/>
            </w:tcBorders>
            <w:vAlign w:val="center"/>
          </w:tcPr>
          <w:p w14:paraId="250015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 xml:space="preserve">距设备5m处平均A声级 </w:t>
            </w:r>
          </w:p>
        </w:tc>
      </w:tr>
      <w:tr w14:paraId="364A5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82" w:type="pct"/>
            <w:tcBorders>
              <w:tl2br w:val="nil"/>
              <w:tr2bl w:val="nil"/>
            </w:tcBorders>
            <w:vAlign w:val="center"/>
          </w:tcPr>
          <w:p w14:paraId="086909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切割机</w:t>
            </w:r>
          </w:p>
        </w:tc>
        <w:tc>
          <w:tcPr>
            <w:tcW w:w="2617" w:type="pct"/>
            <w:tcBorders>
              <w:tl2br w:val="nil"/>
              <w:tr2bl w:val="nil"/>
            </w:tcBorders>
            <w:vAlign w:val="center"/>
          </w:tcPr>
          <w:p w14:paraId="084DF9E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85</w:t>
            </w:r>
          </w:p>
        </w:tc>
      </w:tr>
      <w:tr w14:paraId="45D3A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82" w:type="pct"/>
            <w:tcBorders>
              <w:tl2br w:val="nil"/>
              <w:tr2bl w:val="nil"/>
            </w:tcBorders>
            <w:vAlign w:val="center"/>
          </w:tcPr>
          <w:p w14:paraId="06BAA9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焊接机</w:t>
            </w:r>
          </w:p>
        </w:tc>
        <w:tc>
          <w:tcPr>
            <w:tcW w:w="2617" w:type="pct"/>
            <w:tcBorders>
              <w:tl2br w:val="nil"/>
              <w:tr2bl w:val="nil"/>
            </w:tcBorders>
            <w:vAlign w:val="center"/>
          </w:tcPr>
          <w:p w14:paraId="3EBBB7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80</w:t>
            </w:r>
          </w:p>
        </w:tc>
      </w:tr>
      <w:tr w14:paraId="53D2A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82" w:type="pct"/>
            <w:tcBorders>
              <w:tl2br w:val="nil"/>
              <w:tr2bl w:val="nil"/>
            </w:tcBorders>
            <w:vAlign w:val="center"/>
          </w:tcPr>
          <w:p w14:paraId="5DA319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钻孔机</w:t>
            </w:r>
          </w:p>
        </w:tc>
        <w:tc>
          <w:tcPr>
            <w:tcW w:w="2617" w:type="pct"/>
            <w:tcBorders>
              <w:tl2br w:val="nil"/>
              <w:tr2bl w:val="nil"/>
            </w:tcBorders>
            <w:vAlign w:val="center"/>
          </w:tcPr>
          <w:p w14:paraId="2C0061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87</w:t>
            </w:r>
          </w:p>
        </w:tc>
      </w:tr>
      <w:tr w14:paraId="52D00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82" w:type="pct"/>
            <w:tcBorders>
              <w:tl2br w:val="nil"/>
              <w:tr2bl w:val="nil"/>
            </w:tcBorders>
            <w:vAlign w:val="center"/>
          </w:tcPr>
          <w:p w14:paraId="3CED78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空压机</w:t>
            </w:r>
          </w:p>
        </w:tc>
        <w:tc>
          <w:tcPr>
            <w:tcW w:w="2617" w:type="pct"/>
            <w:tcBorders>
              <w:tl2br w:val="nil"/>
              <w:tr2bl w:val="nil"/>
            </w:tcBorders>
            <w:vAlign w:val="center"/>
          </w:tcPr>
          <w:p w14:paraId="7FA634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r>
      <w:tr w14:paraId="7F95A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82" w:type="pct"/>
            <w:tcBorders>
              <w:tl2br w:val="nil"/>
              <w:tr2bl w:val="nil"/>
            </w:tcBorders>
            <w:vAlign w:val="center"/>
          </w:tcPr>
          <w:p w14:paraId="2CE42BD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挖掘机</w:t>
            </w:r>
          </w:p>
        </w:tc>
        <w:tc>
          <w:tcPr>
            <w:tcW w:w="2617" w:type="pct"/>
            <w:tcBorders>
              <w:tl2br w:val="nil"/>
              <w:tr2bl w:val="nil"/>
            </w:tcBorders>
            <w:vAlign w:val="center"/>
          </w:tcPr>
          <w:p w14:paraId="54C31D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w:t>
            </w:r>
          </w:p>
        </w:tc>
      </w:tr>
    </w:tbl>
    <w:p w14:paraId="3FE6F03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由6.1-2可以看出，现场施工机械设备噪声很高，而且实际施工过程中，往往是多种机械同时工作，各种噪声源辐射的相互叠加，噪声级将更高，辐射范围亦更大。施工噪声对周围区域声环境的影响，采用《建筑施工噪声排放标准》(GB12523-2025)（昼间70dB（A），夜间55dB（A））进行评价。</w:t>
      </w:r>
    </w:p>
    <w:p w14:paraId="413A0EF7">
      <w:pPr>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本项目施工过程中使用的施工机械所产生的噪声主要属于中低频噪声，因此，只考虑其扩散衰减，即预模型可选用：</w:t>
      </w:r>
      <w:r>
        <w:rPr>
          <w:rFonts w:hint="default" w:ascii="Times New Roman" w:hAnsi="Times New Roman" w:eastAsia="宋体" w:cs="Times New Roman"/>
          <w:i/>
          <w:color w:val="auto"/>
          <w:szCs w:val="24"/>
        </w:rPr>
        <w:t>L</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L</w:t>
      </w:r>
      <w:r>
        <w:rPr>
          <w:rFonts w:hint="default" w:ascii="Times New Roman" w:hAnsi="Times New Roman" w:eastAsia="宋体" w:cs="Times New Roman"/>
          <w:color w:val="auto"/>
          <w:szCs w:val="24"/>
          <w:vertAlign w:val="subscript"/>
        </w:rPr>
        <w:t>1</w:t>
      </w:r>
      <w:r>
        <w:rPr>
          <w:rFonts w:hint="default" w:ascii="Times New Roman" w:hAnsi="Times New Roman" w:eastAsia="宋体" w:cs="Times New Roman"/>
          <w:color w:val="auto"/>
          <w:szCs w:val="24"/>
        </w:rPr>
        <w:t>-20lg</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 xml:space="preserve">1   </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&gt;</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1</w:t>
      </w:r>
      <w:r>
        <w:rPr>
          <w:rFonts w:hint="default" w:ascii="Times New Roman" w:hAnsi="Times New Roman" w:eastAsia="宋体" w:cs="Times New Roman"/>
          <w:color w:val="auto"/>
          <w:szCs w:val="24"/>
        </w:rPr>
        <w:t>)</w:t>
      </w:r>
    </w:p>
    <w:p w14:paraId="18F0292F">
      <w:pPr>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式中：</w:t>
      </w:r>
      <w:r>
        <w:rPr>
          <w:rFonts w:hint="default" w:ascii="Times New Roman" w:hAnsi="Times New Roman" w:eastAsia="宋体" w:cs="Times New Roman"/>
          <w:i/>
          <w:color w:val="auto"/>
          <w:szCs w:val="24"/>
        </w:rPr>
        <w:t>L</w:t>
      </w:r>
      <w:r>
        <w:rPr>
          <w:rFonts w:hint="default" w:ascii="Times New Roman" w:hAnsi="Times New Roman" w:eastAsia="宋体" w:cs="Times New Roman"/>
          <w:color w:val="auto"/>
          <w:szCs w:val="24"/>
          <w:vertAlign w:val="subscript"/>
        </w:rPr>
        <w:t>1</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L</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—距声源</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1</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处的等效A声级，dB(A)；</w:t>
      </w:r>
    </w:p>
    <w:p w14:paraId="5C546415">
      <w:pPr>
        <w:keepNext w:val="0"/>
        <w:keepLines w:val="0"/>
        <w:pageBreakBefore w:val="0"/>
        <w:widowControl w:val="0"/>
        <w:kinsoku/>
        <w:wordWrap/>
        <w:overflowPunct/>
        <w:topLinePunct w:val="0"/>
        <w:autoSpaceDE/>
        <w:autoSpaceDN/>
        <w:bidi w:val="0"/>
        <w:adjustRightInd w:val="0"/>
        <w:snapToGrid w:val="0"/>
        <w:spacing w:line="500" w:lineRule="exact"/>
        <w:ind w:firstLine="1200" w:firstLineChars="5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1</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—接受点距声源的距离，m。</w:t>
      </w:r>
    </w:p>
    <w:p w14:paraId="2633BAFB">
      <w:pPr>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由上式可推出噪声随距离增加而衰减的量△L：△</w:t>
      </w:r>
      <w:r>
        <w:rPr>
          <w:rFonts w:hint="default" w:ascii="Times New Roman" w:hAnsi="Times New Roman" w:eastAsia="宋体" w:cs="Times New Roman"/>
          <w:i/>
          <w:color w:val="auto"/>
          <w:szCs w:val="24"/>
        </w:rPr>
        <w:t>L</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L</w:t>
      </w:r>
      <w:r>
        <w:rPr>
          <w:rFonts w:hint="default" w:ascii="Times New Roman" w:hAnsi="Times New Roman" w:eastAsia="宋体" w:cs="Times New Roman"/>
          <w:color w:val="auto"/>
          <w:szCs w:val="24"/>
          <w:vertAlign w:val="subscript"/>
        </w:rPr>
        <w:t>1</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L</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=20lg</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2</w:t>
      </w:r>
      <w:r>
        <w:rPr>
          <w:rFonts w:hint="default" w:ascii="Times New Roman" w:hAnsi="Times New Roman" w:eastAsia="宋体" w:cs="Times New Roman"/>
          <w:color w:val="auto"/>
          <w:szCs w:val="24"/>
        </w:rPr>
        <w:t>/</w:t>
      </w:r>
      <w:r>
        <w:rPr>
          <w:rFonts w:hint="default" w:ascii="Times New Roman" w:hAnsi="Times New Roman" w:eastAsia="宋体" w:cs="Times New Roman"/>
          <w:i/>
          <w:color w:val="auto"/>
          <w:szCs w:val="24"/>
        </w:rPr>
        <w:t>r</w:t>
      </w:r>
      <w:r>
        <w:rPr>
          <w:rFonts w:hint="default" w:ascii="Times New Roman" w:hAnsi="Times New Roman" w:eastAsia="宋体" w:cs="Times New Roman"/>
          <w:color w:val="auto"/>
          <w:szCs w:val="24"/>
          <w:vertAlign w:val="subscript"/>
        </w:rPr>
        <w:t>1</w:t>
      </w:r>
    </w:p>
    <w:p w14:paraId="23E5E8B6">
      <w:pPr>
        <w:keepNext w:val="0"/>
        <w:keepLines w:val="0"/>
        <w:pageBreakBefore w:val="0"/>
        <w:widowControl w:val="0"/>
        <w:kinsoku/>
        <w:wordWrap/>
        <w:overflowPunct/>
        <w:topLinePunct w:val="0"/>
        <w:autoSpaceDE/>
        <w:autoSpaceDN/>
        <w:bidi w:val="0"/>
        <w:spacing w:line="50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由上式可计算出噪声值随距离衰减的情况，结果见表6.1-3。</w:t>
      </w:r>
    </w:p>
    <w:p w14:paraId="187948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表6.1-3  噪声值随距离的衰减关系</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795"/>
        <w:gridCol w:w="780"/>
        <w:gridCol w:w="805"/>
        <w:gridCol w:w="795"/>
        <w:gridCol w:w="795"/>
        <w:gridCol w:w="795"/>
        <w:gridCol w:w="795"/>
        <w:gridCol w:w="795"/>
        <w:gridCol w:w="787"/>
      </w:tblGrid>
      <w:tr w14:paraId="13549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2" w:type="pct"/>
            <w:tcBorders>
              <w:tl2br w:val="nil"/>
              <w:tr2bl w:val="nil"/>
            </w:tcBorders>
            <w:vAlign w:val="center"/>
          </w:tcPr>
          <w:p w14:paraId="1C6A90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距离(m)</w:t>
            </w:r>
          </w:p>
        </w:tc>
        <w:tc>
          <w:tcPr>
            <w:tcW w:w="449" w:type="pct"/>
            <w:tcBorders>
              <w:tl2br w:val="nil"/>
              <w:tr2bl w:val="nil"/>
            </w:tcBorders>
            <w:vAlign w:val="center"/>
          </w:tcPr>
          <w:p w14:paraId="77C4F9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w:t>
            </w:r>
          </w:p>
        </w:tc>
        <w:tc>
          <w:tcPr>
            <w:tcW w:w="441" w:type="pct"/>
            <w:tcBorders>
              <w:tl2br w:val="nil"/>
              <w:tr2bl w:val="nil"/>
            </w:tcBorders>
            <w:vAlign w:val="center"/>
          </w:tcPr>
          <w:p w14:paraId="50E502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455" w:type="pct"/>
            <w:tcBorders>
              <w:tl2br w:val="nil"/>
              <w:tr2bl w:val="nil"/>
            </w:tcBorders>
            <w:vAlign w:val="center"/>
          </w:tcPr>
          <w:p w14:paraId="640F30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100</w:t>
            </w:r>
          </w:p>
        </w:tc>
        <w:tc>
          <w:tcPr>
            <w:tcW w:w="449" w:type="pct"/>
            <w:tcBorders>
              <w:tl2br w:val="nil"/>
              <w:tr2bl w:val="nil"/>
            </w:tcBorders>
            <w:vAlign w:val="center"/>
          </w:tcPr>
          <w:p w14:paraId="17B275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150</w:t>
            </w:r>
          </w:p>
        </w:tc>
        <w:tc>
          <w:tcPr>
            <w:tcW w:w="449" w:type="pct"/>
            <w:tcBorders>
              <w:tl2br w:val="nil"/>
              <w:tr2bl w:val="nil"/>
            </w:tcBorders>
            <w:vAlign w:val="center"/>
          </w:tcPr>
          <w:p w14:paraId="074378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200</w:t>
            </w:r>
          </w:p>
        </w:tc>
        <w:tc>
          <w:tcPr>
            <w:tcW w:w="449" w:type="pct"/>
            <w:tcBorders>
              <w:tl2br w:val="nil"/>
              <w:tr2bl w:val="nil"/>
            </w:tcBorders>
            <w:vAlign w:val="center"/>
          </w:tcPr>
          <w:p w14:paraId="594F5A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250</w:t>
            </w:r>
          </w:p>
        </w:tc>
        <w:tc>
          <w:tcPr>
            <w:tcW w:w="449" w:type="pct"/>
            <w:tcBorders>
              <w:tl2br w:val="nil"/>
              <w:tr2bl w:val="nil"/>
            </w:tcBorders>
            <w:vAlign w:val="center"/>
          </w:tcPr>
          <w:p w14:paraId="44FA02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449" w:type="pct"/>
            <w:tcBorders>
              <w:tl2br w:val="nil"/>
              <w:tr2bl w:val="nil"/>
            </w:tcBorders>
            <w:vAlign w:val="center"/>
          </w:tcPr>
          <w:p w14:paraId="5B81F8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400</w:t>
            </w:r>
          </w:p>
        </w:tc>
        <w:tc>
          <w:tcPr>
            <w:tcW w:w="445" w:type="pct"/>
            <w:tcBorders>
              <w:tl2br w:val="nil"/>
              <w:tr2bl w:val="nil"/>
            </w:tcBorders>
            <w:vAlign w:val="center"/>
          </w:tcPr>
          <w:p w14:paraId="0B7555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500</w:t>
            </w:r>
          </w:p>
        </w:tc>
      </w:tr>
      <w:tr w14:paraId="30984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2" w:type="pct"/>
            <w:tcBorders>
              <w:tl2br w:val="nil"/>
              <w:tr2bl w:val="nil"/>
            </w:tcBorders>
            <w:vAlign w:val="center"/>
          </w:tcPr>
          <w:p w14:paraId="0BEE8D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△L dB(A)</w:t>
            </w:r>
          </w:p>
        </w:tc>
        <w:tc>
          <w:tcPr>
            <w:tcW w:w="449" w:type="pct"/>
            <w:tcBorders>
              <w:tl2br w:val="nil"/>
              <w:tr2bl w:val="nil"/>
            </w:tcBorders>
            <w:vAlign w:val="center"/>
          </w:tcPr>
          <w:p w14:paraId="748410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6.0</w:t>
            </w:r>
          </w:p>
        </w:tc>
        <w:tc>
          <w:tcPr>
            <w:tcW w:w="441" w:type="pct"/>
            <w:tcBorders>
              <w:tl2br w:val="nil"/>
              <w:tr2bl w:val="nil"/>
            </w:tcBorders>
            <w:vAlign w:val="center"/>
          </w:tcPr>
          <w:p w14:paraId="14AC76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20.0</w:t>
            </w:r>
          </w:p>
        </w:tc>
        <w:tc>
          <w:tcPr>
            <w:tcW w:w="455" w:type="pct"/>
            <w:tcBorders>
              <w:tl2br w:val="nil"/>
              <w:tr2bl w:val="nil"/>
            </w:tcBorders>
            <w:vAlign w:val="center"/>
          </w:tcPr>
          <w:p w14:paraId="281148A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26.0</w:t>
            </w:r>
          </w:p>
        </w:tc>
        <w:tc>
          <w:tcPr>
            <w:tcW w:w="449" w:type="pct"/>
            <w:tcBorders>
              <w:tl2br w:val="nil"/>
              <w:tr2bl w:val="nil"/>
            </w:tcBorders>
            <w:vAlign w:val="center"/>
          </w:tcPr>
          <w:p w14:paraId="35FD5C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29.5</w:t>
            </w:r>
          </w:p>
        </w:tc>
        <w:tc>
          <w:tcPr>
            <w:tcW w:w="449" w:type="pct"/>
            <w:tcBorders>
              <w:tl2br w:val="nil"/>
              <w:tr2bl w:val="nil"/>
            </w:tcBorders>
            <w:vAlign w:val="center"/>
          </w:tcPr>
          <w:p w14:paraId="6900EC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32.0</w:t>
            </w:r>
          </w:p>
        </w:tc>
        <w:tc>
          <w:tcPr>
            <w:tcW w:w="449" w:type="pct"/>
            <w:tcBorders>
              <w:tl2br w:val="nil"/>
              <w:tr2bl w:val="nil"/>
            </w:tcBorders>
            <w:vAlign w:val="center"/>
          </w:tcPr>
          <w:p w14:paraId="58A64D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34.0</w:t>
            </w:r>
          </w:p>
        </w:tc>
        <w:tc>
          <w:tcPr>
            <w:tcW w:w="449" w:type="pct"/>
            <w:tcBorders>
              <w:tl2br w:val="nil"/>
              <w:tr2bl w:val="nil"/>
            </w:tcBorders>
            <w:vAlign w:val="center"/>
          </w:tcPr>
          <w:p w14:paraId="494450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35.6</w:t>
            </w:r>
          </w:p>
        </w:tc>
        <w:tc>
          <w:tcPr>
            <w:tcW w:w="449" w:type="pct"/>
            <w:tcBorders>
              <w:tl2br w:val="nil"/>
              <w:tr2bl w:val="nil"/>
            </w:tcBorders>
            <w:vAlign w:val="center"/>
          </w:tcPr>
          <w:p w14:paraId="1B9261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38.1</w:t>
            </w:r>
          </w:p>
        </w:tc>
        <w:tc>
          <w:tcPr>
            <w:tcW w:w="445" w:type="pct"/>
            <w:tcBorders>
              <w:tl2br w:val="nil"/>
              <w:tr2bl w:val="nil"/>
            </w:tcBorders>
            <w:vAlign w:val="center"/>
          </w:tcPr>
          <w:p w14:paraId="69F6E11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40.0</w:t>
            </w:r>
          </w:p>
        </w:tc>
      </w:tr>
    </w:tbl>
    <w:p w14:paraId="388BF3F7">
      <w:pPr>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若按表6.1-2中设备计算，工程施工噪声随距离衰减后的情况如表6.1-4所示。</w:t>
      </w:r>
    </w:p>
    <w:p w14:paraId="5A4A82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表6.1-4  施工噪声值随距离的衰减值</w:t>
      </w:r>
    </w:p>
    <w:tbl>
      <w:tblPr>
        <w:tblStyle w:val="40"/>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6"/>
        <w:gridCol w:w="822"/>
        <w:gridCol w:w="588"/>
        <w:gridCol w:w="804"/>
        <w:gridCol w:w="804"/>
        <w:gridCol w:w="804"/>
        <w:gridCol w:w="802"/>
        <w:gridCol w:w="802"/>
        <w:gridCol w:w="802"/>
        <w:gridCol w:w="802"/>
        <w:gridCol w:w="683"/>
      </w:tblGrid>
      <w:tr w14:paraId="75CB9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7" w:type="pct"/>
            <w:tcBorders>
              <w:tl2br w:val="nil"/>
              <w:tr2bl w:val="nil"/>
            </w:tcBorders>
            <w:vAlign w:val="center"/>
          </w:tcPr>
          <w:p w14:paraId="4B8536C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距离(m)</w:t>
            </w:r>
          </w:p>
        </w:tc>
        <w:tc>
          <w:tcPr>
            <w:tcW w:w="465" w:type="pct"/>
            <w:tcBorders>
              <w:tl2br w:val="nil"/>
              <w:tr2bl w:val="nil"/>
            </w:tcBorders>
            <w:vAlign w:val="center"/>
          </w:tcPr>
          <w:p w14:paraId="49F23C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w:t>
            </w:r>
          </w:p>
        </w:tc>
        <w:tc>
          <w:tcPr>
            <w:tcW w:w="332" w:type="pct"/>
            <w:tcBorders>
              <w:tl2br w:val="nil"/>
              <w:tr2bl w:val="nil"/>
            </w:tcBorders>
            <w:vAlign w:val="center"/>
          </w:tcPr>
          <w:p w14:paraId="78BE59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w:t>
            </w:r>
          </w:p>
        </w:tc>
        <w:tc>
          <w:tcPr>
            <w:tcW w:w="454" w:type="pct"/>
            <w:tcBorders>
              <w:tl2br w:val="nil"/>
              <w:tr2bl w:val="nil"/>
            </w:tcBorders>
            <w:vAlign w:val="center"/>
          </w:tcPr>
          <w:p w14:paraId="3AA650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w:t>
            </w:r>
          </w:p>
        </w:tc>
        <w:tc>
          <w:tcPr>
            <w:tcW w:w="454" w:type="pct"/>
            <w:tcBorders>
              <w:tl2br w:val="nil"/>
              <w:tr2bl w:val="nil"/>
            </w:tcBorders>
            <w:vAlign w:val="center"/>
          </w:tcPr>
          <w:p w14:paraId="53B32B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100</w:t>
            </w:r>
          </w:p>
        </w:tc>
        <w:tc>
          <w:tcPr>
            <w:tcW w:w="454" w:type="pct"/>
            <w:tcBorders>
              <w:tl2br w:val="nil"/>
              <w:tr2bl w:val="nil"/>
            </w:tcBorders>
            <w:vAlign w:val="center"/>
          </w:tcPr>
          <w:p w14:paraId="58AF39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150</w:t>
            </w:r>
          </w:p>
        </w:tc>
        <w:tc>
          <w:tcPr>
            <w:tcW w:w="453" w:type="pct"/>
            <w:tcBorders>
              <w:tl2br w:val="nil"/>
              <w:tr2bl w:val="nil"/>
            </w:tcBorders>
            <w:vAlign w:val="center"/>
          </w:tcPr>
          <w:p w14:paraId="1B2230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200</w:t>
            </w:r>
          </w:p>
        </w:tc>
        <w:tc>
          <w:tcPr>
            <w:tcW w:w="453" w:type="pct"/>
            <w:tcBorders>
              <w:tl2br w:val="nil"/>
              <w:tr2bl w:val="nil"/>
            </w:tcBorders>
            <w:vAlign w:val="center"/>
          </w:tcPr>
          <w:p w14:paraId="100A61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250</w:t>
            </w:r>
          </w:p>
        </w:tc>
        <w:tc>
          <w:tcPr>
            <w:tcW w:w="453" w:type="pct"/>
            <w:tcBorders>
              <w:tl2br w:val="nil"/>
              <w:tr2bl w:val="nil"/>
            </w:tcBorders>
            <w:vAlign w:val="center"/>
          </w:tcPr>
          <w:p w14:paraId="054550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300</w:t>
            </w:r>
          </w:p>
        </w:tc>
        <w:tc>
          <w:tcPr>
            <w:tcW w:w="453" w:type="pct"/>
            <w:tcBorders>
              <w:tl2br w:val="nil"/>
              <w:tr2bl w:val="nil"/>
            </w:tcBorders>
            <w:vAlign w:val="center"/>
          </w:tcPr>
          <w:p w14:paraId="433285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400</w:t>
            </w:r>
          </w:p>
        </w:tc>
        <w:tc>
          <w:tcPr>
            <w:tcW w:w="386" w:type="pct"/>
            <w:tcBorders>
              <w:tl2br w:val="nil"/>
              <w:tr2bl w:val="nil"/>
            </w:tcBorders>
            <w:vAlign w:val="center"/>
          </w:tcPr>
          <w:p w14:paraId="543856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500</w:t>
            </w:r>
          </w:p>
        </w:tc>
      </w:tr>
      <w:tr w14:paraId="6AB10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7" w:type="pct"/>
            <w:tcBorders>
              <w:tl2br w:val="nil"/>
              <w:tr2bl w:val="nil"/>
            </w:tcBorders>
            <w:vAlign w:val="center"/>
          </w:tcPr>
          <w:p w14:paraId="6C8B87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切割机</w:t>
            </w:r>
          </w:p>
        </w:tc>
        <w:tc>
          <w:tcPr>
            <w:tcW w:w="465" w:type="pct"/>
            <w:tcBorders>
              <w:tl2br w:val="nil"/>
              <w:tr2bl w:val="nil"/>
            </w:tcBorders>
            <w:vAlign w:val="center"/>
          </w:tcPr>
          <w:p w14:paraId="29C35E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85</w:t>
            </w:r>
          </w:p>
        </w:tc>
        <w:tc>
          <w:tcPr>
            <w:tcW w:w="332" w:type="pct"/>
            <w:tcBorders>
              <w:tl2br w:val="nil"/>
              <w:tr2bl w:val="nil"/>
            </w:tcBorders>
            <w:vAlign w:val="center"/>
          </w:tcPr>
          <w:p w14:paraId="41075B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79</w:t>
            </w:r>
          </w:p>
        </w:tc>
        <w:tc>
          <w:tcPr>
            <w:tcW w:w="454" w:type="pct"/>
            <w:tcBorders>
              <w:tl2br w:val="nil"/>
              <w:tr2bl w:val="nil"/>
            </w:tcBorders>
            <w:vAlign w:val="center"/>
          </w:tcPr>
          <w:p w14:paraId="55A4AE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65</w:t>
            </w:r>
          </w:p>
        </w:tc>
        <w:tc>
          <w:tcPr>
            <w:tcW w:w="454" w:type="pct"/>
            <w:tcBorders>
              <w:tl2br w:val="nil"/>
              <w:tr2bl w:val="nil"/>
            </w:tcBorders>
            <w:vAlign w:val="center"/>
          </w:tcPr>
          <w:p w14:paraId="247E45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59</w:t>
            </w:r>
          </w:p>
        </w:tc>
        <w:tc>
          <w:tcPr>
            <w:tcW w:w="454" w:type="pct"/>
            <w:tcBorders>
              <w:tl2br w:val="nil"/>
              <w:tr2bl w:val="nil"/>
            </w:tcBorders>
            <w:vAlign w:val="center"/>
          </w:tcPr>
          <w:p w14:paraId="0A8959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55.5</w:t>
            </w:r>
          </w:p>
        </w:tc>
        <w:tc>
          <w:tcPr>
            <w:tcW w:w="453" w:type="pct"/>
            <w:tcBorders>
              <w:tl2br w:val="nil"/>
              <w:tr2bl w:val="nil"/>
            </w:tcBorders>
            <w:vAlign w:val="center"/>
          </w:tcPr>
          <w:p w14:paraId="2A9E0B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53</w:t>
            </w:r>
          </w:p>
        </w:tc>
        <w:tc>
          <w:tcPr>
            <w:tcW w:w="453" w:type="pct"/>
            <w:tcBorders>
              <w:tl2br w:val="nil"/>
              <w:tr2bl w:val="nil"/>
            </w:tcBorders>
            <w:vAlign w:val="center"/>
          </w:tcPr>
          <w:p w14:paraId="18E020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w:t>
            </w:r>
          </w:p>
        </w:tc>
        <w:tc>
          <w:tcPr>
            <w:tcW w:w="453" w:type="pct"/>
            <w:tcBorders>
              <w:tl2br w:val="nil"/>
              <w:tr2bl w:val="nil"/>
            </w:tcBorders>
            <w:vAlign w:val="center"/>
          </w:tcPr>
          <w:p w14:paraId="0EA941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49.4</w:t>
            </w:r>
          </w:p>
        </w:tc>
        <w:tc>
          <w:tcPr>
            <w:tcW w:w="453" w:type="pct"/>
            <w:tcBorders>
              <w:tl2br w:val="nil"/>
              <w:tr2bl w:val="nil"/>
            </w:tcBorders>
            <w:vAlign w:val="center"/>
          </w:tcPr>
          <w:p w14:paraId="749FA46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46.9</w:t>
            </w:r>
          </w:p>
        </w:tc>
        <w:tc>
          <w:tcPr>
            <w:tcW w:w="386" w:type="pct"/>
            <w:tcBorders>
              <w:tl2br w:val="nil"/>
              <w:tr2bl w:val="nil"/>
            </w:tcBorders>
            <w:vAlign w:val="center"/>
          </w:tcPr>
          <w:p w14:paraId="22016C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w:t>
            </w:r>
          </w:p>
        </w:tc>
      </w:tr>
      <w:tr w14:paraId="1B695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7" w:type="pct"/>
            <w:tcBorders>
              <w:tl2br w:val="nil"/>
              <w:tr2bl w:val="nil"/>
            </w:tcBorders>
            <w:vAlign w:val="center"/>
          </w:tcPr>
          <w:p w14:paraId="05ACF6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焊接机</w:t>
            </w:r>
          </w:p>
        </w:tc>
        <w:tc>
          <w:tcPr>
            <w:tcW w:w="465" w:type="pct"/>
            <w:tcBorders>
              <w:tl2br w:val="nil"/>
              <w:tr2bl w:val="nil"/>
            </w:tcBorders>
            <w:vAlign w:val="center"/>
          </w:tcPr>
          <w:p w14:paraId="39D78A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80</w:t>
            </w:r>
          </w:p>
        </w:tc>
        <w:tc>
          <w:tcPr>
            <w:tcW w:w="332" w:type="pct"/>
            <w:tcBorders>
              <w:tl2br w:val="nil"/>
              <w:tr2bl w:val="nil"/>
            </w:tcBorders>
            <w:vAlign w:val="center"/>
          </w:tcPr>
          <w:p w14:paraId="3C6B77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74</w:t>
            </w:r>
          </w:p>
        </w:tc>
        <w:tc>
          <w:tcPr>
            <w:tcW w:w="454" w:type="pct"/>
            <w:tcBorders>
              <w:tl2br w:val="nil"/>
              <w:tr2bl w:val="nil"/>
            </w:tcBorders>
            <w:vAlign w:val="center"/>
          </w:tcPr>
          <w:p w14:paraId="693967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60</w:t>
            </w:r>
          </w:p>
        </w:tc>
        <w:tc>
          <w:tcPr>
            <w:tcW w:w="454" w:type="pct"/>
            <w:tcBorders>
              <w:tl2br w:val="nil"/>
              <w:tr2bl w:val="nil"/>
            </w:tcBorders>
            <w:vAlign w:val="center"/>
          </w:tcPr>
          <w:p w14:paraId="0DA902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454" w:type="pct"/>
            <w:tcBorders>
              <w:tl2br w:val="nil"/>
              <w:tr2bl w:val="nil"/>
            </w:tcBorders>
            <w:vAlign w:val="center"/>
          </w:tcPr>
          <w:p w14:paraId="0F4A80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50.5</w:t>
            </w:r>
          </w:p>
        </w:tc>
        <w:tc>
          <w:tcPr>
            <w:tcW w:w="453" w:type="pct"/>
            <w:tcBorders>
              <w:tl2br w:val="nil"/>
              <w:tr2bl w:val="nil"/>
            </w:tcBorders>
            <w:vAlign w:val="center"/>
          </w:tcPr>
          <w:p w14:paraId="6E70DE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48</w:t>
            </w:r>
          </w:p>
        </w:tc>
        <w:tc>
          <w:tcPr>
            <w:tcW w:w="453" w:type="pct"/>
            <w:tcBorders>
              <w:tl2br w:val="nil"/>
              <w:tr2bl w:val="nil"/>
            </w:tcBorders>
            <w:vAlign w:val="center"/>
          </w:tcPr>
          <w:p w14:paraId="7AC22D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c>
          <w:tcPr>
            <w:tcW w:w="453" w:type="pct"/>
            <w:tcBorders>
              <w:tl2br w:val="nil"/>
              <w:tr2bl w:val="nil"/>
            </w:tcBorders>
            <w:vAlign w:val="center"/>
          </w:tcPr>
          <w:p w14:paraId="78FDE0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44.4</w:t>
            </w:r>
          </w:p>
        </w:tc>
        <w:tc>
          <w:tcPr>
            <w:tcW w:w="453" w:type="pct"/>
            <w:tcBorders>
              <w:tl2br w:val="nil"/>
              <w:tr2bl w:val="nil"/>
            </w:tcBorders>
            <w:vAlign w:val="center"/>
          </w:tcPr>
          <w:p w14:paraId="4F279A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41.9</w:t>
            </w:r>
          </w:p>
        </w:tc>
        <w:tc>
          <w:tcPr>
            <w:tcW w:w="386" w:type="pct"/>
            <w:tcBorders>
              <w:tl2br w:val="nil"/>
              <w:tr2bl w:val="nil"/>
            </w:tcBorders>
            <w:vAlign w:val="center"/>
          </w:tcPr>
          <w:p w14:paraId="253A47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40</w:t>
            </w:r>
          </w:p>
        </w:tc>
      </w:tr>
      <w:tr w14:paraId="2CD60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7" w:type="pct"/>
            <w:tcBorders>
              <w:tl2br w:val="nil"/>
              <w:tr2bl w:val="nil"/>
            </w:tcBorders>
            <w:vAlign w:val="center"/>
          </w:tcPr>
          <w:p w14:paraId="7E7CF4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钻孔机</w:t>
            </w:r>
          </w:p>
        </w:tc>
        <w:tc>
          <w:tcPr>
            <w:tcW w:w="465" w:type="pct"/>
            <w:tcBorders>
              <w:tl2br w:val="nil"/>
              <w:tr2bl w:val="nil"/>
            </w:tcBorders>
            <w:vAlign w:val="center"/>
          </w:tcPr>
          <w:p w14:paraId="615D9D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87</w:t>
            </w:r>
          </w:p>
        </w:tc>
        <w:tc>
          <w:tcPr>
            <w:tcW w:w="332" w:type="pct"/>
            <w:tcBorders>
              <w:tl2br w:val="nil"/>
              <w:tr2bl w:val="nil"/>
            </w:tcBorders>
            <w:vAlign w:val="center"/>
          </w:tcPr>
          <w:p w14:paraId="26713D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72</w:t>
            </w:r>
          </w:p>
        </w:tc>
        <w:tc>
          <w:tcPr>
            <w:tcW w:w="454" w:type="pct"/>
            <w:tcBorders>
              <w:tl2br w:val="nil"/>
              <w:tr2bl w:val="nil"/>
            </w:tcBorders>
            <w:vAlign w:val="center"/>
          </w:tcPr>
          <w:p w14:paraId="12BA7D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58</w:t>
            </w:r>
          </w:p>
        </w:tc>
        <w:tc>
          <w:tcPr>
            <w:tcW w:w="454" w:type="pct"/>
            <w:tcBorders>
              <w:tl2br w:val="nil"/>
              <w:tr2bl w:val="nil"/>
            </w:tcBorders>
            <w:vAlign w:val="center"/>
          </w:tcPr>
          <w:p w14:paraId="2CEB10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52</w:t>
            </w:r>
          </w:p>
        </w:tc>
        <w:tc>
          <w:tcPr>
            <w:tcW w:w="454" w:type="pct"/>
            <w:tcBorders>
              <w:tl2br w:val="nil"/>
              <w:tr2bl w:val="nil"/>
            </w:tcBorders>
            <w:vAlign w:val="center"/>
          </w:tcPr>
          <w:p w14:paraId="6AC931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48.5</w:t>
            </w:r>
          </w:p>
        </w:tc>
        <w:tc>
          <w:tcPr>
            <w:tcW w:w="453" w:type="pct"/>
            <w:tcBorders>
              <w:tl2br w:val="nil"/>
              <w:tr2bl w:val="nil"/>
            </w:tcBorders>
            <w:vAlign w:val="center"/>
          </w:tcPr>
          <w:p w14:paraId="0361DF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w:t>
            </w:r>
          </w:p>
        </w:tc>
        <w:tc>
          <w:tcPr>
            <w:tcW w:w="453" w:type="pct"/>
            <w:tcBorders>
              <w:tl2br w:val="nil"/>
              <w:tr2bl w:val="nil"/>
            </w:tcBorders>
            <w:vAlign w:val="center"/>
          </w:tcPr>
          <w:p w14:paraId="1AC7CA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44</w:t>
            </w:r>
          </w:p>
        </w:tc>
        <w:tc>
          <w:tcPr>
            <w:tcW w:w="453" w:type="pct"/>
            <w:tcBorders>
              <w:tl2br w:val="nil"/>
              <w:tr2bl w:val="nil"/>
            </w:tcBorders>
            <w:vAlign w:val="center"/>
          </w:tcPr>
          <w:p w14:paraId="1C865A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42.4</w:t>
            </w:r>
          </w:p>
        </w:tc>
        <w:tc>
          <w:tcPr>
            <w:tcW w:w="453" w:type="pct"/>
            <w:tcBorders>
              <w:tl2br w:val="nil"/>
              <w:tr2bl w:val="nil"/>
            </w:tcBorders>
            <w:vAlign w:val="center"/>
          </w:tcPr>
          <w:p w14:paraId="30A112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39.9</w:t>
            </w:r>
          </w:p>
        </w:tc>
        <w:tc>
          <w:tcPr>
            <w:tcW w:w="386" w:type="pct"/>
            <w:tcBorders>
              <w:tl2br w:val="nil"/>
              <w:tr2bl w:val="nil"/>
            </w:tcBorders>
            <w:vAlign w:val="center"/>
          </w:tcPr>
          <w:p w14:paraId="3D9455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38</w:t>
            </w:r>
          </w:p>
        </w:tc>
      </w:tr>
      <w:tr w14:paraId="60542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7" w:type="pct"/>
            <w:tcBorders>
              <w:tl2br w:val="nil"/>
              <w:tr2bl w:val="nil"/>
            </w:tcBorders>
            <w:vAlign w:val="center"/>
          </w:tcPr>
          <w:p w14:paraId="04C839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空压机</w:t>
            </w:r>
          </w:p>
        </w:tc>
        <w:tc>
          <w:tcPr>
            <w:tcW w:w="465" w:type="pct"/>
            <w:tcBorders>
              <w:tl2br w:val="nil"/>
              <w:tr2bl w:val="nil"/>
            </w:tcBorders>
            <w:vAlign w:val="center"/>
          </w:tcPr>
          <w:p w14:paraId="602768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c>
          <w:tcPr>
            <w:tcW w:w="332" w:type="pct"/>
            <w:tcBorders>
              <w:tl2br w:val="nil"/>
              <w:tr2bl w:val="nil"/>
            </w:tcBorders>
            <w:vAlign w:val="center"/>
          </w:tcPr>
          <w:p w14:paraId="3BB94A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84</w:t>
            </w:r>
          </w:p>
        </w:tc>
        <w:tc>
          <w:tcPr>
            <w:tcW w:w="454" w:type="pct"/>
            <w:tcBorders>
              <w:tl2br w:val="nil"/>
              <w:tr2bl w:val="nil"/>
            </w:tcBorders>
            <w:vAlign w:val="center"/>
          </w:tcPr>
          <w:p w14:paraId="2B8002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60</w:t>
            </w:r>
          </w:p>
        </w:tc>
        <w:tc>
          <w:tcPr>
            <w:tcW w:w="454" w:type="pct"/>
            <w:tcBorders>
              <w:tl2br w:val="nil"/>
              <w:tr2bl w:val="nil"/>
            </w:tcBorders>
            <w:vAlign w:val="center"/>
          </w:tcPr>
          <w:p w14:paraId="236711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454" w:type="pct"/>
            <w:tcBorders>
              <w:tl2br w:val="nil"/>
              <w:tr2bl w:val="nil"/>
            </w:tcBorders>
            <w:vAlign w:val="center"/>
          </w:tcPr>
          <w:p w14:paraId="3C5595B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51.5</w:t>
            </w:r>
          </w:p>
        </w:tc>
        <w:tc>
          <w:tcPr>
            <w:tcW w:w="453" w:type="pct"/>
            <w:tcBorders>
              <w:tl2br w:val="nil"/>
              <w:tr2bl w:val="nil"/>
            </w:tcBorders>
            <w:vAlign w:val="center"/>
          </w:tcPr>
          <w:p w14:paraId="65DD9C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49</w:t>
            </w:r>
          </w:p>
        </w:tc>
        <w:tc>
          <w:tcPr>
            <w:tcW w:w="453" w:type="pct"/>
            <w:tcBorders>
              <w:tl2br w:val="nil"/>
              <w:tr2bl w:val="nil"/>
            </w:tcBorders>
            <w:vAlign w:val="center"/>
          </w:tcPr>
          <w:p w14:paraId="6ABD5C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w:t>
            </w:r>
          </w:p>
        </w:tc>
        <w:tc>
          <w:tcPr>
            <w:tcW w:w="453" w:type="pct"/>
            <w:tcBorders>
              <w:tl2br w:val="nil"/>
              <w:tr2bl w:val="nil"/>
            </w:tcBorders>
            <w:vAlign w:val="center"/>
          </w:tcPr>
          <w:p w14:paraId="4ED88F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45.4</w:t>
            </w:r>
          </w:p>
        </w:tc>
        <w:tc>
          <w:tcPr>
            <w:tcW w:w="453" w:type="pct"/>
            <w:tcBorders>
              <w:tl2br w:val="nil"/>
              <w:tr2bl w:val="nil"/>
            </w:tcBorders>
            <w:vAlign w:val="center"/>
          </w:tcPr>
          <w:p w14:paraId="6485CA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42.9</w:t>
            </w:r>
          </w:p>
        </w:tc>
        <w:tc>
          <w:tcPr>
            <w:tcW w:w="386" w:type="pct"/>
            <w:tcBorders>
              <w:tl2br w:val="nil"/>
              <w:tr2bl w:val="nil"/>
            </w:tcBorders>
            <w:vAlign w:val="center"/>
          </w:tcPr>
          <w:p w14:paraId="6E183E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r>
      <w:tr w14:paraId="60B9F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7" w:type="pct"/>
            <w:tcBorders>
              <w:tl2br w:val="nil"/>
              <w:tr2bl w:val="nil"/>
            </w:tcBorders>
            <w:vAlign w:val="center"/>
          </w:tcPr>
          <w:p w14:paraId="10BF61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挖掘机</w:t>
            </w:r>
          </w:p>
        </w:tc>
        <w:tc>
          <w:tcPr>
            <w:tcW w:w="465" w:type="pct"/>
            <w:tcBorders>
              <w:tl2br w:val="nil"/>
              <w:tr2bl w:val="nil"/>
            </w:tcBorders>
            <w:shd w:val="clear" w:color="auto" w:fill="auto"/>
            <w:vAlign w:val="center"/>
          </w:tcPr>
          <w:p w14:paraId="65E70D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90</w:t>
            </w:r>
          </w:p>
        </w:tc>
        <w:tc>
          <w:tcPr>
            <w:tcW w:w="332" w:type="pct"/>
            <w:tcBorders>
              <w:tl2br w:val="nil"/>
              <w:tr2bl w:val="nil"/>
            </w:tcBorders>
            <w:shd w:val="clear" w:color="auto" w:fill="auto"/>
            <w:vAlign w:val="center"/>
          </w:tcPr>
          <w:p w14:paraId="067579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84</w:t>
            </w:r>
          </w:p>
        </w:tc>
        <w:tc>
          <w:tcPr>
            <w:tcW w:w="454" w:type="pct"/>
            <w:tcBorders>
              <w:tl2br w:val="nil"/>
              <w:tr2bl w:val="nil"/>
            </w:tcBorders>
            <w:shd w:val="clear" w:color="auto" w:fill="auto"/>
            <w:vAlign w:val="center"/>
          </w:tcPr>
          <w:p w14:paraId="24DACB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60</w:t>
            </w:r>
          </w:p>
        </w:tc>
        <w:tc>
          <w:tcPr>
            <w:tcW w:w="454" w:type="pct"/>
            <w:tcBorders>
              <w:tl2br w:val="nil"/>
              <w:tr2bl w:val="nil"/>
            </w:tcBorders>
            <w:shd w:val="clear" w:color="auto" w:fill="auto"/>
            <w:vAlign w:val="center"/>
          </w:tcPr>
          <w:p w14:paraId="2075FD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54</w:t>
            </w:r>
          </w:p>
        </w:tc>
        <w:tc>
          <w:tcPr>
            <w:tcW w:w="454" w:type="pct"/>
            <w:tcBorders>
              <w:tl2br w:val="nil"/>
              <w:tr2bl w:val="nil"/>
            </w:tcBorders>
            <w:shd w:val="clear" w:color="auto" w:fill="auto"/>
            <w:vAlign w:val="center"/>
          </w:tcPr>
          <w:p w14:paraId="69D9B1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51.5</w:t>
            </w:r>
          </w:p>
        </w:tc>
        <w:tc>
          <w:tcPr>
            <w:tcW w:w="453" w:type="pct"/>
            <w:tcBorders>
              <w:tl2br w:val="nil"/>
              <w:tr2bl w:val="nil"/>
            </w:tcBorders>
            <w:shd w:val="clear" w:color="auto" w:fill="auto"/>
            <w:vAlign w:val="center"/>
          </w:tcPr>
          <w:p w14:paraId="1BE071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49</w:t>
            </w:r>
          </w:p>
        </w:tc>
        <w:tc>
          <w:tcPr>
            <w:tcW w:w="453" w:type="pct"/>
            <w:tcBorders>
              <w:tl2br w:val="nil"/>
              <w:tr2bl w:val="nil"/>
            </w:tcBorders>
            <w:shd w:val="clear" w:color="auto" w:fill="auto"/>
            <w:vAlign w:val="center"/>
          </w:tcPr>
          <w:p w14:paraId="0A9D3A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47</w:t>
            </w:r>
          </w:p>
        </w:tc>
        <w:tc>
          <w:tcPr>
            <w:tcW w:w="453" w:type="pct"/>
            <w:tcBorders>
              <w:tl2br w:val="nil"/>
              <w:tr2bl w:val="nil"/>
            </w:tcBorders>
            <w:shd w:val="clear" w:color="auto" w:fill="auto"/>
            <w:vAlign w:val="center"/>
          </w:tcPr>
          <w:p w14:paraId="6FFC14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45.4</w:t>
            </w:r>
          </w:p>
        </w:tc>
        <w:tc>
          <w:tcPr>
            <w:tcW w:w="453" w:type="pct"/>
            <w:tcBorders>
              <w:tl2br w:val="nil"/>
              <w:tr2bl w:val="nil"/>
            </w:tcBorders>
            <w:shd w:val="clear" w:color="auto" w:fill="auto"/>
            <w:vAlign w:val="center"/>
          </w:tcPr>
          <w:p w14:paraId="7080D4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42.9</w:t>
            </w:r>
          </w:p>
        </w:tc>
        <w:tc>
          <w:tcPr>
            <w:tcW w:w="386" w:type="pct"/>
            <w:tcBorders>
              <w:tl2br w:val="nil"/>
              <w:tr2bl w:val="nil"/>
            </w:tcBorders>
            <w:shd w:val="clear" w:color="auto" w:fill="auto"/>
            <w:vAlign w:val="center"/>
          </w:tcPr>
          <w:p w14:paraId="179B24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41</w:t>
            </w:r>
          </w:p>
        </w:tc>
      </w:tr>
    </w:tbl>
    <w:p w14:paraId="22B1EFE6">
      <w:pPr>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由上表</w:t>
      </w:r>
      <w:r>
        <w:rPr>
          <w:rFonts w:hint="eastAsia" w:ascii="Times New Roman" w:hAnsi="Times New Roman" w:eastAsia="宋体" w:cs="Times New Roman"/>
          <w:color w:val="auto"/>
          <w:szCs w:val="24"/>
          <w:lang w:val="en-US" w:eastAsia="zh-CN"/>
        </w:rPr>
        <w:t>6.1</w:t>
      </w:r>
      <w:r>
        <w:rPr>
          <w:rFonts w:hint="default" w:ascii="Times New Roman" w:hAnsi="Times New Roman" w:eastAsia="宋体" w:cs="Times New Roman"/>
          <w:color w:val="auto"/>
          <w:szCs w:val="24"/>
        </w:rPr>
        <w:t>-4计算结果可知，昼间施工机械超标范围为100m以内，夜间施工机械超标范围为250m以内。在严格控制夜间施工不使用噪声设备的前提下，本项目施工期产生的噪声不会对周围环境造成明显影响，随着施工竣工，施工噪声的影响将不再存在。其施工场界声环境可满足《建筑施工场界环境噪声排放标准》（GB12523-2011）要求，对区域声环境不会产生显著性不良影响。</w:t>
      </w:r>
    </w:p>
    <w:p w14:paraId="11AEF206">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16" w:name="_Toc19760"/>
      <w:bookmarkStart w:id="417" w:name="_Toc21038"/>
      <w:bookmarkStart w:id="418" w:name="_Toc14600"/>
      <w:r>
        <w:rPr>
          <w:rFonts w:hint="eastAsia" w:ascii="Times New Roman" w:hAnsi="Times New Roman" w:eastAsia="宋体" w:cs="Times New Roman"/>
          <w:b/>
          <w:bCs/>
          <w:color w:val="auto"/>
          <w:sz w:val="28"/>
          <w:szCs w:val="28"/>
          <w:lang w:val="en-US" w:eastAsia="zh-CN"/>
        </w:rPr>
        <w:t>6.1.4 固体废物影响评价</w:t>
      </w:r>
      <w:bookmarkEnd w:id="416"/>
      <w:bookmarkEnd w:id="417"/>
      <w:bookmarkEnd w:id="418"/>
    </w:p>
    <w:p w14:paraId="2D77A4A2">
      <w:pPr>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施工期间建筑工地会产生大量余泥、渣土、地表开挖的余泥、施工剩余废物料等。如不妥善处理这些建筑固体废弃物，则会阻碍交通，污染环境。在运输过程中，车辆如不注意清洁运输，沿途撒漏泥土，污染街道和公路，影响城市容貌与交通。对建筑垃圾，可回收利用的应尽量回收。不能回收的应及时处理，防止因长期堆放产生扬尘等污染。生活垃圾应定点堆放，定期清运至垃圾处理场或填埋，严禁乱堆乱扔</w:t>
      </w:r>
      <w:r>
        <w:rPr>
          <w:rFonts w:hint="eastAsia" w:ascii="Times New Roman" w:hAnsi="Times New Roman" w:eastAsia="宋体" w:cs="Times New Roman"/>
          <w:color w:val="auto"/>
          <w:szCs w:val="24"/>
          <w:lang w:eastAsia="zh-CN"/>
        </w:rPr>
        <w:t>。</w:t>
      </w:r>
      <w:r>
        <w:rPr>
          <w:rFonts w:hint="eastAsia" w:ascii="Times New Roman" w:hAnsi="Times New Roman" w:eastAsia="宋体" w:cs="Times New Roman"/>
          <w:color w:val="auto"/>
          <w:szCs w:val="24"/>
          <w:lang w:val="en-US" w:eastAsia="zh-CN"/>
        </w:rPr>
        <w:t>管线维修更换过程挖土全部在管线两侧临时堆存，并进行苫盖，维修更换结束后全部回填使用。</w:t>
      </w:r>
      <w:r>
        <w:rPr>
          <w:rFonts w:hint="default" w:ascii="Times New Roman" w:hAnsi="Times New Roman" w:eastAsia="宋体" w:cs="Times New Roman"/>
          <w:color w:val="auto"/>
          <w:szCs w:val="24"/>
        </w:rPr>
        <w:t>经过上述措施后施工期固体废物对环境影响较小。</w:t>
      </w:r>
    </w:p>
    <w:p w14:paraId="4DE9F090">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419" w:name="_Toc32223"/>
      <w:bookmarkStart w:id="420" w:name="_Toc18218"/>
      <w:r>
        <w:rPr>
          <w:rFonts w:hint="eastAsia" w:ascii="Times New Roman" w:hAnsi="Times New Roman" w:eastAsia="宋体" w:cs="Times New Roman"/>
          <w:b/>
          <w:bCs/>
          <w:color w:val="auto"/>
          <w:lang w:val="en-US" w:eastAsia="zh-CN"/>
        </w:rPr>
        <w:t xml:space="preserve">6.2 </w:t>
      </w:r>
      <w:r>
        <w:rPr>
          <w:rFonts w:hint="eastAsia" w:ascii="Times New Roman" w:hAnsi="Times New Roman" w:eastAsia="宋体" w:cs="Times New Roman"/>
          <w:b/>
          <w:bCs/>
          <w:color w:val="auto"/>
        </w:rPr>
        <w:t>运营期环境影响预测</w:t>
      </w:r>
      <w:bookmarkEnd w:id="419"/>
      <w:bookmarkEnd w:id="420"/>
    </w:p>
    <w:p w14:paraId="6C3D3266">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21" w:name="_Toc30286"/>
      <w:bookmarkStart w:id="422" w:name="_Toc22844"/>
      <w:bookmarkStart w:id="423" w:name="_Toc30736"/>
      <w:r>
        <w:rPr>
          <w:rFonts w:hint="eastAsia" w:ascii="Times New Roman" w:hAnsi="Times New Roman" w:eastAsia="宋体" w:cs="Times New Roman"/>
          <w:b/>
          <w:bCs/>
          <w:color w:val="auto"/>
          <w:sz w:val="28"/>
          <w:szCs w:val="28"/>
          <w:lang w:val="en-US" w:eastAsia="zh-CN"/>
        </w:rPr>
        <w:t>6.2.1 大气环境影响预测与评价</w:t>
      </w:r>
      <w:bookmarkEnd w:id="421"/>
      <w:bookmarkEnd w:id="422"/>
      <w:bookmarkEnd w:id="423"/>
    </w:p>
    <w:p w14:paraId="3027AB71">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6.2.1.1 正常工况排放预测分析</w:t>
      </w:r>
    </w:p>
    <w:p w14:paraId="2CBC464C">
      <w:pPr>
        <w:keepNext w:val="0"/>
        <w:keepLines w:val="0"/>
        <w:pageBreakBefore w:val="0"/>
        <w:widowControl w:val="0"/>
        <w:kinsoku/>
        <w:wordWrap/>
        <w:overflowPunct/>
        <w:topLinePunct w:val="0"/>
        <w:bidi w:val="0"/>
        <w:snapToGrid/>
        <w:spacing w:line="500" w:lineRule="exact"/>
        <w:ind w:left="0" w:leftChars="0" w:firstLine="480" w:firstLineChars="200"/>
        <w:jc w:val="both"/>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（1）预测情形</w:t>
      </w:r>
    </w:p>
    <w:p w14:paraId="4B3EA6D0">
      <w:pPr>
        <w:keepNext w:val="0"/>
        <w:keepLines w:val="0"/>
        <w:pageBreakBefore w:val="0"/>
        <w:widowControl w:val="0"/>
        <w:kinsoku/>
        <w:wordWrap/>
        <w:overflowPunct/>
        <w:topLinePunct w:val="0"/>
        <w:bidi w:val="0"/>
        <w:snapToGrid/>
        <w:spacing w:line="500" w:lineRule="exact"/>
        <w:ind w:left="0" w:leftChars="0" w:firstLine="480" w:firstLineChars="200"/>
        <w:jc w:val="both"/>
        <w:rPr>
          <w:rFonts w:hint="default" w:ascii="Times New Roman" w:hAnsi="Times New Roman" w:eastAsia="宋体" w:cs="Times New Roman"/>
          <w:color w:val="auto"/>
          <w:szCs w:val="22"/>
        </w:rPr>
      </w:pPr>
      <w:r>
        <w:rPr>
          <w:rFonts w:hint="default" w:ascii="Times New Roman" w:hAnsi="Times New Roman" w:eastAsia="宋体" w:cs="Times New Roman"/>
          <w:color w:val="auto"/>
          <w:lang w:val="en-US" w:eastAsia="zh-CN"/>
        </w:rPr>
        <w:t>为反映预测的真实可靠性，考虑到</w:t>
      </w:r>
      <w:r>
        <w:rPr>
          <w:rFonts w:hint="eastAsia" w:ascii="Times New Roman" w:hAnsi="Times New Roman" w:eastAsia="宋体" w:cs="Times New Roman"/>
          <w:color w:val="auto"/>
          <w:lang w:val="en-US" w:eastAsia="zh-CN"/>
        </w:rPr>
        <w:t>本次项目为锅炉改建，拆除2台现有46MW锅炉，建设2台42</w:t>
      </w:r>
      <w:r>
        <w:rPr>
          <w:rFonts w:hint="default" w:ascii="Times New Roman" w:hAnsi="Times New Roman" w:eastAsia="宋体" w:cs="Times New Roman"/>
          <w:color w:val="auto"/>
          <w:lang w:val="en-US" w:eastAsia="zh-CN"/>
        </w:rPr>
        <w:t>MW锅炉</w:t>
      </w:r>
      <w:r>
        <w:rPr>
          <w:rFonts w:hint="eastAsia" w:ascii="Times New Roman" w:hAnsi="Times New Roman" w:eastAsia="宋体" w:cs="Times New Roman"/>
          <w:color w:val="auto"/>
          <w:lang w:val="en-US" w:eastAsia="zh-CN"/>
        </w:rPr>
        <w:t>。因此</w:t>
      </w:r>
      <w:r>
        <w:rPr>
          <w:rFonts w:hint="default" w:ascii="Times New Roman" w:hAnsi="Times New Roman" w:eastAsia="宋体" w:cs="Times New Roman"/>
          <w:color w:val="auto"/>
          <w:lang w:val="en-US" w:eastAsia="zh-CN"/>
        </w:rPr>
        <w:t>，在预测时</w:t>
      </w:r>
      <w:r>
        <w:rPr>
          <w:rFonts w:hint="eastAsia" w:ascii="Times New Roman" w:hAnsi="Times New Roman" w:eastAsia="宋体" w:cs="Times New Roman"/>
          <w:color w:val="auto"/>
          <w:lang w:val="en-US" w:eastAsia="zh-CN"/>
        </w:rPr>
        <w:t>考虑本次锅炉对原锅炉的替代关系</w:t>
      </w:r>
      <w:r>
        <w:rPr>
          <w:rFonts w:hint="default" w:ascii="Times New Roman" w:hAnsi="Times New Roman" w:eastAsia="宋体" w:cs="Times New Roman"/>
          <w:color w:val="auto"/>
          <w:lang w:val="en-US" w:eastAsia="zh-CN"/>
        </w:rPr>
        <w:t>。</w:t>
      </w:r>
    </w:p>
    <w:p w14:paraId="72027E6E">
      <w:pPr>
        <w:keepNext w:val="0"/>
        <w:keepLines w:val="0"/>
        <w:pageBreakBefore w:val="0"/>
        <w:widowControl w:val="0"/>
        <w:kinsoku/>
        <w:wordWrap/>
        <w:overflowPunct/>
        <w:topLinePunct w:val="0"/>
        <w:autoSpaceDE w:val="0"/>
        <w:autoSpaceDN w:val="0"/>
        <w:bidi w:val="0"/>
        <w:adjustRightInd w:val="0"/>
        <w:snapToGrid/>
        <w:spacing w:line="500" w:lineRule="exact"/>
        <w:ind w:left="0" w:leftChars="0" w:firstLine="480" w:firstLineChars="20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w:t>
      </w:r>
      <w:r>
        <w:rPr>
          <w:rFonts w:hint="eastAsia" w:ascii="Times New Roman" w:hAnsi="Times New Roman" w:eastAsia="宋体" w:cs="Times New Roman"/>
          <w:color w:val="auto"/>
          <w:kern w:val="0"/>
          <w:szCs w:val="24"/>
        </w:rPr>
        <w:t>2</w:t>
      </w:r>
      <w:r>
        <w:rPr>
          <w:rFonts w:ascii="Times New Roman" w:hAnsi="Times New Roman" w:eastAsia="宋体" w:cs="Times New Roman"/>
          <w:color w:val="auto"/>
          <w:kern w:val="0"/>
          <w:szCs w:val="24"/>
        </w:rPr>
        <w:t>）预测因子</w:t>
      </w:r>
    </w:p>
    <w:p w14:paraId="1BE8A3E2">
      <w:pPr>
        <w:pStyle w:val="96"/>
        <w:keepNext w:val="0"/>
        <w:keepLines w:val="0"/>
        <w:pageBreakBefore w:val="0"/>
        <w:widowControl w:val="0"/>
        <w:kinsoku/>
        <w:wordWrap/>
        <w:overflowPunct/>
        <w:topLinePunct w:val="0"/>
        <w:bidi w:val="0"/>
        <w:snapToGrid/>
        <w:spacing w:line="500" w:lineRule="exact"/>
        <w:ind w:left="0" w:leftChars="0" w:firstLine="480" w:firstLineChars="200"/>
        <w:rPr>
          <w:rFonts w:eastAsia="宋体" w:cs="Times New Roman"/>
          <w:iCs/>
          <w:color w:val="auto"/>
          <w:spacing w:val="0"/>
          <w:kern w:val="0"/>
          <w:szCs w:val="24"/>
        </w:rPr>
      </w:pPr>
      <w:r>
        <w:rPr>
          <w:rFonts w:eastAsia="宋体" w:cs="Times New Roman"/>
          <w:color w:val="auto"/>
          <w:spacing w:val="0"/>
          <w:szCs w:val="24"/>
        </w:rPr>
        <w:t>根据</w:t>
      </w:r>
      <w:r>
        <w:rPr>
          <w:rFonts w:eastAsia="宋体" w:cs="Times New Roman"/>
          <w:color w:val="auto"/>
          <w:spacing w:val="0"/>
        </w:rPr>
        <w:t>《环境影响评价技术导则 大气环境》（HJ2.2-2018）中“8.2预测因子要求：</w:t>
      </w:r>
      <w:r>
        <w:rPr>
          <w:rFonts w:eastAsia="宋体" w:cs="Times New Roman"/>
          <w:color w:val="auto"/>
          <w:spacing w:val="0"/>
          <w:szCs w:val="24"/>
        </w:rPr>
        <w:t>预测因子根据评价因子而定，选取有环境质量标准的评价因子作为预测因子。本项目大气环境影响评价因子为</w:t>
      </w:r>
      <w:r>
        <w:rPr>
          <w:rFonts w:eastAsia="宋体" w:cs="Times New Roman"/>
          <w:iCs/>
          <w:color w:val="auto"/>
          <w:spacing w:val="0"/>
          <w:kern w:val="0"/>
          <w:szCs w:val="24"/>
        </w:rPr>
        <w:t>PM</w:t>
      </w:r>
      <w:r>
        <w:rPr>
          <w:rFonts w:eastAsia="宋体" w:cs="Times New Roman"/>
          <w:iCs/>
          <w:color w:val="auto"/>
          <w:spacing w:val="0"/>
          <w:kern w:val="0"/>
          <w:szCs w:val="24"/>
          <w:vertAlign w:val="subscript"/>
        </w:rPr>
        <w:t>10</w:t>
      </w:r>
      <w:r>
        <w:rPr>
          <w:rFonts w:eastAsia="宋体" w:cs="Times New Roman"/>
          <w:iCs/>
          <w:color w:val="auto"/>
          <w:spacing w:val="0"/>
          <w:kern w:val="0"/>
          <w:szCs w:val="24"/>
        </w:rPr>
        <w:t>、一次PM</w:t>
      </w:r>
      <w:r>
        <w:rPr>
          <w:rFonts w:eastAsia="宋体" w:cs="Times New Roman"/>
          <w:iCs/>
          <w:color w:val="auto"/>
          <w:spacing w:val="0"/>
          <w:kern w:val="0"/>
          <w:szCs w:val="24"/>
          <w:vertAlign w:val="subscript"/>
        </w:rPr>
        <w:t>2.5</w:t>
      </w:r>
      <w:r>
        <w:rPr>
          <w:rFonts w:eastAsia="宋体" w:cs="Times New Roman"/>
          <w:iCs/>
          <w:color w:val="auto"/>
          <w:spacing w:val="0"/>
          <w:kern w:val="0"/>
          <w:szCs w:val="24"/>
        </w:rPr>
        <w:t>、SO</w:t>
      </w:r>
      <w:r>
        <w:rPr>
          <w:rFonts w:eastAsia="宋体" w:cs="Times New Roman"/>
          <w:iCs/>
          <w:color w:val="auto"/>
          <w:spacing w:val="0"/>
          <w:kern w:val="0"/>
          <w:szCs w:val="24"/>
          <w:vertAlign w:val="subscript"/>
        </w:rPr>
        <w:t>2</w:t>
      </w:r>
      <w:r>
        <w:rPr>
          <w:rFonts w:eastAsia="宋体" w:cs="Times New Roman"/>
          <w:iCs/>
          <w:color w:val="auto"/>
          <w:spacing w:val="0"/>
          <w:kern w:val="0"/>
          <w:szCs w:val="24"/>
        </w:rPr>
        <w:t>、NO</w:t>
      </w:r>
      <w:r>
        <w:rPr>
          <w:rFonts w:eastAsia="宋体" w:cs="Times New Roman"/>
          <w:iCs/>
          <w:color w:val="auto"/>
          <w:spacing w:val="0"/>
          <w:kern w:val="0"/>
          <w:szCs w:val="24"/>
          <w:vertAlign w:val="subscript"/>
        </w:rPr>
        <w:t>2</w:t>
      </w:r>
      <w:r>
        <w:rPr>
          <w:rFonts w:eastAsia="宋体" w:cs="Times New Roman"/>
          <w:iCs/>
          <w:color w:val="auto"/>
          <w:spacing w:val="0"/>
          <w:kern w:val="0"/>
          <w:szCs w:val="24"/>
        </w:rPr>
        <w:t>、汞、</w:t>
      </w:r>
      <w:r>
        <w:rPr>
          <w:rFonts w:hint="eastAsia" w:eastAsia="宋体" w:cs="Times New Roman"/>
          <w:iCs/>
          <w:color w:val="FF0000"/>
          <w:spacing w:val="0"/>
          <w:kern w:val="0"/>
          <w:szCs w:val="24"/>
          <w:lang w:val="en-US" w:eastAsia="zh-CN"/>
        </w:rPr>
        <w:t>NH</w:t>
      </w:r>
      <w:r>
        <w:rPr>
          <w:rFonts w:hint="eastAsia" w:eastAsia="宋体" w:cs="Times New Roman"/>
          <w:iCs/>
          <w:color w:val="FF0000"/>
          <w:spacing w:val="0"/>
          <w:kern w:val="0"/>
          <w:szCs w:val="24"/>
          <w:vertAlign w:val="subscript"/>
          <w:lang w:val="en-US" w:eastAsia="zh-CN"/>
        </w:rPr>
        <w:t>3</w:t>
      </w:r>
      <w:r>
        <w:rPr>
          <w:rFonts w:hint="eastAsia" w:eastAsia="宋体" w:cs="Times New Roman"/>
          <w:iCs/>
          <w:color w:val="FF0000"/>
          <w:spacing w:val="0"/>
          <w:kern w:val="0"/>
          <w:szCs w:val="24"/>
          <w:lang w:val="en-US" w:eastAsia="zh-CN"/>
        </w:rPr>
        <w:t>、</w:t>
      </w:r>
      <w:r>
        <w:rPr>
          <w:rFonts w:eastAsia="宋体" w:cs="Times New Roman"/>
          <w:iCs/>
          <w:color w:val="auto"/>
          <w:spacing w:val="0"/>
          <w:kern w:val="0"/>
          <w:szCs w:val="24"/>
        </w:rPr>
        <w:t>TSP，同时</w:t>
      </w:r>
      <w:r>
        <w:rPr>
          <w:rFonts w:eastAsia="宋体" w:cs="Times New Roman"/>
          <w:color w:val="auto"/>
          <w:spacing w:val="0"/>
          <w:szCs w:val="24"/>
        </w:rPr>
        <w:t>本项目SO</w:t>
      </w:r>
      <w:r>
        <w:rPr>
          <w:rFonts w:eastAsia="宋体" w:cs="Times New Roman"/>
          <w:color w:val="auto"/>
          <w:spacing w:val="0"/>
          <w:szCs w:val="24"/>
          <w:vertAlign w:val="subscript"/>
        </w:rPr>
        <w:t>2</w:t>
      </w:r>
      <w:r>
        <w:rPr>
          <w:rFonts w:eastAsia="宋体" w:cs="Times New Roman"/>
          <w:color w:val="auto"/>
          <w:spacing w:val="0"/>
          <w:szCs w:val="24"/>
        </w:rPr>
        <w:t>和NO</w:t>
      </w:r>
      <w:r>
        <w:rPr>
          <w:rFonts w:eastAsia="宋体" w:cs="Times New Roman"/>
          <w:color w:val="auto"/>
          <w:spacing w:val="0"/>
          <w:szCs w:val="24"/>
          <w:vertAlign w:val="subscript"/>
        </w:rPr>
        <w:t>x</w:t>
      </w:r>
      <w:r>
        <w:rPr>
          <w:rFonts w:eastAsia="宋体" w:cs="Times New Roman"/>
          <w:color w:val="auto"/>
          <w:spacing w:val="0"/>
          <w:szCs w:val="24"/>
        </w:rPr>
        <w:t>核定的年排放量之和小于500t/a，根据</w:t>
      </w:r>
      <w:r>
        <w:rPr>
          <w:rFonts w:eastAsia="宋体" w:cs="Times New Roman"/>
          <w:color w:val="auto"/>
          <w:spacing w:val="0"/>
        </w:rPr>
        <w:t>《环境影响评价技术导则 大气环境（HJ2.2-2018）》5.1章节要求，本次</w:t>
      </w:r>
      <w:r>
        <w:rPr>
          <w:rFonts w:eastAsia="宋体" w:cs="Times New Roman"/>
          <w:color w:val="auto"/>
          <w:spacing w:val="0"/>
          <w:szCs w:val="24"/>
        </w:rPr>
        <w:t>评价因子不需要增加二次PM</w:t>
      </w:r>
      <w:r>
        <w:rPr>
          <w:rFonts w:eastAsia="宋体" w:cs="Times New Roman"/>
          <w:color w:val="auto"/>
          <w:spacing w:val="0"/>
          <w:szCs w:val="24"/>
          <w:vertAlign w:val="subscript"/>
        </w:rPr>
        <w:t>2.5</w:t>
      </w:r>
      <w:r>
        <w:rPr>
          <w:rFonts w:eastAsia="宋体" w:cs="Times New Roman"/>
          <w:color w:val="auto"/>
          <w:spacing w:val="0"/>
          <w:szCs w:val="24"/>
        </w:rPr>
        <w:t>。因此，本项目大气环境影响预测因子为</w:t>
      </w:r>
      <w:r>
        <w:rPr>
          <w:rFonts w:eastAsia="宋体" w:cs="Times New Roman"/>
          <w:iCs/>
          <w:color w:val="auto"/>
          <w:spacing w:val="0"/>
          <w:kern w:val="0"/>
          <w:szCs w:val="24"/>
        </w:rPr>
        <w:t>PM</w:t>
      </w:r>
      <w:r>
        <w:rPr>
          <w:rFonts w:eastAsia="宋体" w:cs="Times New Roman"/>
          <w:iCs/>
          <w:color w:val="auto"/>
          <w:spacing w:val="0"/>
          <w:kern w:val="0"/>
          <w:szCs w:val="24"/>
          <w:vertAlign w:val="subscript"/>
        </w:rPr>
        <w:t>10</w:t>
      </w:r>
      <w:r>
        <w:rPr>
          <w:rFonts w:eastAsia="宋体" w:cs="Times New Roman"/>
          <w:iCs/>
          <w:color w:val="auto"/>
          <w:spacing w:val="0"/>
          <w:kern w:val="0"/>
          <w:szCs w:val="24"/>
        </w:rPr>
        <w:t>、一次PM</w:t>
      </w:r>
      <w:r>
        <w:rPr>
          <w:rFonts w:eastAsia="宋体" w:cs="Times New Roman"/>
          <w:iCs/>
          <w:color w:val="auto"/>
          <w:spacing w:val="0"/>
          <w:kern w:val="0"/>
          <w:szCs w:val="24"/>
          <w:vertAlign w:val="subscript"/>
        </w:rPr>
        <w:t>2.5</w:t>
      </w:r>
      <w:r>
        <w:rPr>
          <w:rFonts w:eastAsia="宋体" w:cs="Times New Roman"/>
          <w:iCs/>
          <w:color w:val="auto"/>
          <w:spacing w:val="0"/>
          <w:kern w:val="0"/>
          <w:szCs w:val="24"/>
        </w:rPr>
        <w:t>、SO</w:t>
      </w:r>
      <w:r>
        <w:rPr>
          <w:rFonts w:eastAsia="宋体" w:cs="Times New Roman"/>
          <w:iCs/>
          <w:color w:val="auto"/>
          <w:spacing w:val="0"/>
          <w:kern w:val="0"/>
          <w:szCs w:val="24"/>
          <w:vertAlign w:val="subscript"/>
        </w:rPr>
        <w:t>2</w:t>
      </w:r>
      <w:r>
        <w:rPr>
          <w:rFonts w:eastAsia="宋体" w:cs="Times New Roman"/>
          <w:iCs/>
          <w:color w:val="auto"/>
          <w:spacing w:val="0"/>
          <w:kern w:val="0"/>
          <w:szCs w:val="24"/>
        </w:rPr>
        <w:t>、NO</w:t>
      </w:r>
      <w:r>
        <w:rPr>
          <w:rFonts w:eastAsia="宋体" w:cs="Times New Roman"/>
          <w:iCs/>
          <w:color w:val="auto"/>
          <w:spacing w:val="0"/>
          <w:kern w:val="0"/>
          <w:szCs w:val="24"/>
          <w:vertAlign w:val="subscript"/>
        </w:rPr>
        <w:t>2</w:t>
      </w:r>
      <w:r>
        <w:rPr>
          <w:rFonts w:eastAsia="宋体" w:cs="Times New Roman"/>
          <w:iCs/>
          <w:color w:val="auto"/>
          <w:spacing w:val="0"/>
          <w:kern w:val="0"/>
          <w:szCs w:val="24"/>
        </w:rPr>
        <w:t>、汞、</w:t>
      </w:r>
      <w:r>
        <w:rPr>
          <w:rFonts w:hint="eastAsia" w:eastAsia="宋体" w:cs="Times New Roman"/>
          <w:iCs/>
          <w:color w:val="FF0000"/>
          <w:spacing w:val="0"/>
          <w:kern w:val="0"/>
          <w:szCs w:val="24"/>
          <w:lang w:val="en-US" w:eastAsia="zh-CN"/>
        </w:rPr>
        <w:t>NH</w:t>
      </w:r>
      <w:r>
        <w:rPr>
          <w:rFonts w:hint="eastAsia" w:eastAsia="宋体" w:cs="Times New Roman"/>
          <w:iCs/>
          <w:color w:val="FF0000"/>
          <w:spacing w:val="0"/>
          <w:kern w:val="0"/>
          <w:szCs w:val="24"/>
          <w:vertAlign w:val="subscript"/>
          <w:lang w:val="en-US" w:eastAsia="zh-CN"/>
        </w:rPr>
        <w:t>3</w:t>
      </w:r>
      <w:r>
        <w:rPr>
          <w:rFonts w:hint="eastAsia" w:eastAsia="宋体" w:cs="Times New Roman"/>
          <w:iCs/>
          <w:color w:val="FF0000"/>
          <w:spacing w:val="0"/>
          <w:kern w:val="0"/>
          <w:szCs w:val="24"/>
          <w:lang w:val="en-US" w:eastAsia="zh-CN"/>
        </w:rPr>
        <w:t>、</w:t>
      </w:r>
      <w:r>
        <w:rPr>
          <w:rFonts w:eastAsia="宋体" w:cs="Times New Roman"/>
          <w:iCs/>
          <w:color w:val="auto"/>
          <w:spacing w:val="0"/>
          <w:kern w:val="0"/>
          <w:szCs w:val="24"/>
        </w:rPr>
        <w:t>TSP。</w:t>
      </w:r>
    </w:p>
    <w:p w14:paraId="117089AA">
      <w:pPr>
        <w:keepNext w:val="0"/>
        <w:keepLines w:val="0"/>
        <w:pageBreakBefore w:val="0"/>
        <w:widowControl w:val="0"/>
        <w:kinsoku/>
        <w:wordWrap/>
        <w:overflowPunct/>
        <w:topLinePunct w:val="0"/>
        <w:autoSpaceDE w:val="0"/>
        <w:autoSpaceDN w:val="0"/>
        <w:bidi w:val="0"/>
        <w:adjustRightInd w:val="0"/>
        <w:snapToGrid/>
        <w:spacing w:line="500" w:lineRule="exact"/>
        <w:ind w:left="0" w:leftChars="0" w:firstLine="480" w:firstLineChars="20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w:t>
      </w:r>
      <w:r>
        <w:rPr>
          <w:rFonts w:hint="eastAsia" w:ascii="Times New Roman" w:hAnsi="Times New Roman" w:eastAsia="宋体" w:cs="Times New Roman"/>
          <w:color w:val="auto"/>
          <w:kern w:val="0"/>
          <w:szCs w:val="24"/>
        </w:rPr>
        <w:t>3</w:t>
      </w:r>
      <w:r>
        <w:rPr>
          <w:rFonts w:ascii="Times New Roman" w:hAnsi="Times New Roman" w:eastAsia="宋体" w:cs="Times New Roman"/>
          <w:color w:val="auto"/>
          <w:kern w:val="0"/>
          <w:szCs w:val="24"/>
        </w:rPr>
        <w:t>）预测范围</w:t>
      </w:r>
    </w:p>
    <w:p w14:paraId="3238382A">
      <w:pPr>
        <w:pStyle w:val="50"/>
        <w:keepNext w:val="0"/>
        <w:keepLines w:val="0"/>
        <w:pageBreakBefore w:val="0"/>
        <w:widowControl w:val="0"/>
        <w:kinsoku/>
        <w:wordWrap/>
        <w:overflowPunct/>
        <w:topLinePunct w:val="0"/>
        <w:bidi w:val="0"/>
        <w:snapToGrid/>
        <w:spacing w:line="500" w:lineRule="exact"/>
        <w:ind w:left="0" w:leftChars="0" w:firstLine="480" w:firstLineChars="200"/>
        <w:rPr>
          <w:rFonts w:ascii="Times New Roman" w:hAnsi="Times New Roman" w:eastAsia="宋体" w:cs="Times New Roman"/>
          <w:color w:val="auto"/>
          <w:kern w:val="0"/>
          <w:szCs w:val="24"/>
        </w:rPr>
      </w:pPr>
      <w:bookmarkStart w:id="424" w:name="_Toc302376258"/>
      <w:bookmarkStart w:id="425" w:name="_Toc293291094"/>
      <w:r>
        <w:rPr>
          <w:rFonts w:ascii="Times New Roman" w:hAnsi="Times New Roman" w:eastAsia="宋体" w:cs="Times New Roman"/>
          <w:color w:val="auto"/>
          <w:szCs w:val="24"/>
        </w:rPr>
        <w:t>根据</w:t>
      </w:r>
      <w:r>
        <w:rPr>
          <w:rFonts w:ascii="Times New Roman" w:hAnsi="Times New Roman" w:eastAsia="宋体" w:cs="Times New Roman"/>
          <w:color w:val="auto"/>
        </w:rPr>
        <w:t>《环境影响评价技术导则 大气环境》（HJ2.2-2018）中“8.3预测范围要求：</w:t>
      </w:r>
      <w:r>
        <w:rPr>
          <w:rFonts w:ascii="Times New Roman" w:hAnsi="Times New Roman" w:eastAsia="宋体" w:cs="Times New Roman"/>
          <w:color w:val="auto"/>
          <w:kern w:val="0"/>
          <w:szCs w:val="24"/>
        </w:rPr>
        <w:t>预测范围应覆盖评价范围，并覆盖各污染物短期浓度贡献值占标率大于10%的区域。</w:t>
      </w:r>
      <w:r>
        <w:rPr>
          <w:rFonts w:ascii="Times New Roman" w:hAnsi="Times New Roman" w:eastAsia="宋体" w:cs="Times New Roman"/>
          <w:color w:val="auto"/>
          <w:szCs w:val="32"/>
          <w:lang w:bidi="ar"/>
        </w:rPr>
        <w:t>本次预测范围为</w:t>
      </w:r>
      <w:r>
        <w:rPr>
          <w:rFonts w:ascii="Times New Roman" w:hAnsi="Times New Roman" w:eastAsia="宋体" w:cs="Times New Roman"/>
          <w:color w:val="auto"/>
          <w:szCs w:val="24"/>
        </w:rPr>
        <w:t>以厂址为中心</w:t>
      </w:r>
      <w:r>
        <w:rPr>
          <w:rFonts w:hint="eastAsia" w:ascii="Times New Roman" w:hAnsi="Times New Roman" w:eastAsia="宋体" w:cs="Times New Roman"/>
          <w:color w:val="auto"/>
          <w:szCs w:val="24"/>
        </w:rPr>
        <w:t>区域</w:t>
      </w:r>
      <w:r>
        <w:rPr>
          <w:rFonts w:ascii="Times New Roman" w:hAnsi="Times New Roman" w:eastAsia="宋体" w:cs="Times New Roman"/>
          <w:color w:val="auto"/>
          <w:szCs w:val="24"/>
        </w:rPr>
        <w:t>，边长为</w:t>
      </w:r>
      <w:r>
        <w:rPr>
          <w:rFonts w:hint="eastAsia" w:ascii="Times New Roman" w:hAnsi="Times New Roman" w:eastAsia="宋体" w:cs="Times New Roman"/>
          <w:color w:val="auto"/>
          <w:szCs w:val="24"/>
          <w:lang w:val="en-US" w:eastAsia="zh-CN"/>
        </w:rPr>
        <w:t>10</w:t>
      </w:r>
      <w:r>
        <w:rPr>
          <w:rFonts w:ascii="Times New Roman" w:hAnsi="Times New Roman" w:eastAsia="宋体" w:cs="Times New Roman"/>
          <w:color w:val="auto"/>
          <w:szCs w:val="24"/>
        </w:rPr>
        <w:t>km，总面积</w:t>
      </w:r>
      <w:r>
        <w:rPr>
          <w:rFonts w:hint="eastAsia" w:ascii="Times New Roman" w:hAnsi="Times New Roman" w:eastAsia="宋体" w:cs="Times New Roman"/>
          <w:color w:val="auto"/>
          <w:szCs w:val="24"/>
          <w:lang w:val="en-US" w:eastAsia="zh-CN"/>
        </w:rPr>
        <w:t>10</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10</w:t>
      </w:r>
      <w:r>
        <w:rPr>
          <w:rFonts w:ascii="Times New Roman" w:hAnsi="Times New Roman" w:eastAsia="宋体" w:cs="Times New Roman"/>
          <w:color w:val="auto"/>
          <w:szCs w:val="24"/>
        </w:rPr>
        <w:t>km</w:t>
      </w:r>
      <w:r>
        <w:rPr>
          <w:rFonts w:ascii="Times New Roman" w:hAnsi="Times New Roman" w:eastAsia="宋体" w:cs="Times New Roman"/>
          <w:color w:val="auto"/>
          <w:szCs w:val="24"/>
          <w:vertAlign w:val="superscript"/>
        </w:rPr>
        <w:t>2</w:t>
      </w:r>
      <w:r>
        <w:rPr>
          <w:rFonts w:ascii="Times New Roman" w:hAnsi="Times New Roman" w:eastAsia="宋体" w:cs="Times New Roman"/>
          <w:color w:val="auto"/>
          <w:szCs w:val="24"/>
        </w:rPr>
        <w:t>的矩形区域</w:t>
      </w:r>
      <w:r>
        <w:rPr>
          <w:rFonts w:ascii="Times New Roman" w:hAnsi="Times New Roman" w:eastAsia="宋体" w:cs="Times New Roman"/>
          <w:color w:val="auto"/>
          <w:szCs w:val="32"/>
          <w:lang w:bidi="ar"/>
        </w:rPr>
        <w:t>。</w:t>
      </w:r>
      <w:r>
        <w:rPr>
          <w:rFonts w:ascii="Times New Roman" w:hAnsi="Times New Roman" w:eastAsia="宋体" w:cs="Times New Roman"/>
          <w:color w:val="auto"/>
          <w:kern w:val="0"/>
          <w:szCs w:val="24"/>
        </w:rPr>
        <w:t>评价范围内包含环境空气功能区一类区的，预测范围应覆盖项目对一类区最大环境影响，预测范围以项目厂址为中心，东西向为X坐标轴、南北向为Y坐标轴</w:t>
      </w:r>
      <w:r>
        <w:rPr>
          <w:rFonts w:ascii="Times New Roman" w:hAnsi="Times New Roman" w:eastAsia="宋体" w:cs="Times New Roman"/>
          <w:color w:val="auto"/>
        </w:rPr>
        <w:t>”</w:t>
      </w:r>
      <w:r>
        <w:rPr>
          <w:rFonts w:ascii="Times New Roman" w:hAnsi="Times New Roman" w:eastAsia="宋体" w:cs="Times New Roman"/>
          <w:color w:val="auto"/>
          <w:kern w:val="0"/>
          <w:szCs w:val="24"/>
        </w:rPr>
        <w:t>。本项目大气环境影响预测范围以项目厂址为中心，东西向为X坐标轴、南北向为Y坐标轴，评价范围内不包含环境空气功能区一类区。</w:t>
      </w:r>
    </w:p>
    <w:p w14:paraId="5EC7D857">
      <w:pPr>
        <w:keepNext w:val="0"/>
        <w:keepLines w:val="0"/>
        <w:pageBreakBefore w:val="0"/>
        <w:widowControl w:val="0"/>
        <w:kinsoku/>
        <w:wordWrap/>
        <w:overflowPunct/>
        <w:topLinePunct w:val="0"/>
        <w:autoSpaceDE w:val="0"/>
        <w:autoSpaceDN w:val="0"/>
        <w:bidi w:val="0"/>
        <w:adjustRightInd w:val="0"/>
        <w:snapToGrid/>
        <w:spacing w:line="500" w:lineRule="exact"/>
        <w:ind w:left="0" w:leftChars="0" w:firstLine="480" w:firstLineChars="20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w:t>
      </w:r>
      <w:r>
        <w:rPr>
          <w:rFonts w:hint="eastAsia" w:ascii="Times New Roman" w:hAnsi="Times New Roman" w:eastAsia="宋体" w:cs="Times New Roman"/>
          <w:color w:val="auto"/>
          <w:kern w:val="0"/>
          <w:szCs w:val="24"/>
        </w:rPr>
        <w:t>4</w:t>
      </w:r>
      <w:r>
        <w:rPr>
          <w:rFonts w:ascii="Times New Roman" w:hAnsi="Times New Roman" w:eastAsia="宋体" w:cs="Times New Roman"/>
          <w:color w:val="auto"/>
          <w:kern w:val="0"/>
          <w:szCs w:val="24"/>
        </w:rPr>
        <w:t>）预测周期</w:t>
      </w:r>
    </w:p>
    <w:p w14:paraId="15CA4B31">
      <w:pPr>
        <w:keepNext w:val="0"/>
        <w:keepLines w:val="0"/>
        <w:pageBreakBefore w:val="0"/>
        <w:widowControl w:val="0"/>
        <w:kinsoku/>
        <w:wordWrap/>
        <w:overflowPunct/>
        <w:topLinePunct w:val="0"/>
        <w:autoSpaceDE w:val="0"/>
        <w:autoSpaceDN w:val="0"/>
        <w:bidi w:val="0"/>
        <w:adjustRightInd w:val="0"/>
        <w:snapToGrid/>
        <w:spacing w:line="500" w:lineRule="exact"/>
        <w:ind w:left="0" w:leftChars="0" w:firstLine="480" w:firstLineChars="200"/>
        <w:textAlignment w:val="bottom"/>
        <w:rPr>
          <w:rFonts w:ascii="Times New Roman" w:hAnsi="Times New Roman" w:eastAsia="宋体" w:cs="Times New Roman"/>
          <w:color w:val="auto"/>
          <w:szCs w:val="24"/>
        </w:rPr>
      </w:pPr>
      <w:r>
        <w:rPr>
          <w:rFonts w:ascii="Times New Roman" w:hAnsi="Times New Roman" w:eastAsia="宋体" w:cs="Times New Roman"/>
          <w:color w:val="auto"/>
          <w:szCs w:val="24"/>
        </w:rPr>
        <w:t>本项目预测周期选取评价基准年202</w:t>
      </w:r>
      <w:r>
        <w:rPr>
          <w:rFonts w:hint="eastAsia" w:ascii="Times New Roman" w:hAnsi="Times New Roman" w:eastAsia="宋体" w:cs="Times New Roman"/>
          <w:color w:val="auto"/>
          <w:szCs w:val="24"/>
          <w:lang w:val="en-US" w:eastAsia="zh-CN"/>
        </w:rPr>
        <w:t>4</w:t>
      </w:r>
      <w:r>
        <w:rPr>
          <w:rFonts w:ascii="Times New Roman" w:hAnsi="Times New Roman" w:eastAsia="宋体" w:cs="Times New Roman"/>
          <w:color w:val="auto"/>
          <w:szCs w:val="24"/>
        </w:rPr>
        <w:t>年作为预测周期，</w:t>
      </w:r>
      <w:r>
        <w:rPr>
          <w:rFonts w:hint="eastAsia" w:ascii="Times New Roman" w:hAnsi="Times New Roman" w:eastAsia="宋体" w:cs="Times New Roman"/>
          <w:color w:val="auto"/>
          <w:szCs w:val="24"/>
        </w:rPr>
        <w:t>本项目建设</w:t>
      </w:r>
      <w:r>
        <w:rPr>
          <w:rFonts w:hint="eastAsia" w:ascii="Times New Roman" w:hAnsi="Times New Roman" w:eastAsia="宋体" w:cs="Times New Roman"/>
          <w:color w:val="auto"/>
          <w:szCs w:val="24"/>
          <w:lang w:eastAsia="zh-CN"/>
        </w:rPr>
        <w:t>2台42MW链条炉排热水锅炉</w:t>
      </w:r>
      <w:r>
        <w:rPr>
          <w:rFonts w:hint="eastAsia" w:ascii="Times New Roman" w:hAnsi="Times New Roman" w:eastAsia="宋体" w:cs="Times New Roman"/>
          <w:color w:val="auto"/>
          <w:szCs w:val="24"/>
        </w:rPr>
        <w:t>，年运行小时数</w:t>
      </w:r>
      <w:r>
        <w:rPr>
          <w:rFonts w:hint="eastAsia" w:ascii="Times New Roman" w:hAnsi="Times New Roman" w:eastAsia="宋体" w:cs="Times New Roman"/>
          <w:color w:val="auto"/>
          <w:szCs w:val="24"/>
          <w:lang w:val="en-US" w:eastAsia="zh-CN"/>
        </w:rPr>
        <w:t>4320</w:t>
      </w:r>
      <w:r>
        <w:rPr>
          <w:rFonts w:hint="eastAsia" w:ascii="Times New Roman" w:hAnsi="Times New Roman" w:eastAsia="宋体" w:cs="Times New Roman"/>
          <w:color w:val="auto"/>
          <w:szCs w:val="24"/>
        </w:rPr>
        <w:t>小时</w:t>
      </w:r>
      <w:r>
        <w:rPr>
          <w:rFonts w:hint="eastAsia" w:ascii="Times New Roman" w:hAnsi="Times New Roman" w:eastAsia="宋体" w:cs="Times New Roman"/>
          <w:color w:val="auto"/>
          <w:szCs w:val="24"/>
          <w:lang w:eastAsia="zh-CN"/>
        </w:rPr>
        <w:t>，</w:t>
      </w:r>
      <w:r>
        <w:rPr>
          <w:rFonts w:hint="eastAsia" w:ascii="Times New Roman" w:hAnsi="Times New Roman" w:eastAsia="宋体" w:cs="Times New Roman"/>
          <w:color w:val="auto"/>
          <w:szCs w:val="24"/>
          <w:lang w:val="en-US" w:eastAsia="zh-CN"/>
        </w:rPr>
        <w:t>年利用小时数2880小时</w:t>
      </w:r>
      <w:r>
        <w:rPr>
          <w:rFonts w:hint="eastAsia" w:ascii="Times New Roman" w:hAnsi="Times New Roman" w:eastAsia="宋体" w:cs="Times New Roman"/>
          <w:color w:val="auto"/>
          <w:szCs w:val="24"/>
        </w:rPr>
        <w:t>。</w:t>
      </w:r>
      <w:r>
        <w:rPr>
          <w:rFonts w:ascii="Times New Roman" w:hAnsi="Times New Roman" w:eastAsia="宋体" w:cs="Times New Roman"/>
          <w:color w:val="auto"/>
          <w:szCs w:val="24"/>
        </w:rPr>
        <w:t>预测时段取采暖期。</w:t>
      </w:r>
    </w:p>
    <w:p w14:paraId="1D9F4934">
      <w:pPr>
        <w:keepNext w:val="0"/>
        <w:keepLines w:val="0"/>
        <w:pageBreakBefore w:val="0"/>
        <w:widowControl w:val="0"/>
        <w:kinsoku/>
        <w:wordWrap/>
        <w:overflowPunct/>
        <w:topLinePunct w:val="0"/>
        <w:autoSpaceDE w:val="0"/>
        <w:autoSpaceDN w:val="0"/>
        <w:bidi w:val="0"/>
        <w:adjustRightInd w:val="0"/>
        <w:snapToGrid/>
        <w:spacing w:line="500" w:lineRule="exact"/>
        <w:ind w:left="0" w:leftChars="0" w:firstLine="480" w:firstLineChars="20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w:t>
      </w:r>
      <w:r>
        <w:rPr>
          <w:rFonts w:hint="eastAsia" w:ascii="Times New Roman" w:hAnsi="Times New Roman" w:eastAsia="宋体" w:cs="Times New Roman"/>
          <w:color w:val="auto"/>
          <w:kern w:val="0"/>
          <w:szCs w:val="24"/>
        </w:rPr>
        <w:t>5</w:t>
      </w:r>
      <w:r>
        <w:rPr>
          <w:rFonts w:ascii="Times New Roman" w:hAnsi="Times New Roman" w:eastAsia="宋体" w:cs="Times New Roman"/>
          <w:color w:val="auto"/>
          <w:kern w:val="0"/>
          <w:szCs w:val="24"/>
        </w:rPr>
        <w:t>）预测模型</w:t>
      </w:r>
    </w:p>
    <w:p w14:paraId="1E2D93ED">
      <w:pPr>
        <w:keepNext w:val="0"/>
        <w:keepLines w:val="0"/>
        <w:pageBreakBefore w:val="0"/>
        <w:widowControl w:val="0"/>
        <w:kinsoku/>
        <w:wordWrap/>
        <w:overflowPunct/>
        <w:topLinePunct w:val="0"/>
        <w:bidi w:val="0"/>
        <w:snapToGrid/>
        <w:spacing w:line="500" w:lineRule="exact"/>
        <w:ind w:left="0" w:leftChars="0" w:firstLine="480" w:firstLineChars="200"/>
        <w:rPr>
          <w:rFonts w:ascii="Times New Roman" w:hAnsi="Times New Roman" w:eastAsia="宋体" w:cs="Times New Roman"/>
          <w:color w:val="auto"/>
        </w:rPr>
      </w:pPr>
      <w:r>
        <w:rPr>
          <w:rFonts w:ascii="Times New Roman" w:hAnsi="Times New Roman" w:eastAsia="宋体" w:cs="Times New Roman"/>
          <w:color w:val="auto"/>
        </w:rPr>
        <w:t>本次环境空气环境影响预测模型采用《环境影响评价技术导则 大气环境（HJ2.2-2018）附录A中推荐的AERMOD模式系统进行预测。</w:t>
      </w:r>
    </w:p>
    <w:p w14:paraId="2B35042F">
      <w:pPr>
        <w:keepNext w:val="0"/>
        <w:keepLines w:val="0"/>
        <w:pageBreakBefore w:val="0"/>
        <w:widowControl w:val="0"/>
        <w:kinsoku/>
        <w:wordWrap/>
        <w:overflowPunct/>
        <w:topLinePunct w:val="0"/>
        <w:bidi w:val="0"/>
        <w:snapToGrid/>
        <w:spacing w:line="500" w:lineRule="exact"/>
        <w:ind w:left="0" w:leftChars="0" w:firstLine="480" w:firstLineChars="200"/>
        <w:rPr>
          <w:rFonts w:ascii="Times New Roman" w:hAnsi="Times New Roman" w:eastAsia="宋体" w:cs="Times New Roman"/>
          <w:color w:val="auto"/>
        </w:rPr>
      </w:pPr>
      <w:r>
        <w:rPr>
          <w:rFonts w:ascii="Times New Roman" w:hAnsi="Times New Roman" w:eastAsia="宋体" w:cs="Times New Roman"/>
          <w:color w:val="auto"/>
        </w:rPr>
        <w:t>AERMOD是一个稳态烟羽扩散模式，可基于大气边界层数据特征模拟点源、面源、体源等排放出的污染物在短期（小时平均、日平均）、长期（年平均）的浓度分布，适用于农村或城市地区、简单或复杂地形。模式使用每小时连续预处理气象数据模拟大于等于1小时平均时间的浓度分布，适用于评价范围小于等于50km的评价项目。AERMOD模式系统包括AERMOD(大气扩散模型）、AERMET(气象数据预处理器）和AERMAP（地形数据预处理器）。</w:t>
      </w:r>
    </w:p>
    <w:p w14:paraId="477BB8F3">
      <w:pPr>
        <w:keepNext w:val="0"/>
        <w:keepLines w:val="0"/>
        <w:pageBreakBefore w:val="0"/>
        <w:widowControl w:val="0"/>
        <w:kinsoku/>
        <w:wordWrap/>
        <w:overflowPunct/>
        <w:topLinePunct w:val="0"/>
        <w:bidi w:val="0"/>
        <w:snapToGrid/>
        <w:spacing w:line="500" w:lineRule="exact"/>
        <w:ind w:left="0" w:leftChars="0" w:firstLine="480" w:firstLineChars="200"/>
        <w:rPr>
          <w:rFonts w:ascii="Times New Roman" w:hAnsi="Times New Roman" w:eastAsia="宋体" w:cs="Times New Roman"/>
          <w:color w:val="auto"/>
        </w:rPr>
      </w:pPr>
      <w:r>
        <w:rPr>
          <w:rFonts w:ascii="Times New Roman" w:hAnsi="Times New Roman" w:eastAsia="宋体" w:cs="Times New Roman"/>
          <w:color w:val="auto"/>
        </w:rPr>
        <w:t>①地形预处理-AERMAP</w:t>
      </w:r>
    </w:p>
    <w:p w14:paraId="17E1C421">
      <w:pPr>
        <w:keepNext w:val="0"/>
        <w:keepLines w:val="0"/>
        <w:pageBreakBefore w:val="0"/>
        <w:widowControl w:val="0"/>
        <w:kinsoku/>
        <w:wordWrap/>
        <w:overflowPunct/>
        <w:topLinePunct w:val="0"/>
        <w:bidi w:val="0"/>
        <w:snapToGrid/>
        <w:spacing w:line="500" w:lineRule="exact"/>
        <w:ind w:left="0" w:leftChars="0" w:firstLine="480" w:firstLineChars="200"/>
        <w:rPr>
          <w:rFonts w:ascii="Times New Roman" w:hAnsi="Times New Roman" w:eastAsia="宋体" w:cs="Times New Roman"/>
          <w:color w:val="auto"/>
          <w:szCs w:val="24"/>
        </w:rPr>
      </w:pPr>
      <w:r>
        <w:rPr>
          <w:rFonts w:ascii="Times New Roman" w:hAnsi="Times New Roman" w:eastAsia="宋体" w:cs="Times New Roman"/>
          <w:color w:val="auto"/>
          <w:szCs w:val="24"/>
        </w:rPr>
        <w:t>本项目厂址地形高程情况见图6</w:t>
      </w:r>
      <w:r>
        <w:rPr>
          <w:rFonts w:hint="eastAsia" w:ascii="Times New Roman" w:hAnsi="Times New Roman" w:eastAsia="宋体" w:cs="Times New Roman"/>
          <w:color w:val="auto"/>
          <w:szCs w:val="24"/>
        </w:rPr>
        <w:t>.2-5</w:t>
      </w:r>
      <w:r>
        <w:rPr>
          <w:rFonts w:ascii="Times New Roman" w:hAnsi="Times New Roman" w:eastAsia="宋体" w:cs="Times New Roman"/>
          <w:color w:val="auto"/>
          <w:szCs w:val="24"/>
        </w:rPr>
        <w:t>。</w:t>
      </w:r>
    </w:p>
    <w:p w14:paraId="3F63A5EB">
      <w:pPr>
        <w:ind w:firstLine="0" w:firstLineChars="0"/>
        <w:rPr>
          <w:rFonts w:ascii="Times New Roman" w:hAnsi="Times New Roman" w:eastAsia="宋体" w:cs="Times New Roman"/>
          <w:color w:val="auto"/>
        </w:rPr>
      </w:pPr>
      <w:r>
        <w:rPr>
          <w:color w:val="auto"/>
        </w:rPr>
        <w:drawing>
          <wp:inline distT="0" distB="0" distL="114300" distR="114300">
            <wp:extent cx="5481955" cy="2917190"/>
            <wp:effectExtent l="0" t="0" r="4445" b="8890"/>
            <wp:docPr id="9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2"/>
                    <pic:cNvPicPr>
                      <a:picLocks noChangeAspect="1"/>
                    </pic:cNvPicPr>
                  </pic:nvPicPr>
                  <pic:blipFill>
                    <a:blip r:embed="rId84"/>
                    <a:stretch>
                      <a:fillRect/>
                    </a:stretch>
                  </pic:blipFill>
                  <pic:spPr>
                    <a:xfrm>
                      <a:off x="0" y="0"/>
                      <a:ext cx="5481955" cy="2917190"/>
                    </a:xfrm>
                    <a:prstGeom prst="rect">
                      <a:avLst/>
                    </a:prstGeom>
                    <a:noFill/>
                    <a:ln>
                      <a:noFill/>
                    </a:ln>
                  </pic:spPr>
                </pic:pic>
              </a:graphicData>
            </a:graphic>
          </wp:inline>
        </w:drawing>
      </w:r>
      <w:r>
        <w:rPr>
          <w:color w:val="auto"/>
          <w:sz w:val="24"/>
        </w:rPr>
        <mc:AlternateContent>
          <mc:Choice Requires="wps">
            <w:drawing>
              <wp:anchor distT="0" distB="0" distL="114300" distR="114300" simplePos="0" relativeHeight="251674624" behindDoc="0" locked="0" layoutInCell="1" allowOverlap="1">
                <wp:simplePos x="0" y="0"/>
                <wp:positionH relativeFrom="column">
                  <wp:posOffset>1318895</wp:posOffset>
                </wp:positionH>
                <wp:positionV relativeFrom="paragraph">
                  <wp:posOffset>995680</wp:posOffset>
                </wp:positionV>
                <wp:extent cx="1522730" cy="316230"/>
                <wp:effectExtent l="0" t="0" r="1270" b="3810"/>
                <wp:wrapNone/>
                <wp:docPr id="96" name="文本框 96"/>
                <wp:cNvGraphicFramePr/>
                <a:graphic xmlns:a="http://schemas.openxmlformats.org/drawingml/2006/main">
                  <a:graphicData uri="http://schemas.microsoft.com/office/word/2010/wordprocessingShape">
                    <wps:wsp>
                      <wps:cNvSpPr txBox="1"/>
                      <wps:spPr>
                        <a:xfrm>
                          <a:off x="2833370" y="5708015"/>
                          <a:ext cx="1522730" cy="3162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000447">
                            <w:pPr>
                              <w:rPr>
                                <w:rFonts w:hint="default" w:eastAsiaTheme="minorEastAsia"/>
                                <w:lang w:val="en-US" w:eastAsia="zh-CN"/>
                              </w:rPr>
                            </w:pPr>
                            <w:r>
                              <w:rPr>
                                <w:rFonts w:hint="eastAsia"/>
                                <w:lang w:val="en-US" w:eastAsia="zh-CN"/>
                              </w:rPr>
                              <w:t>本项目位置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3.85pt;margin-top:78.4pt;height:24.9pt;width:119.9pt;z-index:251674624;mso-width-relative:page;mso-height-relative:page;" filled="f" stroked="f" coordsize="21600,21600" o:gfxdata="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fLLNQtsAAAALAQAADwAAAAAA&#10;AAABACAAAAAiAAAAZHJzL2Rvd25yZXYueG1sUEsBAhQAFAAAAAgAh07iQHCSOGNJAgAAdAQAAA4A&#10;AAAAAAAAAQAgAAAAKgEAAGRycy9lMm9Eb2MueG1sUEsFBgAAAAAGAAYAWQEAAOUFAAAAAA==&#10;">
                <v:fill on="f" focussize="0,0"/>
                <v:stroke on="f" weight="0.5pt"/>
                <v:imagedata o:title=""/>
                <o:lock v:ext="edit" aspectratio="f"/>
                <v:textbox>
                  <w:txbxContent>
                    <w:p w14:paraId="5D000447">
                      <w:pPr>
                        <w:rPr>
                          <w:rFonts w:hint="default" w:eastAsiaTheme="minorEastAsia"/>
                          <w:lang w:val="en-US" w:eastAsia="zh-CN"/>
                        </w:rPr>
                      </w:pPr>
                      <w:r>
                        <w:rPr>
                          <w:rFonts w:hint="eastAsia"/>
                          <w:lang w:val="en-US" w:eastAsia="zh-CN"/>
                        </w:rPr>
                        <w:t>本项目位置</w:t>
                      </w:r>
                    </w:p>
                  </w:txbxContent>
                </v:textbox>
              </v:shape>
            </w:pict>
          </mc:Fallback>
        </mc:AlternateContent>
      </w:r>
      <w:r>
        <w:rPr>
          <w:color w:val="auto"/>
          <w:sz w:val="24"/>
        </w:rPr>
        <mc:AlternateContent>
          <mc:Choice Requires="wps">
            <w:drawing>
              <wp:anchor distT="0" distB="0" distL="114300" distR="114300" simplePos="0" relativeHeight="251673600" behindDoc="0" locked="0" layoutInCell="1" allowOverlap="1">
                <wp:simplePos x="0" y="0"/>
                <wp:positionH relativeFrom="column">
                  <wp:posOffset>2004060</wp:posOffset>
                </wp:positionH>
                <wp:positionV relativeFrom="paragraph">
                  <wp:posOffset>1312545</wp:posOffset>
                </wp:positionV>
                <wp:extent cx="97790" cy="140970"/>
                <wp:effectExtent l="12700" t="12700" r="26670" b="13970"/>
                <wp:wrapNone/>
                <wp:docPr id="95" name="五角星 95"/>
                <wp:cNvGraphicFramePr/>
                <a:graphic xmlns:a="http://schemas.openxmlformats.org/drawingml/2006/main">
                  <a:graphicData uri="http://schemas.microsoft.com/office/word/2010/wordprocessingShape">
                    <wps:wsp>
                      <wps:cNvSpPr/>
                      <wps:spPr>
                        <a:xfrm>
                          <a:off x="2702560" y="5991225"/>
                          <a:ext cx="97790" cy="140970"/>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57.8pt;margin-top:103.35pt;height:11.1pt;width:7.7pt;z-index:251673600;v-text-anchor:middle;mso-width-relative:page;mso-height-relative:page;" fillcolor="#FF0000" filled="t" stroked="t" coordsize="97790,140970" o:gfxdata="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F9RDJvXAAAACwEAAA8AAAAAAAAAAQAgAAAAIgAAAGRycy9k&#10;b3ducmV2LnhtbFBLAQIUABQAAAAIAIdO4kCCm6vidQIAAO0EAAAOAAAAAAAAAAEAIAAAACYBAABk&#10;cnMvZTJvRG9jLnhtbFBLBQYAAAAABgAGAFkBAAANBgAAAAA=&#10;" path="m0,53845l37352,53845,48895,0,60437,53845,97789,53845,67570,87123,79113,140969,48895,107690,18676,140969,30219,87123xe">
                <v:path o:connectlocs="48895,0;0,53845;18676,140969;79113,140969;97789,53845" o:connectangles="247,164,82,82,0"/>
                <v:fill on="t" focussize="0,0"/>
                <v:stroke weight="2pt" color="#FF0000 [2404]" joinstyle="round"/>
                <v:imagedata o:title=""/>
                <o:lock v:ext="edit" aspectratio="f"/>
              </v:shape>
            </w:pict>
          </mc:Fallback>
        </mc:AlternateContent>
      </w:r>
    </w:p>
    <w:p w14:paraId="170C1FCA">
      <w:pPr>
        <w:ind w:firstLine="480"/>
        <w:jc w:val="center"/>
        <w:rPr>
          <w:rFonts w:ascii="Times New Roman" w:hAnsi="Times New Roman" w:eastAsia="宋体" w:cs="Times New Roman"/>
          <w:color w:val="auto"/>
          <w:sz w:val="28"/>
          <w:szCs w:val="28"/>
        </w:rPr>
      </w:pPr>
      <w:r>
        <w:rPr>
          <w:rFonts w:ascii="Times New Roman" w:hAnsi="Times New Roman" w:eastAsia="宋体" w:cs="Times New Roman"/>
          <w:color w:val="auto"/>
          <w:sz w:val="28"/>
          <w:szCs w:val="28"/>
        </w:rPr>
        <w:t>图6</w:t>
      </w:r>
      <w:r>
        <w:rPr>
          <w:rFonts w:hint="eastAsia" w:ascii="Times New Roman" w:hAnsi="Times New Roman" w:eastAsia="宋体" w:cs="Times New Roman"/>
          <w:color w:val="auto"/>
          <w:sz w:val="28"/>
          <w:szCs w:val="28"/>
        </w:rPr>
        <w:t>.2</w:t>
      </w:r>
      <w:r>
        <w:rPr>
          <w:rFonts w:ascii="Times New Roman" w:hAnsi="Times New Roman" w:eastAsia="宋体" w:cs="Times New Roman"/>
          <w:color w:val="auto"/>
          <w:sz w:val="28"/>
          <w:szCs w:val="28"/>
        </w:rPr>
        <w:t>-</w:t>
      </w:r>
      <w:r>
        <w:rPr>
          <w:rFonts w:hint="eastAsia" w:ascii="Times New Roman" w:hAnsi="Times New Roman" w:eastAsia="宋体" w:cs="Times New Roman"/>
          <w:color w:val="auto"/>
          <w:sz w:val="28"/>
          <w:szCs w:val="28"/>
        </w:rPr>
        <w:t>5</w:t>
      </w:r>
      <w:r>
        <w:rPr>
          <w:rFonts w:ascii="Times New Roman" w:hAnsi="Times New Roman" w:eastAsia="宋体" w:cs="Times New Roman"/>
          <w:color w:val="auto"/>
          <w:sz w:val="28"/>
          <w:szCs w:val="28"/>
        </w:rPr>
        <w:t xml:space="preserve">  本项目厂址所在区域地形高程图</w:t>
      </w:r>
    </w:p>
    <w:p w14:paraId="1868C967">
      <w:pPr>
        <w:spacing w:line="480" w:lineRule="exact"/>
        <w:ind w:firstLine="480"/>
        <w:rPr>
          <w:rFonts w:ascii="Times New Roman" w:hAnsi="Times New Roman" w:eastAsia="宋体" w:cs="Times New Roman"/>
          <w:color w:val="auto"/>
          <w:sz w:val="28"/>
          <w:szCs w:val="28"/>
        </w:rPr>
      </w:pPr>
      <w:r>
        <w:rPr>
          <w:rFonts w:ascii="Times New Roman" w:hAnsi="Times New Roman" w:eastAsia="宋体" w:cs="Times New Roman"/>
          <w:color w:val="auto"/>
          <w:sz w:val="28"/>
          <w:szCs w:val="28"/>
        </w:rPr>
        <w:t>②气象预处理-AERMET</w:t>
      </w:r>
    </w:p>
    <w:p w14:paraId="3FA83297">
      <w:pPr>
        <w:autoSpaceDE w:val="0"/>
        <w:autoSpaceDN w:val="0"/>
        <w:adjustRightInd w:val="0"/>
        <w:spacing w:line="480" w:lineRule="exact"/>
        <w:ind w:firstLine="48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本次评价大气预测地面气象资料输入</w:t>
      </w:r>
      <w:r>
        <w:rPr>
          <w:rFonts w:hint="eastAsia" w:ascii="Times New Roman" w:hAnsi="Times New Roman" w:eastAsia="宋体" w:cs="Times New Roman"/>
          <w:color w:val="auto"/>
          <w:kern w:val="0"/>
          <w:szCs w:val="24"/>
          <w:lang w:eastAsia="zh-CN"/>
        </w:rPr>
        <w:t>宝清县气象站</w:t>
      </w:r>
      <w:r>
        <w:rPr>
          <w:rFonts w:ascii="Times New Roman" w:hAnsi="Times New Roman" w:eastAsia="宋体" w:cs="Times New Roman"/>
          <w:color w:val="auto"/>
          <w:kern w:val="0"/>
          <w:szCs w:val="24"/>
        </w:rPr>
        <w:t>（</w:t>
      </w:r>
      <w:r>
        <w:rPr>
          <w:rFonts w:hint="eastAsia" w:ascii="Times New Roman" w:hAnsi="Times New Roman" w:eastAsia="宋体" w:cs="Times New Roman"/>
          <w:color w:val="auto"/>
          <w:kern w:val="0"/>
          <w:szCs w:val="24"/>
          <w:lang w:eastAsia="zh-CN"/>
        </w:rPr>
        <w:t>50888</w:t>
      </w:r>
      <w:r>
        <w:rPr>
          <w:rFonts w:ascii="Times New Roman" w:hAnsi="Times New Roman" w:eastAsia="宋体" w:cs="Times New Roman"/>
          <w:color w:val="auto"/>
          <w:kern w:val="0"/>
          <w:szCs w:val="24"/>
        </w:rPr>
        <w:t>）202</w:t>
      </w:r>
      <w:r>
        <w:rPr>
          <w:rFonts w:hint="eastAsia" w:ascii="Times New Roman" w:hAnsi="Times New Roman" w:eastAsia="宋体" w:cs="Times New Roman"/>
          <w:color w:val="auto"/>
          <w:kern w:val="0"/>
          <w:szCs w:val="24"/>
          <w:lang w:val="en-US" w:eastAsia="zh-CN"/>
        </w:rPr>
        <w:t>4</w:t>
      </w:r>
      <w:r>
        <w:rPr>
          <w:rFonts w:ascii="Times New Roman" w:hAnsi="Times New Roman" w:eastAsia="宋体" w:cs="Times New Roman"/>
          <w:color w:val="auto"/>
          <w:kern w:val="0"/>
          <w:szCs w:val="24"/>
        </w:rPr>
        <w:t>年全年地面逐时气象资料，其中包括温度、风速、风向、总云量、低云量，按AERMET参数格式生成地面逐时气象输入文件。本次评价预测采用的高空数据是采用大气环境影响评价数值模式WRF模拟生成。模式计算过程中把全国共划分为189×159个网格，分辨率为27km×27km。模式采用的原始数据有地形高度、土地利用、陆地-水体标志、植被组成等数据，数据源主要为美国的USGS数据。模式采用美国国家环境预报中心（NCEP)的再分析数据作为模型输入场和边界场。本次高空数据气象模拟，以地面气象观测站位置为中心点，模拟27km×27km范围内离地高度0-5000米内，不同等压面上的气压、离地高度和干球温度等，其中离地高度3000m以内的有效数据层数不少于10层，总层数不少于20层，可以满足气象站点周边50km范围内的项目预测要求。包括大气压、高度、干球温度、露点温度、风向、风速。</w:t>
      </w:r>
    </w:p>
    <w:p w14:paraId="25CF3958">
      <w:pPr>
        <w:autoSpaceDE w:val="0"/>
        <w:autoSpaceDN w:val="0"/>
        <w:adjustRightInd w:val="0"/>
        <w:spacing w:line="480" w:lineRule="exact"/>
        <w:ind w:firstLine="48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w:t>
      </w:r>
      <w:r>
        <w:rPr>
          <w:rFonts w:hint="eastAsia" w:ascii="Times New Roman" w:hAnsi="Times New Roman" w:eastAsia="宋体" w:cs="Times New Roman"/>
          <w:color w:val="auto"/>
          <w:kern w:val="0"/>
          <w:szCs w:val="24"/>
        </w:rPr>
        <w:t>6</w:t>
      </w:r>
      <w:r>
        <w:rPr>
          <w:rFonts w:ascii="Times New Roman" w:hAnsi="Times New Roman" w:eastAsia="宋体" w:cs="Times New Roman"/>
          <w:color w:val="auto"/>
          <w:kern w:val="0"/>
          <w:szCs w:val="24"/>
        </w:rPr>
        <w:t>）预测点</w:t>
      </w:r>
    </w:p>
    <w:p w14:paraId="5A38EB83">
      <w:pPr>
        <w:autoSpaceDE w:val="0"/>
        <w:autoSpaceDN w:val="0"/>
        <w:adjustRightInd w:val="0"/>
        <w:spacing w:line="480" w:lineRule="exact"/>
        <w:ind w:firstLine="480"/>
        <w:textAlignment w:val="bottom"/>
        <w:rPr>
          <w:rFonts w:ascii="Times New Roman" w:hAnsi="Times New Roman" w:eastAsia="宋体" w:cs="Times New Roman"/>
          <w:color w:val="auto"/>
          <w:kern w:val="0"/>
          <w:szCs w:val="20"/>
        </w:rPr>
      </w:pPr>
      <w:r>
        <w:rPr>
          <w:rFonts w:ascii="Times New Roman" w:hAnsi="Times New Roman" w:eastAsia="宋体" w:cs="Times New Roman"/>
          <w:color w:val="auto"/>
          <w:kern w:val="0"/>
          <w:szCs w:val="24"/>
        </w:rPr>
        <w:t>本次大气环境影响预测评价依据</w:t>
      </w:r>
      <w:r>
        <w:rPr>
          <w:rFonts w:ascii="Times New Roman" w:hAnsi="Times New Roman" w:eastAsia="宋体" w:cs="Times New Roman"/>
          <w:color w:val="auto"/>
          <w:szCs w:val="24"/>
        </w:rPr>
        <w:t>20年全年及冬季主导风向、评价基准年202</w:t>
      </w:r>
      <w:r>
        <w:rPr>
          <w:rFonts w:hint="eastAsia" w:ascii="Times New Roman" w:hAnsi="Times New Roman" w:eastAsia="宋体" w:cs="Times New Roman"/>
          <w:color w:val="auto"/>
          <w:szCs w:val="24"/>
          <w:lang w:val="en-US" w:eastAsia="zh-CN"/>
        </w:rPr>
        <w:t>4</w:t>
      </w:r>
      <w:r>
        <w:rPr>
          <w:rFonts w:ascii="Times New Roman" w:hAnsi="Times New Roman" w:eastAsia="宋体" w:cs="Times New Roman"/>
          <w:color w:val="auto"/>
          <w:szCs w:val="24"/>
        </w:rPr>
        <w:t>年</w:t>
      </w:r>
      <w:r>
        <w:rPr>
          <w:rFonts w:ascii="Times New Roman" w:hAnsi="Times New Roman" w:eastAsia="宋体" w:cs="Times New Roman"/>
          <w:color w:val="auto"/>
          <w:kern w:val="0"/>
          <w:szCs w:val="24"/>
        </w:rPr>
        <w:t>全年主导风向及冬季主导风向</w:t>
      </w:r>
      <w:r>
        <w:rPr>
          <w:rFonts w:hint="eastAsia" w:ascii="Times New Roman" w:hAnsi="Times New Roman" w:eastAsia="宋体" w:cs="Times New Roman"/>
          <w:color w:val="auto"/>
          <w:kern w:val="0"/>
          <w:szCs w:val="24"/>
          <w:lang w:val="en-US" w:eastAsia="zh-CN"/>
        </w:rPr>
        <w:t>西北</w:t>
      </w:r>
      <w:r>
        <w:rPr>
          <w:rFonts w:hint="eastAsia" w:ascii="Times New Roman" w:hAnsi="Times New Roman" w:eastAsia="宋体" w:cs="Times New Roman"/>
          <w:color w:val="auto"/>
          <w:kern w:val="0"/>
          <w:szCs w:val="24"/>
        </w:rPr>
        <w:t>风</w:t>
      </w:r>
      <w:r>
        <w:rPr>
          <w:rFonts w:ascii="Times New Roman" w:hAnsi="Times New Roman" w:eastAsia="宋体" w:cs="Times New Roman"/>
          <w:color w:val="auto"/>
          <w:kern w:val="0"/>
          <w:szCs w:val="24"/>
        </w:rPr>
        <w:t>确定本次预测点。本次大气环境影响预测点选取</w:t>
      </w:r>
      <w:r>
        <w:rPr>
          <w:rFonts w:hint="eastAsia" w:ascii="Times New Roman" w:hAnsi="Times New Roman" w:eastAsia="宋体" w:cs="Times New Roman"/>
          <w:color w:val="auto"/>
          <w:kern w:val="0"/>
          <w:szCs w:val="24"/>
          <w:lang w:val="en-US" w:eastAsia="zh-CN"/>
        </w:rPr>
        <w:t>9</w:t>
      </w:r>
      <w:r>
        <w:rPr>
          <w:rFonts w:ascii="Times New Roman" w:hAnsi="Times New Roman" w:eastAsia="宋体" w:cs="Times New Roman"/>
          <w:color w:val="auto"/>
          <w:kern w:val="0"/>
          <w:szCs w:val="24"/>
        </w:rPr>
        <w:t>个代表点，</w:t>
      </w:r>
      <w:r>
        <w:rPr>
          <w:rFonts w:hint="eastAsia" w:ascii="Times New Roman" w:hAnsi="Times New Roman" w:eastAsia="宋体" w:cs="Times New Roman"/>
          <w:color w:val="auto"/>
          <w:szCs w:val="32"/>
          <w:lang w:bidi="ar"/>
        </w:rPr>
        <w:t>本次评价</w:t>
      </w:r>
      <w:r>
        <w:rPr>
          <w:rFonts w:ascii="Times New Roman" w:hAnsi="Times New Roman" w:eastAsia="宋体" w:cs="Times New Roman"/>
          <w:color w:val="auto"/>
          <w:szCs w:val="32"/>
          <w:lang w:bidi="ar"/>
        </w:rPr>
        <w:t>选择环境空气敏感区中的</w:t>
      </w:r>
      <w:r>
        <w:rPr>
          <w:rFonts w:hint="eastAsia" w:ascii="Times New Roman" w:hAnsi="Times New Roman" w:eastAsia="宋体" w:cs="Times New Roman"/>
          <w:color w:val="auto"/>
          <w:szCs w:val="32"/>
          <w:lang w:bidi="ar"/>
        </w:rPr>
        <w:t>具有代表性的</w:t>
      </w:r>
      <w:r>
        <w:rPr>
          <w:rFonts w:ascii="Times New Roman" w:hAnsi="Times New Roman" w:eastAsia="宋体" w:cs="Times New Roman"/>
          <w:color w:val="auto"/>
          <w:szCs w:val="32"/>
          <w:lang w:bidi="ar"/>
        </w:rPr>
        <w:t>环境空气保护目标为计算点</w:t>
      </w:r>
      <w:r>
        <w:rPr>
          <w:rFonts w:hint="eastAsia" w:ascii="Times New Roman" w:hAnsi="Times New Roman" w:eastAsia="宋体" w:cs="Times New Roman"/>
          <w:color w:val="auto"/>
          <w:szCs w:val="32"/>
          <w:lang w:bidi="ar"/>
        </w:rPr>
        <w:t>。</w:t>
      </w:r>
      <w:r>
        <w:rPr>
          <w:rFonts w:ascii="Times New Roman" w:hAnsi="Times New Roman" w:eastAsia="宋体" w:cs="Times New Roman"/>
          <w:color w:val="auto"/>
          <w:kern w:val="0"/>
          <w:szCs w:val="24"/>
        </w:rPr>
        <w:t>本项目大气环境影响预测点情况见表6.2-</w:t>
      </w:r>
      <w:r>
        <w:rPr>
          <w:rFonts w:hint="eastAsia" w:ascii="Times New Roman" w:hAnsi="Times New Roman" w:eastAsia="宋体" w:cs="Times New Roman"/>
          <w:color w:val="auto"/>
          <w:kern w:val="0"/>
          <w:szCs w:val="24"/>
        </w:rPr>
        <w:t>7</w:t>
      </w:r>
      <w:r>
        <w:rPr>
          <w:rFonts w:ascii="Times New Roman" w:hAnsi="Times New Roman" w:eastAsia="宋体" w:cs="Times New Roman"/>
          <w:color w:val="auto"/>
          <w:kern w:val="0"/>
          <w:szCs w:val="24"/>
        </w:rPr>
        <w:t>。</w:t>
      </w:r>
    </w:p>
    <w:p w14:paraId="4A4D6D79">
      <w:pPr>
        <w:autoSpaceDE w:val="0"/>
        <w:autoSpaceDN w:val="0"/>
        <w:adjustRightInd w:val="0"/>
        <w:spacing w:line="480" w:lineRule="exact"/>
        <w:ind w:firstLine="0" w:firstLineChars="0"/>
        <w:jc w:val="center"/>
        <w:textAlignment w:val="bottom"/>
        <w:rPr>
          <w:rFonts w:ascii="Times New Roman" w:hAnsi="Times New Roman" w:eastAsia="宋体" w:cs="Times New Roman"/>
          <w:color w:val="auto"/>
          <w:kern w:val="0"/>
          <w:szCs w:val="20"/>
        </w:rPr>
      </w:pPr>
      <w:r>
        <w:rPr>
          <w:rFonts w:ascii="Times New Roman" w:hAnsi="Times New Roman" w:eastAsia="宋体" w:cs="Times New Roman"/>
          <w:color w:val="auto"/>
          <w:kern w:val="0"/>
          <w:szCs w:val="20"/>
        </w:rPr>
        <w:t>表6.2-</w:t>
      </w:r>
      <w:r>
        <w:rPr>
          <w:rFonts w:hint="eastAsia" w:ascii="Times New Roman" w:hAnsi="Times New Roman" w:eastAsia="宋体" w:cs="Times New Roman"/>
          <w:color w:val="auto"/>
          <w:kern w:val="0"/>
          <w:szCs w:val="20"/>
        </w:rPr>
        <w:t>7</w:t>
      </w:r>
      <w:r>
        <w:rPr>
          <w:rFonts w:ascii="Times New Roman" w:hAnsi="Times New Roman" w:eastAsia="宋体" w:cs="Times New Roman"/>
          <w:color w:val="auto"/>
          <w:kern w:val="0"/>
          <w:szCs w:val="20"/>
        </w:rPr>
        <w:t xml:space="preserve">  本项目预测点分布情况</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534"/>
        <w:gridCol w:w="2701"/>
        <w:gridCol w:w="1536"/>
        <w:gridCol w:w="1538"/>
        <w:gridCol w:w="1536"/>
      </w:tblGrid>
      <w:tr w14:paraId="386B18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1107091A">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序号</w:t>
            </w:r>
          </w:p>
        </w:tc>
        <w:tc>
          <w:tcPr>
            <w:tcW w:w="1526" w:type="pct"/>
            <w:tcBorders>
              <w:tl2br w:val="nil"/>
              <w:tr2bl w:val="nil"/>
            </w:tcBorders>
            <w:shd w:val="clear" w:color="auto" w:fill="auto"/>
            <w:noWrap/>
            <w:vAlign w:val="center"/>
          </w:tcPr>
          <w:p w14:paraId="1B43B5D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名称</w:t>
            </w:r>
          </w:p>
        </w:tc>
        <w:tc>
          <w:tcPr>
            <w:tcW w:w="868" w:type="pct"/>
            <w:tcBorders>
              <w:tl2br w:val="nil"/>
              <w:tr2bl w:val="nil"/>
            </w:tcBorders>
            <w:shd w:val="clear" w:color="auto" w:fill="auto"/>
            <w:noWrap/>
            <w:vAlign w:val="center"/>
          </w:tcPr>
          <w:p w14:paraId="35C60A1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X</w:t>
            </w:r>
          </w:p>
        </w:tc>
        <w:tc>
          <w:tcPr>
            <w:tcW w:w="869" w:type="pct"/>
            <w:tcBorders>
              <w:tl2br w:val="nil"/>
              <w:tr2bl w:val="nil"/>
            </w:tcBorders>
            <w:shd w:val="clear" w:color="auto" w:fill="auto"/>
            <w:noWrap/>
            <w:vAlign w:val="center"/>
          </w:tcPr>
          <w:p w14:paraId="04ECD51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Y</w:t>
            </w:r>
          </w:p>
        </w:tc>
        <w:tc>
          <w:tcPr>
            <w:tcW w:w="868" w:type="pct"/>
            <w:tcBorders>
              <w:tl2br w:val="nil"/>
              <w:tr2bl w:val="nil"/>
            </w:tcBorders>
            <w:shd w:val="clear" w:color="auto" w:fill="auto"/>
            <w:noWrap/>
            <w:vAlign w:val="center"/>
          </w:tcPr>
          <w:p w14:paraId="539F6509">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地面高程</w:t>
            </w:r>
          </w:p>
        </w:tc>
      </w:tr>
      <w:tr w14:paraId="35CC6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686AEA8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w:t>
            </w:r>
          </w:p>
        </w:tc>
        <w:tc>
          <w:tcPr>
            <w:tcW w:w="1526" w:type="pct"/>
            <w:tcBorders>
              <w:tl2br w:val="nil"/>
              <w:tr2bl w:val="nil"/>
            </w:tcBorders>
            <w:shd w:val="clear" w:color="auto" w:fill="auto"/>
            <w:noWrap/>
            <w:vAlign w:val="center"/>
          </w:tcPr>
          <w:p w14:paraId="7EF1120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八五二农场场部</w:t>
            </w:r>
          </w:p>
        </w:tc>
        <w:tc>
          <w:tcPr>
            <w:tcW w:w="868" w:type="pct"/>
            <w:tcBorders>
              <w:tl2br w:val="nil"/>
              <w:tr2bl w:val="nil"/>
            </w:tcBorders>
            <w:shd w:val="clear" w:color="auto" w:fill="auto"/>
            <w:noWrap/>
            <w:vAlign w:val="center"/>
          </w:tcPr>
          <w:p w14:paraId="5407745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-137</w:t>
            </w:r>
          </w:p>
        </w:tc>
        <w:tc>
          <w:tcPr>
            <w:tcW w:w="869" w:type="pct"/>
            <w:tcBorders>
              <w:tl2br w:val="nil"/>
              <w:tr2bl w:val="nil"/>
            </w:tcBorders>
            <w:shd w:val="clear" w:color="auto" w:fill="auto"/>
            <w:noWrap/>
            <w:vAlign w:val="center"/>
          </w:tcPr>
          <w:p w14:paraId="2FCA805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263</w:t>
            </w:r>
          </w:p>
        </w:tc>
        <w:tc>
          <w:tcPr>
            <w:tcW w:w="868" w:type="pct"/>
            <w:tcBorders>
              <w:tl2br w:val="nil"/>
              <w:tr2bl w:val="nil"/>
            </w:tcBorders>
            <w:shd w:val="clear" w:color="auto" w:fill="auto"/>
            <w:noWrap/>
            <w:vAlign w:val="center"/>
          </w:tcPr>
          <w:p w14:paraId="36DFDC3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138.38</w:t>
            </w:r>
          </w:p>
        </w:tc>
      </w:tr>
      <w:tr w14:paraId="0B7781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4D3E62A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p>
        </w:tc>
        <w:tc>
          <w:tcPr>
            <w:tcW w:w="1526" w:type="pct"/>
            <w:tcBorders>
              <w:tl2br w:val="nil"/>
              <w:tr2bl w:val="nil"/>
            </w:tcBorders>
            <w:shd w:val="clear" w:color="auto" w:fill="auto"/>
            <w:noWrap/>
            <w:vAlign w:val="center"/>
          </w:tcPr>
          <w:p w14:paraId="0D3796C5">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和平管理区</w:t>
            </w:r>
          </w:p>
        </w:tc>
        <w:tc>
          <w:tcPr>
            <w:tcW w:w="868" w:type="pct"/>
            <w:tcBorders>
              <w:tl2br w:val="nil"/>
              <w:tr2bl w:val="nil"/>
            </w:tcBorders>
            <w:shd w:val="clear" w:color="auto" w:fill="auto"/>
            <w:noWrap/>
            <w:vAlign w:val="center"/>
          </w:tcPr>
          <w:p w14:paraId="6C17937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-2203</w:t>
            </w:r>
          </w:p>
        </w:tc>
        <w:tc>
          <w:tcPr>
            <w:tcW w:w="869" w:type="pct"/>
            <w:tcBorders>
              <w:tl2br w:val="nil"/>
              <w:tr2bl w:val="nil"/>
            </w:tcBorders>
            <w:shd w:val="clear" w:color="auto" w:fill="auto"/>
            <w:noWrap/>
            <w:vAlign w:val="center"/>
          </w:tcPr>
          <w:p w14:paraId="6C67CEB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2444</w:t>
            </w:r>
          </w:p>
        </w:tc>
        <w:tc>
          <w:tcPr>
            <w:tcW w:w="868" w:type="pct"/>
            <w:tcBorders>
              <w:tl2br w:val="nil"/>
              <w:tr2bl w:val="nil"/>
            </w:tcBorders>
            <w:shd w:val="clear" w:color="auto" w:fill="auto"/>
            <w:noWrap/>
            <w:vAlign w:val="center"/>
          </w:tcPr>
          <w:p w14:paraId="3842C8F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92.53</w:t>
            </w:r>
          </w:p>
        </w:tc>
      </w:tr>
      <w:tr w14:paraId="7FFEE1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0CDA31AC">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3</w:t>
            </w:r>
          </w:p>
        </w:tc>
        <w:tc>
          <w:tcPr>
            <w:tcW w:w="1526" w:type="pct"/>
            <w:tcBorders>
              <w:tl2br w:val="nil"/>
              <w:tr2bl w:val="nil"/>
            </w:tcBorders>
            <w:shd w:val="clear" w:color="auto" w:fill="auto"/>
            <w:noWrap/>
            <w:vAlign w:val="center"/>
          </w:tcPr>
          <w:p w14:paraId="2A6B944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南林小区</w:t>
            </w:r>
          </w:p>
        </w:tc>
        <w:tc>
          <w:tcPr>
            <w:tcW w:w="868" w:type="pct"/>
            <w:tcBorders>
              <w:tl2br w:val="nil"/>
              <w:tr2bl w:val="nil"/>
            </w:tcBorders>
            <w:shd w:val="clear" w:color="auto" w:fill="auto"/>
            <w:noWrap/>
            <w:vAlign w:val="center"/>
          </w:tcPr>
          <w:p w14:paraId="7B84BE5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789</w:t>
            </w:r>
          </w:p>
        </w:tc>
        <w:tc>
          <w:tcPr>
            <w:tcW w:w="869" w:type="pct"/>
            <w:tcBorders>
              <w:tl2br w:val="nil"/>
              <w:tr2bl w:val="nil"/>
            </w:tcBorders>
            <w:shd w:val="clear" w:color="auto" w:fill="auto"/>
            <w:noWrap/>
            <w:vAlign w:val="center"/>
          </w:tcPr>
          <w:p w14:paraId="5F951E4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-1368</w:t>
            </w:r>
          </w:p>
        </w:tc>
        <w:tc>
          <w:tcPr>
            <w:tcW w:w="868" w:type="pct"/>
            <w:tcBorders>
              <w:tl2br w:val="nil"/>
              <w:tr2bl w:val="nil"/>
            </w:tcBorders>
            <w:shd w:val="clear" w:color="auto" w:fill="auto"/>
            <w:noWrap/>
            <w:vAlign w:val="center"/>
          </w:tcPr>
          <w:p w14:paraId="6AF04D1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102.02</w:t>
            </w:r>
          </w:p>
        </w:tc>
      </w:tr>
      <w:tr w14:paraId="1BA91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13C5A6A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4</w:t>
            </w:r>
          </w:p>
        </w:tc>
        <w:tc>
          <w:tcPr>
            <w:tcW w:w="1526" w:type="pct"/>
            <w:tcBorders>
              <w:tl2br w:val="nil"/>
              <w:tr2bl w:val="nil"/>
            </w:tcBorders>
            <w:shd w:val="clear" w:color="auto" w:fill="auto"/>
            <w:noWrap/>
            <w:vAlign w:val="center"/>
          </w:tcPr>
          <w:p w14:paraId="2C695B6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八五二农场四分场</w:t>
            </w:r>
          </w:p>
        </w:tc>
        <w:tc>
          <w:tcPr>
            <w:tcW w:w="868" w:type="pct"/>
            <w:tcBorders>
              <w:tl2br w:val="nil"/>
              <w:tr2bl w:val="nil"/>
            </w:tcBorders>
            <w:shd w:val="clear" w:color="auto" w:fill="auto"/>
            <w:noWrap/>
            <w:vAlign w:val="center"/>
          </w:tcPr>
          <w:p w14:paraId="3BA51C39">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-6081</w:t>
            </w:r>
          </w:p>
        </w:tc>
        <w:tc>
          <w:tcPr>
            <w:tcW w:w="869" w:type="pct"/>
            <w:tcBorders>
              <w:tl2br w:val="nil"/>
              <w:tr2bl w:val="nil"/>
            </w:tcBorders>
            <w:shd w:val="clear" w:color="auto" w:fill="auto"/>
            <w:noWrap/>
            <w:vAlign w:val="center"/>
          </w:tcPr>
          <w:p w14:paraId="5F508B5C">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4248</w:t>
            </w:r>
          </w:p>
        </w:tc>
        <w:tc>
          <w:tcPr>
            <w:tcW w:w="868" w:type="pct"/>
            <w:tcBorders>
              <w:tl2br w:val="nil"/>
              <w:tr2bl w:val="nil"/>
            </w:tcBorders>
            <w:shd w:val="clear" w:color="auto" w:fill="auto"/>
            <w:noWrap/>
            <w:vAlign w:val="center"/>
          </w:tcPr>
          <w:p w14:paraId="5BB959E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118.64</w:t>
            </w:r>
          </w:p>
        </w:tc>
      </w:tr>
      <w:tr w14:paraId="5423D6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1E9A620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5</w:t>
            </w:r>
          </w:p>
        </w:tc>
        <w:tc>
          <w:tcPr>
            <w:tcW w:w="1526" w:type="pct"/>
            <w:tcBorders>
              <w:tl2br w:val="nil"/>
              <w:tr2bl w:val="nil"/>
            </w:tcBorders>
            <w:shd w:val="clear" w:color="auto" w:fill="auto"/>
            <w:noWrap/>
            <w:vAlign w:val="center"/>
          </w:tcPr>
          <w:p w14:paraId="1218C20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八五二农场副业队</w:t>
            </w:r>
          </w:p>
        </w:tc>
        <w:tc>
          <w:tcPr>
            <w:tcW w:w="868" w:type="pct"/>
            <w:tcBorders>
              <w:tl2br w:val="nil"/>
              <w:tr2bl w:val="nil"/>
            </w:tcBorders>
            <w:shd w:val="clear" w:color="auto" w:fill="auto"/>
            <w:noWrap/>
            <w:vAlign w:val="center"/>
          </w:tcPr>
          <w:p w14:paraId="57F098C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-4856</w:t>
            </w:r>
          </w:p>
        </w:tc>
        <w:tc>
          <w:tcPr>
            <w:tcW w:w="869" w:type="pct"/>
            <w:tcBorders>
              <w:tl2br w:val="nil"/>
              <w:tr2bl w:val="nil"/>
            </w:tcBorders>
            <w:shd w:val="clear" w:color="auto" w:fill="auto"/>
            <w:noWrap/>
            <w:vAlign w:val="center"/>
          </w:tcPr>
          <w:p w14:paraId="231FEB9C">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4635</w:t>
            </w:r>
          </w:p>
        </w:tc>
        <w:tc>
          <w:tcPr>
            <w:tcW w:w="868" w:type="pct"/>
            <w:tcBorders>
              <w:tl2br w:val="nil"/>
              <w:tr2bl w:val="nil"/>
            </w:tcBorders>
            <w:shd w:val="clear" w:color="auto" w:fill="auto"/>
            <w:noWrap/>
            <w:vAlign w:val="center"/>
          </w:tcPr>
          <w:p w14:paraId="2CD20A09">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118.20</w:t>
            </w:r>
          </w:p>
        </w:tc>
      </w:tr>
      <w:tr w14:paraId="4C8BA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1F993A15">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6</w:t>
            </w:r>
          </w:p>
        </w:tc>
        <w:tc>
          <w:tcPr>
            <w:tcW w:w="1526" w:type="pct"/>
            <w:tcBorders>
              <w:tl2br w:val="nil"/>
              <w:tr2bl w:val="nil"/>
            </w:tcBorders>
            <w:shd w:val="clear" w:color="auto" w:fill="auto"/>
            <w:noWrap/>
            <w:vAlign w:val="center"/>
          </w:tcPr>
          <w:p w14:paraId="57EDA12A">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八五二农场种畜站</w:t>
            </w:r>
          </w:p>
        </w:tc>
        <w:tc>
          <w:tcPr>
            <w:tcW w:w="868" w:type="pct"/>
            <w:tcBorders>
              <w:tl2br w:val="nil"/>
              <w:tr2bl w:val="nil"/>
            </w:tcBorders>
            <w:shd w:val="clear" w:color="auto" w:fill="auto"/>
            <w:noWrap/>
            <w:vAlign w:val="center"/>
          </w:tcPr>
          <w:p w14:paraId="0FB3AC6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-3416</w:t>
            </w:r>
          </w:p>
        </w:tc>
        <w:tc>
          <w:tcPr>
            <w:tcW w:w="869" w:type="pct"/>
            <w:tcBorders>
              <w:tl2br w:val="nil"/>
              <w:tr2bl w:val="nil"/>
            </w:tcBorders>
            <w:shd w:val="clear" w:color="auto" w:fill="auto"/>
            <w:noWrap/>
            <w:vAlign w:val="center"/>
          </w:tcPr>
          <w:p w14:paraId="44672FF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5193</w:t>
            </w:r>
          </w:p>
        </w:tc>
        <w:tc>
          <w:tcPr>
            <w:tcW w:w="868" w:type="pct"/>
            <w:tcBorders>
              <w:tl2br w:val="nil"/>
              <w:tr2bl w:val="nil"/>
            </w:tcBorders>
            <w:shd w:val="clear" w:color="auto" w:fill="auto"/>
            <w:noWrap/>
            <w:vAlign w:val="center"/>
          </w:tcPr>
          <w:p w14:paraId="2E7A5B7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119.19</w:t>
            </w:r>
          </w:p>
        </w:tc>
      </w:tr>
      <w:tr w14:paraId="742132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41B99B8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7</w:t>
            </w:r>
          </w:p>
        </w:tc>
        <w:tc>
          <w:tcPr>
            <w:tcW w:w="1526" w:type="pct"/>
            <w:tcBorders>
              <w:tl2br w:val="nil"/>
              <w:tr2bl w:val="nil"/>
            </w:tcBorders>
            <w:shd w:val="clear" w:color="auto" w:fill="auto"/>
            <w:noWrap/>
            <w:vAlign w:val="center"/>
          </w:tcPr>
          <w:p w14:paraId="099F4EA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迎春林业局光明林场</w:t>
            </w:r>
          </w:p>
        </w:tc>
        <w:tc>
          <w:tcPr>
            <w:tcW w:w="868" w:type="pct"/>
            <w:tcBorders>
              <w:tl2br w:val="nil"/>
              <w:tr2bl w:val="nil"/>
            </w:tcBorders>
            <w:shd w:val="clear" w:color="auto" w:fill="auto"/>
            <w:noWrap/>
            <w:vAlign w:val="center"/>
          </w:tcPr>
          <w:p w14:paraId="2DED3C83">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5201</w:t>
            </w:r>
          </w:p>
        </w:tc>
        <w:tc>
          <w:tcPr>
            <w:tcW w:w="869" w:type="pct"/>
            <w:tcBorders>
              <w:tl2br w:val="nil"/>
              <w:tr2bl w:val="nil"/>
            </w:tcBorders>
            <w:shd w:val="clear" w:color="auto" w:fill="auto"/>
            <w:noWrap/>
            <w:vAlign w:val="center"/>
          </w:tcPr>
          <w:p w14:paraId="7B19432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2830</w:t>
            </w:r>
          </w:p>
        </w:tc>
        <w:tc>
          <w:tcPr>
            <w:tcW w:w="868" w:type="pct"/>
            <w:tcBorders>
              <w:tl2br w:val="nil"/>
              <w:tr2bl w:val="nil"/>
            </w:tcBorders>
            <w:shd w:val="clear" w:color="auto" w:fill="auto"/>
            <w:noWrap/>
            <w:vAlign w:val="center"/>
          </w:tcPr>
          <w:p w14:paraId="3CFF19B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110.26</w:t>
            </w:r>
          </w:p>
        </w:tc>
      </w:tr>
      <w:tr w14:paraId="358361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6AFD330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8</w:t>
            </w:r>
          </w:p>
        </w:tc>
        <w:tc>
          <w:tcPr>
            <w:tcW w:w="1526" w:type="pct"/>
            <w:tcBorders>
              <w:tl2br w:val="nil"/>
              <w:tr2bl w:val="nil"/>
            </w:tcBorders>
            <w:shd w:val="clear" w:color="auto" w:fill="auto"/>
            <w:noWrap/>
            <w:vAlign w:val="center"/>
          </w:tcPr>
          <w:p w14:paraId="09804D03">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虎宝工厂南林工段</w:t>
            </w:r>
          </w:p>
        </w:tc>
        <w:tc>
          <w:tcPr>
            <w:tcW w:w="868" w:type="pct"/>
            <w:tcBorders>
              <w:tl2br w:val="nil"/>
              <w:tr2bl w:val="nil"/>
            </w:tcBorders>
            <w:shd w:val="clear" w:color="auto" w:fill="auto"/>
            <w:noWrap/>
            <w:vAlign w:val="center"/>
          </w:tcPr>
          <w:p w14:paraId="1A44C3D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4363</w:t>
            </w:r>
          </w:p>
        </w:tc>
        <w:tc>
          <w:tcPr>
            <w:tcW w:w="869" w:type="pct"/>
            <w:tcBorders>
              <w:tl2br w:val="nil"/>
              <w:tr2bl w:val="nil"/>
            </w:tcBorders>
            <w:shd w:val="clear" w:color="auto" w:fill="auto"/>
            <w:noWrap/>
            <w:vAlign w:val="center"/>
          </w:tcPr>
          <w:p w14:paraId="6F03FEB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-3230</w:t>
            </w:r>
          </w:p>
        </w:tc>
        <w:tc>
          <w:tcPr>
            <w:tcW w:w="868" w:type="pct"/>
            <w:tcBorders>
              <w:tl2br w:val="nil"/>
              <w:tr2bl w:val="nil"/>
            </w:tcBorders>
            <w:shd w:val="clear" w:color="auto" w:fill="auto"/>
            <w:noWrap/>
            <w:vAlign w:val="center"/>
          </w:tcPr>
          <w:p w14:paraId="16CA1D5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125.07</w:t>
            </w:r>
          </w:p>
        </w:tc>
      </w:tr>
      <w:tr w14:paraId="58945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7" w:type="pct"/>
            <w:tcBorders>
              <w:tl2br w:val="nil"/>
              <w:tr2bl w:val="nil"/>
            </w:tcBorders>
            <w:shd w:val="clear" w:color="auto" w:fill="auto"/>
            <w:noWrap/>
            <w:vAlign w:val="center"/>
          </w:tcPr>
          <w:p w14:paraId="156D57F3">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9</w:t>
            </w:r>
          </w:p>
        </w:tc>
        <w:tc>
          <w:tcPr>
            <w:tcW w:w="1526" w:type="pct"/>
            <w:tcBorders>
              <w:tl2br w:val="nil"/>
              <w:tr2bl w:val="nil"/>
            </w:tcBorders>
            <w:shd w:val="clear" w:color="auto" w:fill="auto"/>
            <w:noWrap/>
            <w:vAlign w:val="center"/>
          </w:tcPr>
          <w:p w14:paraId="59BB795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虎宝村</w:t>
            </w:r>
          </w:p>
        </w:tc>
        <w:tc>
          <w:tcPr>
            <w:tcW w:w="868" w:type="pct"/>
            <w:tcBorders>
              <w:tl2br w:val="nil"/>
              <w:tr2bl w:val="nil"/>
            </w:tcBorders>
            <w:shd w:val="clear" w:color="auto" w:fill="auto"/>
            <w:noWrap/>
            <w:vAlign w:val="center"/>
          </w:tcPr>
          <w:p w14:paraId="0528798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4621</w:t>
            </w:r>
          </w:p>
        </w:tc>
        <w:tc>
          <w:tcPr>
            <w:tcW w:w="869" w:type="pct"/>
            <w:tcBorders>
              <w:tl2br w:val="nil"/>
              <w:tr2bl w:val="nil"/>
            </w:tcBorders>
            <w:shd w:val="clear" w:color="auto" w:fill="auto"/>
            <w:noWrap/>
            <w:vAlign w:val="center"/>
          </w:tcPr>
          <w:p w14:paraId="07CE2D1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-5744</w:t>
            </w:r>
          </w:p>
        </w:tc>
        <w:tc>
          <w:tcPr>
            <w:tcW w:w="868" w:type="pct"/>
            <w:tcBorders>
              <w:tl2br w:val="nil"/>
              <w:tr2bl w:val="nil"/>
            </w:tcBorders>
            <w:shd w:val="clear" w:color="auto" w:fill="auto"/>
            <w:noWrap/>
            <w:vAlign w:val="center"/>
          </w:tcPr>
          <w:p w14:paraId="6661298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127.46</w:t>
            </w:r>
          </w:p>
        </w:tc>
      </w:tr>
    </w:tbl>
    <w:p w14:paraId="1232349D">
      <w:pPr>
        <w:pStyle w:val="50"/>
        <w:spacing w:line="480" w:lineRule="exact"/>
        <w:ind w:firstLine="480"/>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（6）预测网格点</w:t>
      </w:r>
    </w:p>
    <w:p w14:paraId="113E6A7F">
      <w:pPr>
        <w:autoSpaceDE w:val="0"/>
        <w:autoSpaceDN w:val="0"/>
        <w:adjustRightInd w:val="0"/>
        <w:spacing w:line="480" w:lineRule="exact"/>
        <w:ind w:firstLine="48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szCs w:val="24"/>
        </w:rPr>
        <w:t>根据</w:t>
      </w:r>
      <w:r>
        <w:rPr>
          <w:rFonts w:ascii="Times New Roman" w:hAnsi="Times New Roman" w:eastAsia="宋体" w:cs="Times New Roman"/>
          <w:color w:val="auto"/>
        </w:rPr>
        <w:t>《环境影响评价技术导则 大气环境》（HJ2.2-2018）中附录B推荐模型参数及说明中的B.6.3.3AERMOD</w:t>
      </w:r>
      <w:r>
        <w:rPr>
          <w:rFonts w:ascii="Times New Roman" w:hAnsi="Times New Roman" w:eastAsia="宋体" w:cs="Times New Roman"/>
          <w:color w:val="auto"/>
          <w:kern w:val="0"/>
          <w:szCs w:val="24"/>
        </w:rPr>
        <w:t>预测网格点的设置具有足够的分辨率以尽可能精确预测污染源对预测范围的最大影响，本次大气环境影响预测的预测网格点的间距采用近密远疏法进行设置。</w:t>
      </w:r>
    </w:p>
    <w:p w14:paraId="18F60FA6">
      <w:pPr>
        <w:autoSpaceDE w:val="0"/>
        <w:autoSpaceDN w:val="0"/>
        <w:adjustRightInd w:val="0"/>
        <w:spacing w:line="480" w:lineRule="exact"/>
        <w:ind w:firstLine="480"/>
        <w:textAlignment w:val="bottom"/>
        <w:rPr>
          <w:rFonts w:ascii="Times New Roman" w:hAnsi="Times New Roman" w:eastAsia="宋体" w:cs="Times New Roman"/>
          <w:color w:val="auto"/>
          <w:kern w:val="0"/>
          <w:szCs w:val="20"/>
        </w:rPr>
      </w:pPr>
      <w:r>
        <w:rPr>
          <w:rFonts w:ascii="Times New Roman" w:hAnsi="Times New Roman" w:eastAsia="宋体" w:cs="Times New Roman"/>
          <w:color w:val="auto"/>
          <w:kern w:val="0"/>
          <w:szCs w:val="24"/>
        </w:rPr>
        <w:t>（7）地表参数</w:t>
      </w:r>
      <w:r>
        <w:rPr>
          <w:rFonts w:hint="eastAsia" w:ascii="Times New Roman" w:hAnsi="Times New Roman" w:eastAsia="宋体" w:cs="Times New Roman"/>
          <w:color w:val="auto"/>
          <w:kern w:val="0"/>
          <w:szCs w:val="24"/>
        </w:rPr>
        <w:t>取值</w:t>
      </w:r>
    </w:p>
    <w:p w14:paraId="7874D71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8</w:t>
      </w:r>
      <w:r>
        <w:rPr>
          <w:rFonts w:hint="default" w:ascii="Times New Roman" w:hAnsi="Times New Roman" w:eastAsia="宋体" w:cs="Times New Roman"/>
          <w:b/>
          <w:bCs/>
          <w:color w:val="auto"/>
          <w:sz w:val="24"/>
          <w:szCs w:val="24"/>
          <w:lang w:eastAsia="zh-CN"/>
        </w:rPr>
        <w:t xml:space="preserve">  本报告预测计算的下垫面特征参数详见下表</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1505"/>
        <w:gridCol w:w="2167"/>
        <w:gridCol w:w="1238"/>
        <w:gridCol w:w="1053"/>
        <w:gridCol w:w="1053"/>
        <w:gridCol w:w="891"/>
      </w:tblGrid>
      <w:tr w14:paraId="20447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11FD966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bookmarkStart w:id="426" w:name="_Hlk146792354"/>
            <w:r>
              <w:rPr>
                <w:rFonts w:ascii="Times New Roman" w:hAnsi="Times New Roman" w:eastAsia="宋体" w:cs="Times New Roman"/>
                <w:color w:val="auto"/>
                <w:sz w:val="21"/>
                <w:szCs w:val="21"/>
              </w:rPr>
              <w:t>序号</w:t>
            </w:r>
          </w:p>
        </w:tc>
        <w:tc>
          <w:tcPr>
            <w:tcW w:w="850" w:type="pct"/>
            <w:tcBorders>
              <w:tl2br w:val="nil"/>
              <w:tr2bl w:val="nil"/>
            </w:tcBorders>
            <w:vAlign w:val="center"/>
          </w:tcPr>
          <w:p w14:paraId="386ABDE3">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扇区</w:t>
            </w:r>
          </w:p>
        </w:tc>
        <w:tc>
          <w:tcPr>
            <w:tcW w:w="1224" w:type="pct"/>
            <w:tcBorders>
              <w:tl2br w:val="nil"/>
              <w:tr2bl w:val="nil"/>
            </w:tcBorders>
            <w:vAlign w:val="center"/>
          </w:tcPr>
          <w:p w14:paraId="6B5638A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时段</w:t>
            </w:r>
          </w:p>
        </w:tc>
        <w:tc>
          <w:tcPr>
            <w:tcW w:w="699" w:type="pct"/>
            <w:tcBorders>
              <w:tl2br w:val="nil"/>
              <w:tr2bl w:val="nil"/>
            </w:tcBorders>
            <w:vAlign w:val="center"/>
          </w:tcPr>
          <w:p w14:paraId="4A8A3C25">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正午反照率</w:t>
            </w:r>
          </w:p>
        </w:tc>
        <w:tc>
          <w:tcPr>
            <w:tcW w:w="595" w:type="pct"/>
            <w:tcBorders>
              <w:tl2br w:val="nil"/>
              <w:tr2bl w:val="nil"/>
            </w:tcBorders>
            <w:vAlign w:val="center"/>
          </w:tcPr>
          <w:p w14:paraId="1590BA2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BOWEN</w:t>
            </w:r>
          </w:p>
        </w:tc>
        <w:tc>
          <w:tcPr>
            <w:tcW w:w="595" w:type="pct"/>
            <w:tcBorders>
              <w:tl2br w:val="nil"/>
              <w:tr2bl w:val="nil"/>
            </w:tcBorders>
            <w:vAlign w:val="center"/>
          </w:tcPr>
          <w:p w14:paraId="32E9BDE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粗糙度</w:t>
            </w:r>
          </w:p>
        </w:tc>
        <w:tc>
          <w:tcPr>
            <w:tcW w:w="503" w:type="pct"/>
            <w:tcBorders>
              <w:tl2br w:val="nil"/>
              <w:tr2bl w:val="nil"/>
            </w:tcBorders>
            <w:vAlign w:val="center"/>
          </w:tcPr>
          <w:p w14:paraId="4FE29F89">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地表类型</w:t>
            </w:r>
          </w:p>
        </w:tc>
      </w:tr>
      <w:tr w14:paraId="270F2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3754990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w:t>
            </w:r>
          </w:p>
        </w:tc>
        <w:tc>
          <w:tcPr>
            <w:tcW w:w="850" w:type="pct"/>
            <w:tcBorders>
              <w:tl2br w:val="nil"/>
              <w:tr2bl w:val="nil"/>
            </w:tcBorders>
            <w:vAlign w:val="center"/>
          </w:tcPr>
          <w:p w14:paraId="4D0D9AE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30-210</w:t>
            </w:r>
          </w:p>
        </w:tc>
        <w:tc>
          <w:tcPr>
            <w:tcW w:w="1224" w:type="pct"/>
            <w:tcBorders>
              <w:tl2br w:val="nil"/>
              <w:tr2bl w:val="nil"/>
            </w:tcBorders>
            <w:vAlign w:val="center"/>
          </w:tcPr>
          <w:p w14:paraId="3DF38A89">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冬季(12,1,2月)</w:t>
            </w:r>
          </w:p>
        </w:tc>
        <w:tc>
          <w:tcPr>
            <w:tcW w:w="699" w:type="pct"/>
            <w:tcBorders>
              <w:tl2br w:val="nil"/>
              <w:tr2bl w:val="nil"/>
            </w:tcBorders>
            <w:vAlign w:val="center"/>
          </w:tcPr>
          <w:p w14:paraId="212CD49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0.35</w:t>
            </w:r>
          </w:p>
        </w:tc>
        <w:tc>
          <w:tcPr>
            <w:tcW w:w="595" w:type="pct"/>
            <w:tcBorders>
              <w:tl2br w:val="nil"/>
              <w:tr2bl w:val="nil"/>
            </w:tcBorders>
            <w:vAlign w:val="center"/>
          </w:tcPr>
          <w:p w14:paraId="34B8736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595" w:type="pct"/>
            <w:tcBorders>
              <w:tl2br w:val="nil"/>
              <w:tr2bl w:val="nil"/>
            </w:tcBorders>
            <w:vAlign w:val="center"/>
          </w:tcPr>
          <w:p w14:paraId="2AC1832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503" w:type="pct"/>
            <w:vMerge w:val="restart"/>
            <w:tcBorders>
              <w:tl2br w:val="nil"/>
              <w:tr2bl w:val="nil"/>
            </w:tcBorders>
            <w:vAlign w:val="center"/>
          </w:tcPr>
          <w:p w14:paraId="4AAFDFDA">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针叶林</w:t>
            </w:r>
          </w:p>
        </w:tc>
      </w:tr>
      <w:tr w14:paraId="39404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330F52C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w:t>
            </w:r>
          </w:p>
        </w:tc>
        <w:tc>
          <w:tcPr>
            <w:tcW w:w="850" w:type="pct"/>
            <w:tcBorders>
              <w:tl2br w:val="nil"/>
              <w:tr2bl w:val="nil"/>
            </w:tcBorders>
            <w:vAlign w:val="center"/>
          </w:tcPr>
          <w:p w14:paraId="228B4A9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30-210</w:t>
            </w:r>
          </w:p>
        </w:tc>
        <w:tc>
          <w:tcPr>
            <w:tcW w:w="1224" w:type="pct"/>
            <w:tcBorders>
              <w:tl2br w:val="nil"/>
              <w:tr2bl w:val="nil"/>
            </w:tcBorders>
            <w:vAlign w:val="center"/>
          </w:tcPr>
          <w:p w14:paraId="526A4B7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春季(3,4,5月)</w:t>
            </w:r>
          </w:p>
        </w:tc>
        <w:tc>
          <w:tcPr>
            <w:tcW w:w="699" w:type="pct"/>
            <w:tcBorders>
              <w:tl2br w:val="nil"/>
              <w:tr2bl w:val="nil"/>
            </w:tcBorders>
            <w:vAlign w:val="center"/>
          </w:tcPr>
          <w:p w14:paraId="0BA2D06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0.12</w:t>
            </w:r>
          </w:p>
        </w:tc>
        <w:tc>
          <w:tcPr>
            <w:tcW w:w="595" w:type="pct"/>
            <w:tcBorders>
              <w:tl2br w:val="nil"/>
              <w:tr2bl w:val="nil"/>
            </w:tcBorders>
            <w:vAlign w:val="center"/>
          </w:tcPr>
          <w:p w14:paraId="2CBDB44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w:t>
            </w:r>
          </w:p>
        </w:tc>
        <w:tc>
          <w:tcPr>
            <w:tcW w:w="595" w:type="pct"/>
            <w:tcBorders>
              <w:tl2br w:val="nil"/>
              <w:tr2bl w:val="nil"/>
            </w:tcBorders>
            <w:vAlign w:val="center"/>
          </w:tcPr>
          <w:p w14:paraId="21C7637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503" w:type="pct"/>
            <w:vMerge w:val="continue"/>
            <w:tcBorders>
              <w:tl2br w:val="nil"/>
              <w:tr2bl w:val="nil"/>
            </w:tcBorders>
            <w:vAlign w:val="center"/>
          </w:tcPr>
          <w:p w14:paraId="32DFB11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r>
      <w:tr w14:paraId="70C7E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7E40156A">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w:t>
            </w:r>
          </w:p>
        </w:tc>
        <w:tc>
          <w:tcPr>
            <w:tcW w:w="850" w:type="pct"/>
            <w:tcBorders>
              <w:tl2br w:val="nil"/>
              <w:tr2bl w:val="nil"/>
            </w:tcBorders>
            <w:vAlign w:val="center"/>
          </w:tcPr>
          <w:p w14:paraId="6893C64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30-210</w:t>
            </w:r>
          </w:p>
        </w:tc>
        <w:tc>
          <w:tcPr>
            <w:tcW w:w="1224" w:type="pct"/>
            <w:tcBorders>
              <w:tl2br w:val="nil"/>
              <w:tr2bl w:val="nil"/>
            </w:tcBorders>
            <w:vAlign w:val="center"/>
          </w:tcPr>
          <w:p w14:paraId="191D244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夏季(6,7,8月)</w:t>
            </w:r>
          </w:p>
        </w:tc>
        <w:tc>
          <w:tcPr>
            <w:tcW w:w="699" w:type="pct"/>
            <w:tcBorders>
              <w:tl2br w:val="nil"/>
              <w:tr2bl w:val="nil"/>
            </w:tcBorders>
            <w:vAlign w:val="center"/>
          </w:tcPr>
          <w:p w14:paraId="1BFA06E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0.12</w:t>
            </w:r>
          </w:p>
        </w:tc>
        <w:tc>
          <w:tcPr>
            <w:tcW w:w="595" w:type="pct"/>
            <w:tcBorders>
              <w:tl2br w:val="nil"/>
              <w:tr2bl w:val="nil"/>
            </w:tcBorders>
            <w:vAlign w:val="center"/>
          </w:tcPr>
          <w:p w14:paraId="637AA1F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595" w:type="pct"/>
            <w:tcBorders>
              <w:tl2br w:val="nil"/>
              <w:tr2bl w:val="nil"/>
            </w:tcBorders>
            <w:vAlign w:val="center"/>
          </w:tcPr>
          <w:p w14:paraId="2AAF5873">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503" w:type="pct"/>
            <w:vMerge w:val="continue"/>
            <w:tcBorders>
              <w:tl2br w:val="nil"/>
              <w:tr2bl w:val="nil"/>
            </w:tcBorders>
            <w:vAlign w:val="center"/>
          </w:tcPr>
          <w:p w14:paraId="107EB29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r>
      <w:tr w14:paraId="59824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523EE40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4</w:t>
            </w:r>
          </w:p>
        </w:tc>
        <w:tc>
          <w:tcPr>
            <w:tcW w:w="850" w:type="pct"/>
            <w:tcBorders>
              <w:tl2br w:val="nil"/>
              <w:tr2bl w:val="nil"/>
            </w:tcBorders>
            <w:vAlign w:val="center"/>
          </w:tcPr>
          <w:p w14:paraId="72892CE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30-210</w:t>
            </w:r>
          </w:p>
        </w:tc>
        <w:tc>
          <w:tcPr>
            <w:tcW w:w="1224" w:type="pct"/>
            <w:tcBorders>
              <w:tl2br w:val="nil"/>
              <w:tr2bl w:val="nil"/>
            </w:tcBorders>
            <w:vAlign w:val="center"/>
          </w:tcPr>
          <w:p w14:paraId="3C6AE6AA">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秋季(9,10,11月)</w:t>
            </w:r>
          </w:p>
        </w:tc>
        <w:tc>
          <w:tcPr>
            <w:tcW w:w="699" w:type="pct"/>
            <w:tcBorders>
              <w:tl2br w:val="nil"/>
              <w:tr2bl w:val="nil"/>
            </w:tcBorders>
            <w:vAlign w:val="center"/>
          </w:tcPr>
          <w:p w14:paraId="3E04A7B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0.12</w:t>
            </w:r>
          </w:p>
        </w:tc>
        <w:tc>
          <w:tcPr>
            <w:tcW w:w="595" w:type="pct"/>
            <w:tcBorders>
              <w:tl2br w:val="nil"/>
              <w:tr2bl w:val="nil"/>
            </w:tcBorders>
            <w:vAlign w:val="center"/>
          </w:tcPr>
          <w:p w14:paraId="1C50C77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0.8</w:t>
            </w:r>
          </w:p>
        </w:tc>
        <w:tc>
          <w:tcPr>
            <w:tcW w:w="595" w:type="pct"/>
            <w:tcBorders>
              <w:tl2br w:val="nil"/>
              <w:tr2bl w:val="nil"/>
            </w:tcBorders>
            <w:vAlign w:val="center"/>
          </w:tcPr>
          <w:p w14:paraId="068663F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503" w:type="pct"/>
            <w:vMerge w:val="continue"/>
            <w:tcBorders>
              <w:tl2br w:val="nil"/>
              <w:tr2bl w:val="nil"/>
            </w:tcBorders>
            <w:vAlign w:val="center"/>
          </w:tcPr>
          <w:p w14:paraId="0050525C">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r>
      <w:tr w14:paraId="34D3F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716670D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5</w:t>
            </w:r>
          </w:p>
        </w:tc>
        <w:tc>
          <w:tcPr>
            <w:tcW w:w="850" w:type="pct"/>
            <w:tcBorders>
              <w:tl2br w:val="nil"/>
              <w:tr2bl w:val="nil"/>
            </w:tcBorders>
            <w:vAlign w:val="center"/>
          </w:tcPr>
          <w:p w14:paraId="2C870FF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210-30</w:t>
            </w:r>
          </w:p>
        </w:tc>
        <w:tc>
          <w:tcPr>
            <w:tcW w:w="1224" w:type="pct"/>
            <w:tcBorders>
              <w:tl2br w:val="nil"/>
              <w:tr2bl w:val="nil"/>
            </w:tcBorders>
            <w:vAlign w:val="center"/>
          </w:tcPr>
          <w:p w14:paraId="2309B2E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冬季(12,1,2月)</w:t>
            </w:r>
          </w:p>
        </w:tc>
        <w:tc>
          <w:tcPr>
            <w:tcW w:w="699" w:type="pct"/>
            <w:tcBorders>
              <w:tl2br w:val="nil"/>
              <w:tr2bl w:val="nil"/>
            </w:tcBorders>
            <w:vAlign w:val="center"/>
          </w:tcPr>
          <w:p w14:paraId="25B4AA4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0.35</w:t>
            </w:r>
          </w:p>
        </w:tc>
        <w:tc>
          <w:tcPr>
            <w:tcW w:w="595" w:type="pct"/>
            <w:tcBorders>
              <w:tl2br w:val="nil"/>
              <w:tr2bl w:val="nil"/>
            </w:tcBorders>
            <w:vAlign w:val="center"/>
          </w:tcPr>
          <w:p w14:paraId="14D3867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595" w:type="pct"/>
            <w:tcBorders>
              <w:tl2br w:val="nil"/>
              <w:tr2bl w:val="nil"/>
            </w:tcBorders>
            <w:vAlign w:val="center"/>
          </w:tcPr>
          <w:p w14:paraId="279CB68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03" w:type="pct"/>
            <w:vMerge w:val="restart"/>
            <w:tcBorders>
              <w:tl2br w:val="nil"/>
              <w:tr2bl w:val="nil"/>
            </w:tcBorders>
            <w:vAlign w:val="center"/>
          </w:tcPr>
          <w:p w14:paraId="363EAB2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城市</w:t>
            </w:r>
          </w:p>
        </w:tc>
      </w:tr>
      <w:tr w14:paraId="459DC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3B53D4A9">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6</w:t>
            </w:r>
          </w:p>
        </w:tc>
        <w:tc>
          <w:tcPr>
            <w:tcW w:w="850" w:type="pct"/>
            <w:tcBorders>
              <w:tl2br w:val="nil"/>
              <w:tr2bl w:val="nil"/>
            </w:tcBorders>
            <w:vAlign w:val="center"/>
          </w:tcPr>
          <w:p w14:paraId="7984A18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210-30</w:t>
            </w:r>
          </w:p>
        </w:tc>
        <w:tc>
          <w:tcPr>
            <w:tcW w:w="1224" w:type="pct"/>
            <w:tcBorders>
              <w:tl2br w:val="nil"/>
              <w:tr2bl w:val="nil"/>
            </w:tcBorders>
            <w:vAlign w:val="center"/>
          </w:tcPr>
          <w:p w14:paraId="0A3DF3A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春季(3,4,5月)</w:t>
            </w:r>
          </w:p>
        </w:tc>
        <w:tc>
          <w:tcPr>
            <w:tcW w:w="699" w:type="pct"/>
            <w:tcBorders>
              <w:tl2br w:val="nil"/>
              <w:tr2bl w:val="nil"/>
            </w:tcBorders>
            <w:vAlign w:val="center"/>
          </w:tcPr>
          <w:p w14:paraId="6DE9760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0.14</w:t>
            </w:r>
          </w:p>
        </w:tc>
        <w:tc>
          <w:tcPr>
            <w:tcW w:w="595" w:type="pct"/>
            <w:tcBorders>
              <w:tl2br w:val="nil"/>
              <w:tr2bl w:val="nil"/>
            </w:tcBorders>
            <w:vAlign w:val="center"/>
          </w:tcPr>
          <w:p w14:paraId="0439411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95" w:type="pct"/>
            <w:tcBorders>
              <w:tl2br w:val="nil"/>
              <w:tr2bl w:val="nil"/>
            </w:tcBorders>
            <w:vAlign w:val="center"/>
          </w:tcPr>
          <w:p w14:paraId="46A4F7B5">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03" w:type="pct"/>
            <w:vMerge w:val="continue"/>
            <w:tcBorders>
              <w:tl2br w:val="nil"/>
              <w:tr2bl w:val="nil"/>
            </w:tcBorders>
            <w:vAlign w:val="center"/>
          </w:tcPr>
          <w:p w14:paraId="0779D27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r>
      <w:tr w14:paraId="7C7C5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71AA72FD">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7</w:t>
            </w:r>
          </w:p>
        </w:tc>
        <w:tc>
          <w:tcPr>
            <w:tcW w:w="850" w:type="pct"/>
            <w:tcBorders>
              <w:tl2br w:val="nil"/>
              <w:tr2bl w:val="nil"/>
            </w:tcBorders>
            <w:vAlign w:val="center"/>
          </w:tcPr>
          <w:p w14:paraId="404FD65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210-30</w:t>
            </w:r>
          </w:p>
        </w:tc>
        <w:tc>
          <w:tcPr>
            <w:tcW w:w="1224" w:type="pct"/>
            <w:tcBorders>
              <w:tl2br w:val="nil"/>
              <w:tr2bl w:val="nil"/>
            </w:tcBorders>
            <w:vAlign w:val="center"/>
          </w:tcPr>
          <w:p w14:paraId="4F982770">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夏季(6,7,8月)</w:t>
            </w:r>
          </w:p>
        </w:tc>
        <w:tc>
          <w:tcPr>
            <w:tcW w:w="699" w:type="pct"/>
            <w:tcBorders>
              <w:tl2br w:val="nil"/>
              <w:tr2bl w:val="nil"/>
            </w:tcBorders>
            <w:vAlign w:val="center"/>
          </w:tcPr>
          <w:p w14:paraId="1DAD24C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0.16</w:t>
            </w:r>
          </w:p>
        </w:tc>
        <w:tc>
          <w:tcPr>
            <w:tcW w:w="595" w:type="pct"/>
            <w:tcBorders>
              <w:tl2br w:val="nil"/>
              <w:tr2bl w:val="nil"/>
            </w:tcBorders>
            <w:vAlign w:val="center"/>
          </w:tcPr>
          <w:p w14:paraId="4033B753">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595" w:type="pct"/>
            <w:tcBorders>
              <w:tl2br w:val="nil"/>
              <w:tr2bl w:val="nil"/>
            </w:tcBorders>
            <w:vAlign w:val="center"/>
          </w:tcPr>
          <w:p w14:paraId="6CD31345">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03" w:type="pct"/>
            <w:vMerge w:val="continue"/>
            <w:tcBorders>
              <w:tl2br w:val="nil"/>
              <w:tr2bl w:val="nil"/>
            </w:tcBorders>
            <w:vAlign w:val="center"/>
          </w:tcPr>
          <w:p w14:paraId="069D36E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r>
      <w:tr w14:paraId="616C0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tcBorders>
              <w:tl2br w:val="nil"/>
              <w:tr2bl w:val="nil"/>
            </w:tcBorders>
            <w:vAlign w:val="center"/>
          </w:tcPr>
          <w:p w14:paraId="273E901A">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8</w:t>
            </w:r>
          </w:p>
        </w:tc>
        <w:tc>
          <w:tcPr>
            <w:tcW w:w="850" w:type="pct"/>
            <w:tcBorders>
              <w:tl2br w:val="nil"/>
              <w:tr2bl w:val="nil"/>
            </w:tcBorders>
            <w:vAlign w:val="center"/>
          </w:tcPr>
          <w:p w14:paraId="7D41E62C">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210-30</w:t>
            </w:r>
          </w:p>
        </w:tc>
        <w:tc>
          <w:tcPr>
            <w:tcW w:w="1224" w:type="pct"/>
            <w:tcBorders>
              <w:tl2br w:val="nil"/>
              <w:tr2bl w:val="nil"/>
            </w:tcBorders>
            <w:vAlign w:val="center"/>
          </w:tcPr>
          <w:p w14:paraId="438D7E95">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秋季(9,10,11月)</w:t>
            </w:r>
          </w:p>
        </w:tc>
        <w:tc>
          <w:tcPr>
            <w:tcW w:w="699" w:type="pct"/>
            <w:tcBorders>
              <w:tl2br w:val="nil"/>
              <w:tr2bl w:val="nil"/>
            </w:tcBorders>
            <w:vAlign w:val="center"/>
          </w:tcPr>
          <w:p w14:paraId="7CC628F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0.18</w:t>
            </w:r>
          </w:p>
        </w:tc>
        <w:tc>
          <w:tcPr>
            <w:tcW w:w="595" w:type="pct"/>
            <w:tcBorders>
              <w:tl2br w:val="nil"/>
              <w:tr2bl w:val="nil"/>
            </w:tcBorders>
            <w:vAlign w:val="center"/>
          </w:tcPr>
          <w:p w14:paraId="3A0B901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595" w:type="pct"/>
            <w:tcBorders>
              <w:tl2br w:val="nil"/>
              <w:tr2bl w:val="nil"/>
            </w:tcBorders>
            <w:vAlign w:val="center"/>
          </w:tcPr>
          <w:p w14:paraId="3FDBE30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03" w:type="pct"/>
            <w:vMerge w:val="continue"/>
            <w:tcBorders>
              <w:tl2br w:val="nil"/>
              <w:tr2bl w:val="nil"/>
            </w:tcBorders>
            <w:vAlign w:val="center"/>
          </w:tcPr>
          <w:p w14:paraId="0D655C6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r>
      <w:bookmarkEnd w:id="426"/>
    </w:tbl>
    <w:p w14:paraId="570131FC">
      <w:pPr>
        <w:keepNext w:val="0"/>
        <w:keepLines w:val="0"/>
        <w:pageBreakBefore w:val="0"/>
        <w:widowControl w:val="0"/>
        <w:kinsoku/>
        <w:wordWrap/>
        <w:overflowPunct/>
        <w:topLinePunct w:val="0"/>
        <w:autoSpaceDE w:val="0"/>
        <w:autoSpaceDN w:val="0"/>
        <w:bidi w:val="0"/>
        <w:adjustRightInd w:val="0"/>
        <w:snapToGrid/>
        <w:spacing w:line="500" w:lineRule="exact"/>
        <w:ind w:firstLine="48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（8）预测与评价内容</w:t>
      </w:r>
    </w:p>
    <w:p w14:paraId="3648B204">
      <w:pPr>
        <w:keepNext w:val="0"/>
        <w:keepLines w:val="0"/>
        <w:pageBreakBefore w:val="0"/>
        <w:widowControl w:val="0"/>
        <w:kinsoku/>
        <w:wordWrap/>
        <w:overflowPunct/>
        <w:topLinePunct w:val="0"/>
        <w:autoSpaceDE w:val="0"/>
        <w:autoSpaceDN w:val="0"/>
        <w:bidi w:val="0"/>
        <w:adjustRightInd w:val="0"/>
        <w:snapToGrid/>
        <w:spacing w:line="500" w:lineRule="exact"/>
        <w:ind w:firstLine="480"/>
        <w:textAlignment w:val="bottom"/>
        <w:rPr>
          <w:rFonts w:ascii="Times New Roman" w:hAnsi="Times New Roman" w:eastAsia="宋体" w:cs="Times New Roman"/>
          <w:color w:val="auto"/>
          <w:kern w:val="0"/>
          <w:szCs w:val="20"/>
        </w:rPr>
      </w:pPr>
      <w:r>
        <w:rPr>
          <w:rFonts w:ascii="Times New Roman" w:hAnsi="Times New Roman" w:eastAsia="宋体" w:cs="Times New Roman"/>
          <w:color w:val="auto"/>
        </w:rPr>
        <w:t>根据《环境影响评价技术导则 大气环境》（HJ 2.2-2018）项目所在区域达标判断可知，</w:t>
      </w:r>
      <w:r>
        <w:rPr>
          <w:rFonts w:ascii="Times New Roman" w:hAnsi="Times New Roman" w:eastAsia="宋体" w:cs="Times New Roman"/>
          <w:color w:val="FF0000"/>
        </w:rPr>
        <w:t>本项目所在区域属于环境空气质量达标区域。因此，本项目预测环境空气保护目标和网格点主要污染物的短期浓度和长期浓度贡献值，评价其最大浓度占标率。</w:t>
      </w:r>
      <w:r>
        <w:rPr>
          <w:rFonts w:ascii="Times New Roman" w:hAnsi="Times New Roman" w:eastAsia="宋体" w:cs="Times New Roman"/>
          <w:color w:val="auto"/>
        </w:rPr>
        <w:t>预测评价叠加环境空气质量现状浓度后，环境空气保护目标和网格点主要污染物PM</w:t>
      </w:r>
      <w:r>
        <w:rPr>
          <w:rFonts w:ascii="Times New Roman" w:hAnsi="Times New Roman" w:eastAsia="宋体" w:cs="Times New Roman"/>
          <w:color w:val="auto"/>
          <w:vertAlign w:val="subscript"/>
        </w:rPr>
        <w:t>10</w:t>
      </w:r>
      <w:r>
        <w:rPr>
          <w:rFonts w:ascii="Times New Roman" w:hAnsi="Times New Roman" w:eastAsia="宋体" w:cs="Times New Roman"/>
          <w:color w:val="auto"/>
        </w:rPr>
        <w:t>、SO</w:t>
      </w:r>
      <w:r>
        <w:rPr>
          <w:rFonts w:ascii="Times New Roman" w:hAnsi="Times New Roman" w:eastAsia="宋体" w:cs="Times New Roman"/>
          <w:color w:val="auto"/>
          <w:vertAlign w:val="subscript"/>
        </w:rPr>
        <w:t>2</w:t>
      </w:r>
      <w:r>
        <w:rPr>
          <w:rFonts w:ascii="Times New Roman" w:hAnsi="Times New Roman" w:eastAsia="宋体" w:cs="Times New Roman"/>
          <w:color w:val="auto"/>
        </w:rPr>
        <w:t>、NO</w:t>
      </w:r>
      <w:r>
        <w:rPr>
          <w:rFonts w:ascii="Times New Roman" w:hAnsi="Times New Roman" w:eastAsia="宋体" w:cs="Times New Roman"/>
          <w:color w:val="auto"/>
          <w:vertAlign w:val="subscript"/>
        </w:rPr>
        <w:t>2</w:t>
      </w:r>
      <w:r>
        <w:rPr>
          <w:rFonts w:ascii="Times New Roman" w:hAnsi="Times New Roman" w:eastAsia="宋体" w:cs="Times New Roman"/>
          <w:color w:val="auto"/>
        </w:rPr>
        <w:t>、TSP的日平均质量浓度和年平均质量浓度的达标情况；</w:t>
      </w:r>
      <w:r>
        <w:rPr>
          <w:rFonts w:ascii="Times New Roman" w:hAnsi="Times New Roman" w:eastAsia="宋体" w:cs="Times New Roman"/>
          <w:color w:val="FF0000"/>
        </w:rPr>
        <w:t>本项目排放的主要污染物仅有短期浓度限值的，评价其短期浓度叠加后的达标情况。对于项目厂界浓度满足大气污染物厂界浓度限值，但厂界外大气污染物短期贡献浓度超过环境质量浓度限值的，可以自厂界向外设置一定范围的大气环境防护区域，以确保大气环境防护区域外的污染物贡献浓度满足环境质量标准。</w:t>
      </w:r>
      <w:r>
        <w:rPr>
          <w:rFonts w:ascii="Times New Roman" w:hAnsi="Times New Roman" w:eastAsia="宋体" w:cs="Times New Roman"/>
          <w:color w:val="auto"/>
        </w:rPr>
        <w:t>根据《环境影响评价技术导则 大气环境》（HJ2.2-2018）中“8.7预测与评价内容”</w:t>
      </w:r>
      <w:r>
        <w:rPr>
          <w:rFonts w:ascii="Times New Roman" w:hAnsi="Times New Roman" w:eastAsia="宋体" w:cs="Times New Roman"/>
          <w:color w:val="auto"/>
          <w:kern w:val="0"/>
          <w:szCs w:val="24"/>
        </w:rPr>
        <w:t>，本项目预测内容和评价要求见表6.2-</w:t>
      </w:r>
      <w:r>
        <w:rPr>
          <w:rFonts w:hint="eastAsia" w:ascii="Times New Roman" w:hAnsi="Times New Roman" w:eastAsia="宋体" w:cs="Times New Roman"/>
          <w:color w:val="auto"/>
          <w:kern w:val="0"/>
          <w:szCs w:val="24"/>
        </w:rPr>
        <w:t>9</w:t>
      </w:r>
      <w:r>
        <w:rPr>
          <w:rFonts w:ascii="Times New Roman" w:hAnsi="Times New Roman" w:eastAsia="宋体" w:cs="Times New Roman"/>
          <w:color w:val="auto"/>
          <w:kern w:val="0"/>
          <w:szCs w:val="24"/>
        </w:rPr>
        <w:t>。</w:t>
      </w:r>
    </w:p>
    <w:p w14:paraId="3B543393">
      <w:pPr>
        <w:autoSpaceDE w:val="0"/>
        <w:autoSpaceDN w:val="0"/>
        <w:adjustRightInd w:val="0"/>
        <w:spacing w:line="240" w:lineRule="auto"/>
        <w:ind w:firstLine="0" w:firstLineChars="0"/>
        <w:jc w:val="center"/>
        <w:textAlignment w:val="bottom"/>
        <w:rPr>
          <w:rFonts w:hint="default" w:ascii="Times New Roman" w:hAnsi="Times New Roman" w:eastAsia="宋体" w:cs="Times New Roman"/>
          <w:b/>
          <w:bCs/>
          <w:color w:val="auto"/>
          <w:kern w:val="2"/>
          <w:sz w:val="24"/>
          <w:szCs w:val="24"/>
          <w:lang w:val="en-US" w:eastAsia="zh-CN" w:bidi="ar-SA"/>
        </w:rPr>
      </w:pPr>
    </w:p>
    <w:p w14:paraId="4FF43ED6">
      <w:pPr>
        <w:autoSpaceDE w:val="0"/>
        <w:autoSpaceDN w:val="0"/>
        <w:adjustRightInd w:val="0"/>
        <w:spacing w:line="240" w:lineRule="auto"/>
        <w:ind w:firstLine="0" w:firstLineChars="0"/>
        <w:jc w:val="center"/>
        <w:textAlignment w:val="bottom"/>
        <w:rPr>
          <w:rFonts w:hint="default" w:ascii="Times New Roman" w:hAnsi="Times New Roman" w:eastAsia="宋体" w:cs="Times New Roman"/>
          <w:b/>
          <w:bCs/>
          <w:color w:val="auto"/>
          <w:kern w:val="2"/>
          <w:sz w:val="24"/>
          <w:szCs w:val="24"/>
          <w:lang w:val="en-US" w:eastAsia="zh-CN" w:bidi="ar-SA"/>
        </w:rPr>
      </w:pPr>
    </w:p>
    <w:p w14:paraId="038D6A29">
      <w:pPr>
        <w:autoSpaceDE w:val="0"/>
        <w:autoSpaceDN w:val="0"/>
        <w:adjustRightInd w:val="0"/>
        <w:spacing w:line="240" w:lineRule="auto"/>
        <w:ind w:firstLine="0" w:firstLineChars="0"/>
        <w:jc w:val="center"/>
        <w:textAlignment w:val="bottom"/>
        <w:rPr>
          <w:rFonts w:hint="default" w:ascii="Times New Roman" w:hAnsi="Times New Roman" w:eastAsia="宋体" w:cs="Times New Roman"/>
          <w:b/>
          <w:bCs/>
          <w:color w:val="auto"/>
          <w:kern w:val="2"/>
          <w:sz w:val="24"/>
          <w:szCs w:val="24"/>
          <w:lang w:val="en-US" w:eastAsia="zh-CN" w:bidi="ar-SA"/>
        </w:rPr>
      </w:pPr>
      <w:r>
        <w:rPr>
          <w:rFonts w:hint="default" w:ascii="Times New Roman" w:hAnsi="Times New Roman" w:eastAsia="宋体" w:cs="Times New Roman"/>
          <w:b/>
          <w:bCs/>
          <w:color w:val="auto"/>
          <w:kern w:val="2"/>
          <w:sz w:val="24"/>
          <w:szCs w:val="24"/>
          <w:lang w:val="en-US" w:eastAsia="zh-CN" w:bidi="ar-SA"/>
        </w:rPr>
        <w:t>表6.2-</w:t>
      </w:r>
      <w:r>
        <w:rPr>
          <w:rFonts w:hint="eastAsia" w:ascii="Times New Roman" w:hAnsi="Times New Roman" w:eastAsia="宋体" w:cs="Times New Roman"/>
          <w:b/>
          <w:bCs/>
          <w:color w:val="auto"/>
          <w:kern w:val="2"/>
          <w:sz w:val="24"/>
          <w:szCs w:val="24"/>
          <w:lang w:val="en-US" w:eastAsia="zh-CN" w:bidi="ar-SA"/>
        </w:rPr>
        <w:t>9</w:t>
      </w:r>
      <w:r>
        <w:rPr>
          <w:rFonts w:hint="default" w:ascii="Times New Roman" w:hAnsi="Times New Roman" w:eastAsia="宋体" w:cs="Times New Roman"/>
          <w:b/>
          <w:bCs/>
          <w:color w:val="auto"/>
          <w:kern w:val="2"/>
          <w:sz w:val="24"/>
          <w:szCs w:val="24"/>
          <w:lang w:val="en-US" w:eastAsia="zh-CN" w:bidi="ar-SA"/>
        </w:rPr>
        <w:t xml:space="preserve">  本项目预测内容和评价要求</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
        <w:gridCol w:w="1627"/>
        <w:gridCol w:w="1195"/>
        <w:gridCol w:w="1329"/>
        <w:gridCol w:w="2115"/>
        <w:gridCol w:w="1755"/>
      </w:tblGrid>
      <w:tr w14:paraId="3F42F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6" w:type="pct"/>
            <w:tcBorders>
              <w:tl2br w:val="nil"/>
              <w:tr2bl w:val="nil"/>
            </w:tcBorders>
            <w:vAlign w:val="center"/>
          </w:tcPr>
          <w:p w14:paraId="1143FA43">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w:t>
            </w:r>
          </w:p>
          <w:p w14:paraId="3F2EDFCF">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对象</w:t>
            </w:r>
          </w:p>
        </w:tc>
        <w:tc>
          <w:tcPr>
            <w:tcW w:w="919" w:type="pct"/>
            <w:tcBorders>
              <w:tl2br w:val="nil"/>
              <w:tr2bl w:val="nil"/>
            </w:tcBorders>
            <w:vAlign w:val="center"/>
          </w:tcPr>
          <w:p w14:paraId="0088DD9A">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w:t>
            </w:r>
          </w:p>
        </w:tc>
        <w:tc>
          <w:tcPr>
            <w:tcW w:w="675" w:type="pct"/>
            <w:tcBorders>
              <w:tl2br w:val="nil"/>
              <w:tr2bl w:val="nil"/>
            </w:tcBorders>
            <w:vAlign w:val="center"/>
          </w:tcPr>
          <w:p w14:paraId="4065DF99">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w:t>
            </w:r>
          </w:p>
          <w:p w14:paraId="5BDD59FD">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排放形式</w:t>
            </w:r>
          </w:p>
        </w:tc>
        <w:tc>
          <w:tcPr>
            <w:tcW w:w="751" w:type="pct"/>
            <w:tcBorders>
              <w:tl2br w:val="nil"/>
              <w:tr2bl w:val="nil"/>
            </w:tcBorders>
            <w:vAlign w:val="center"/>
          </w:tcPr>
          <w:p w14:paraId="6DA3AAD9">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预测内容</w:t>
            </w:r>
          </w:p>
        </w:tc>
        <w:tc>
          <w:tcPr>
            <w:tcW w:w="1195" w:type="pct"/>
            <w:tcBorders>
              <w:tl2br w:val="nil"/>
              <w:tr2bl w:val="nil"/>
            </w:tcBorders>
            <w:vAlign w:val="center"/>
          </w:tcPr>
          <w:p w14:paraId="03699299">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评价内容</w:t>
            </w:r>
          </w:p>
        </w:tc>
        <w:tc>
          <w:tcPr>
            <w:tcW w:w="991" w:type="pct"/>
            <w:tcBorders>
              <w:tl2br w:val="nil"/>
              <w:tr2bl w:val="nil"/>
            </w:tcBorders>
            <w:vAlign w:val="center"/>
          </w:tcPr>
          <w:p w14:paraId="1009191E">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预测因子</w:t>
            </w:r>
          </w:p>
        </w:tc>
      </w:tr>
      <w:tr w14:paraId="05F25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6" w:type="pct"/>
            <w:vMerge w:val="restart"/>
            <w:tcBorders>
              <w:tl2br w:val="nil"/>
              <w:tr2bl w:val="nil"/>
            </w:tcBorders>
            <w:vAlign w:val="center"/>
          </w:tcPr>
          <w:p w14:paraId="22CD6476">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达标区</w:t>
            </w:r>
          </w:p>
          <w:p w14:paraId="63FC0A3F">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评价项目</w:t>
            </w:r>
          </w:p>
        </w:tc>
        <w:tc>
          <w:tcPr>
            <w:tcW w:w="919" w:type="pct"/>
            <w:tcBorders>
              <w:tl2br w:val="nil"/>
              <w:tr2bl w:val="nil"/>
            </w:tcBorders>
            <w:vAlign w:val="center"/>
          </w:tcPr>
          <w:p w14:paraId="2F6443F6">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新增污染源</w:t>
            </w:r>
          </w:p>
        </w:tc>
        <w:tc>
          <w:tcPr>
            <w:tcW w:w="675" w:type="pct"/>
            <w:tcBorders>
              <w:tl2br w:val="nil"/>
              <w:tr2bl w:val="nil"/>
            </w:tcBorders>
            <w:vAlign w:val="center"/>
          </w:tcPr>
          <w:p w14:paraId="6949715B">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w:t>
            </w:r>
          </w:p>
        </w:tc>
        <w:tc>
          <w:tcPr>
            <w:tcW w:w="751" w:type="pct"/>
            <w:tcBorders>
              <w:tl2br w:val="nil"/>
              <w:tr2bl w:val="nil"/>
            </w:tcBorders>
            <w:vAlign w:val="center"/>
          </w:tcPr>
          <w:p w14:paraId="63572666">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短期浓度、</w:t>
            </w:r>
          </w:p>
          <w:p w14:paraId="6FB13392">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长期浓度</w:t>
            </w:r>
          </w:p>
        </w:tc>
        <w:tc>
          <w:tcPr>
            <w:tcW w:w="1195" w:type="pct"/>
            <w:tcBorders>
              <w:tl2br w:val="nil"/>
              <w:tr2bl w:val="nil"/>
            </w:tcBorders>
            <w:vAlign w:val="center"/>
          </w:tcPr>
          <w:p w14:paraId="63A514E3">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最大浓度占标率</w:t>
            </w:r>
          </w:p>
        </w:tc>
        <w:tc>
          <w:tcPr>
            <w:tcW w:w="991" w:type="pct"/>
            <w:tcBorders>
              <w:tl2br w:val="nil"/>
              <w:tr2bl w:val="nil"/>
            </w:tcBorders>
            <w:vAlign w:val="center"/>
          </w:tcPr>
          <w:p w14:paraId="42E9FE7A">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r>
              <w:rPr>
                <w:rFonts w:ascii="Times New Roman" w:hAnsi="Times New Roman" w:eastAsia="宋体" w:cs="Times New Roman"/>
                <w:iCs/>
                <w:color w:val="auto"/>
                <w:kern w:val="0"/>
                <w:sz w:val="21"/>
                <w:szCs w:val="21"/>
              </w:rPr>
              <w:t>、一次PM</w:t>
            </w:r>
            <w:r>
              <w:rPr>
                <w:rFonts w:ascii="Times New Roman" w:hAnsi="Times New Roman" w:eastAsia="宋体" w:cs="Times New Roman"/>
                <w:iCs/>
                <w:color w:val="auto"/>
                <w:kern w:val="0"/>
                <w:sz w:val="21"/>
                <w:szCs w:val="21"/>
                <w:vertAlign w:val="subscript"/>
              </w:rPr>
              <w:t>2.5</w:t>
            </w:r>
            <w:r>
              <w:rPr>
                <w:rFonts w:ascii="Times New Roman" w:hAnsi="Times New Roman" w:eastAsia="宋体" w:cs="Times New Roman"/>
                <w:iCs/>
                <w:color w:val="auto"/>
                <w:kern w:val="0"/>
                <w:sz w:val="21"/>
                <w:szCs w:val="21"/>
              </w:rPr>
              <w:t>、SO</w:t>
            </w:r>
            <w:r>
              <w:rPr>
                <w:rFonts w:ascii="Times New Roman" w:hAnsi="Times New Roman" w:eastAsia="宋体" w:cs="Times New Roman"/>
                <w:iCs/>
                <w:color w:val="auto"/>
                <w:kern w:val="0"/>
                <w:sz w:val="21"/>
                <w:szCs w:val="21"/>
                <w:vertAlign w:val="subscript"/>
              </w:rPr>
              <w:t>2</w:t>
            </w:r>
            <w:r>
              <w:rPr>
                <w:rFonts w:ascii="Times New Roman" w:hAnsi="Times New Roman" w:eastAsia="宋体" w:cs="Times New Roman"/>
                <w:iCs/>
                <w:color w:val="auto"/>
                <w:kern w:val="0"/>
                <w:sz w:val="21"/>
                <w:szCs w:val="21"/>
              </w:rPr>
              <w:t>、NO</w:t>
            </w:r>
            <w:r>
              <w:rPr>
                <w:rFonts w:ascii="Times New Roman" w:hAnsi="Times New Roman" w:eastAsia="宋体" w:cs="Times New Roman"/>
                <w:iCs/>
                <w:color w:val="auto"/>
                <w:kern w:val="0"/>
                <w:sz w:val="21"/>
                <w:szCs w:val="21"/>
                <w:vertAlign w:val="subscript"/>
              </w:rPr>
              <w:t>2</w:t>
            </w:r>
            <w:r>
              <w:rPr>
                <w:rFonts w:ascii="Times New Roman" w:hAnsi="Times New Roman" w:eastAsia="宋体" w:cs="Times New Roman"/>
                <w:iCs/>
                <w:color w:val="auto"/>
                <w:kern w:val="0"/>
                <w:sz w:val="21"/>
                <w:szCs w:val="21"/>
              </w:rPr>
              <w:t>、TSP、Hg</w:t>
            </w:r>
          </w:p>
        </w:tc>
      </w:tr>
      <w:tr w14:paraId="23446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6" w:type="pct"/>
            <w:vMerge w:val="continue"/>
            <w:tcBorders>
              <w:tl2br w:val="nil"/>
              <w:tr2bl w:val="nil"/>
            </w:tcBorders>
            <w:vAlign w:val="center"/>
          </w:tcPr>
          <w:p w14:paraId="2D9D9BEC">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p>
        </w:tc>
        <w:tc>
          <w:tcPr>
            <w:tcW w:w="919" w:type="pct"/>
            <w:tcBorders>
              <w:tl2br w:val="nil"/>
              <w:tr2bl w:val="nil"/>
            </w:tcBorders>
            <w:vAlign w:val="center"/>
          </w:tcPr>
          <w:p w14:paraId="6EC9D8C0">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新增污染源-</w:t>
            </w:r>
          </w:p>
          <w:p w14:paraId="6B06A79C">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区域削减源+其他在建、拟建污染源</w:t>
            </w:r>
          </w:p>
        </w:tc>
        <w:tc>
          <w:tcPr>
            <w:tcW w:w="675" w:type="pct"/>
            <w:tcBorders>
              <w:tl2br w:val="nil"/>
              <w:tr2bl w:val="nil"/>
            </w:tcBorders>
            <w:vAlign w:val="center"/>
          </w:tcPr>
          <w:p w14:paraId="57B7EDF4">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w:t>
            </w:r>
          </w:p>
        </w:tc>
        <w:tc>
          <w:tcPr>
            <w:tcW w:w="751" w:type="pct"/>
            <w:tcBorders>
              <w:tl2br w:val="nil"/>
              <w:tr2bl w:val="nil"/>
            </w:tcBorders>
            <w:vAlign w:val="center"/>
          </w:tcPr>
          <w:p w14:paraId="6F393745">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短期浓度、</w:t>
            </w:r>
          </w:p>
          <w:p w14:paraId="65A6463C">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长期浓度</w:t>
            </w:r>
          </w:p>
        </w:tc>
        <w:tc>
          <w:tcPr>
            <w:tcW w:w="1195" w:type="pct"/>
            <w:tcBorders>
              <w:tl2br w:val="nil"/>
              <w:tr2bl w:val="nil"/>
            </w:tcBorders>
            <w:vAlign w:val="center"/>
          </w:tcPr>
          <w:p w14:paraId="1F7ADF64">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sz w:val="21"/>
                <w:szCs w:val="21"/>
              </w:rPr>
              <w:t>叠加环境质量现状浓度后的保证率日平均质量浓度和年平均质量浓度的占标率</w:t>
            </w:r>
          </w:p>
        </w:tc>
        <w:tc>
          <w:tcPr>
            <w:tcW w:w="991" w:type="pct"/>
            <w:tcBorders>
              <w:tl2br w:val="nil"/>
              <w:tr2bl w:val="nil"/>
            </w:tcBorders>
            <w:vAlign w:val="center"/>
          </w:tcPr>
          <w:p w14:paraId="32A3DD13">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r>
              <w:rPr>
                <w:rFonts w:ascii="Times New Roman" w:hAnsi="Times New Roman" w:eastAsia="宋体" w:cs="Times New Roman"/>
                <w:iCs/>
                <w:color w:val="auto"/>
                <w:kern w:val="0"/>
                <w:sz w:val="21"/>
                <w:szCs w:val="21"/>
              </w:rPr>
              <w:t>、</w:t>
            </w:r>
            <w:r>
              <w:rPr>
                <w:rFonts w:hint="eastAsia" w:ascii="Times New Roman" w:hAnsi="Times New Roman" w:eastAsia="宋体" w:cs="Times New Roman"/>
                <w:iCs/>
                <w:color w:val="auto"/>
                <w:kern w:val="0"/>
                <w:sz w:val="21"/>
                <w:szCs w:val="21"/>
                <w:lang w:val="en-US" w:eastAsia="zh-CN"/>
              </w:rPr>
              <w:t>一次</w:t>
            </w: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2.5</w:t>
            </w:r>
            <w:r>
              <w:rPr>
                <w:rFonts w:ascii="Times New Roman" w:hAnsi="Times New Roman" w:eastAsia="宋体" w:cs="Times New Roman"/>
                <w:iCs/>
                <w:color w:val="auto"/>
                <w:kern w:val="0"/>
                <w:sz w:val="21"/>
                <w:szCs w:val="21"/>
              </w:rPr>
              <w:t>、SO</w:t>
            </w:r>
            <w:r>
              <w:rPr>
                <w:rFonts w:ascii="Times New Roman" w:hAnsi="Times New Roman" w:eastAsia="宋体" w:cs="Times New Roman"/>
                <w:iCs/>
                <w:color w:val="auto"/>
                <w:kern w:val="0"/>
                <w:sz w:val="21"/>
                <w:szCs w:val="21"/>
                <w:vertAlign w:val="subscript"/>
              </w:rPr>
              <w:t>2</w:t>
            </w:r>
            <w:r>
              <w:rPr>
                <w:rFonts w:ascii="Times New Roman" w:hAnsi="Times New Roman" w:eastAsia="宋体" w:cs="Times New Roman"/>
                <w:iCs/>
                <w:color w:val="auto"/>
                <w:kern w:val="0"/>
                <w:sz w:val="21"/>
                <w:szCs w:val="21"/>
              </w:rPr>
              <w:t>、NO</w:t>
            </w:r>
            <w:r>
              <w:rPr>
                <w:rFonts w:ascii="Times New Roman" w:hAnsi="Times New Roman" w:eastAsia="宋体" w:cs="Times New Roman"/>
                <w:iCs/>
                <w:color w:val="auto"/>
                <w:kern w:val="0"/>
                <w:sz w:val="21"/>
                <w:szCs w:val="21"/>
                <w:vertAlign w:val="subscript"/>
              </w:rPr>
              <w:t>2</w:t>
            </w:r>
            <w:r>
              <w:rPr>
                <w:rFonts w:ascii="Times New Roman" w:hAnsi="Times New Roman" w:eastAsia="宋体" w:cs="Times New Roman"/>
                <w:iCs/>
                <w:color w:val="auto"/>
                <w:kern w:val="0"/>
                <w:sz w:val="21"/>
                <w:szCs w:val="21"/>
              </w:rPr>
              <w:t>、TSP、Hg</w:t>
            </w:r>
          </w:p>
        </w:tc>
      </w:tr>
      <w:tr w14:paraId="3913C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6" w:type="pct"/>
            <w:vMerge w:val="continue"/>
            <w:tcBorders>
              <w:tl2br w:val="nil"/>
              <w:tr2bl w:val="nil"/>
            </w:tcBorders>
            <w:vAlign w:val="center"/>
          </w:tcPr>
          <w:p w14:paraId="32BE35FF">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p>
        </w:tc>
        <w:tc>
          <w:tcPr>
            <w:tcW w:w="919" w:type="pct"/>
            <w:tcBorders>
              <w:tl2br w:val="nil"/>
              <w:tr2bl w:val="nil"/>
            </w:tcBorders>
            <w:vAlign w:val="center"/>
          </w:tcPr>
          <w:p w14:paraId="29C7FBEC">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新增污染源</w:t>
            </w:r>
          </w:p>
        </w:tc>
        <w:tc>
          <w:tcPr>
            <w:tcW w:w="675" w:type="pct"/>
            <w:tcBorders>
              <w:tl2br w:val="nil"/>
              <w:tr2bl w:val="nil"/>
            </w:tcBorders>
            <w:vAlign w:val="center"/>
          </w:tcPr>
          <w:p w14:paraId="23A33A75">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非正常排放</w:t>
            </w:r>
          </w:p>
        </w:tc>
        <w:tc>
          <w:tcPr>
            <w:tcW w:w="751" w:type="pct"/>
            <w:tcBorders>
              <w:tl2br w:val="nil"/>
              <w:tr2bl w:val="nil"/>
            </w:tcBorders>
            <w:vAlign w:val="center"/>
          </w:tcPr>
          <w:p w14:paraId="67EF3168">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1h平均质量浓度</w:t>
            </w:r>
          </w:p>
        </w:tc>
        <w:tc>
          <w:tcPr>
            <w:tcW w:w="1195" w:type="pct"/>
            <w:tcBorders>
              <w:tl2br w:val="nil"/>
              <w:tr2bl w:val="nil"/>
            </w:tcBorders>
            <w:vAlign w:val="center"/>
          </w:tcPr>
          <w:p w14:paraId="434697CC">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最大浓度占标率</w:t>
            </w:r>
          </w:p>
        </w:tc>
        <w:tc>
          <w:tcPr>
            <w:tcW w:w="991" w:type="pct"/>
            <w:tcBorders>
              <w:tl2br w:val="nil"/>
              <w:tr2bl w:val="nil"/>
            </w:tcBorders>
            <w:vAlign w:val="center"/>
          </w:tcPr>
          <w:p w14:paraId="737AF909">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r>
              <w:rPr>
                <w:rFonts w:ascii="Times New Roman" w:hAnsi="Times New Roman" w:eastAsia="宋体" w:cs="Times New Roman"/>
                <w:iCs/>
                <w:color w:val="auto"/>
                <w:kern w:val="0"/>
                <w:sz w:val="21"/>
                <w:szCs w:val="21"/>
              </w:rPr>
              <w:t>、SO</w:t>
            </w:r>
            <w:r>
              <w:rPr>
                <w:rFonts w:ascii="Times New Roman" w:hAnsi="Times New Roman" w:eastAsia="宋体" w:cs="Times New Roman"/>
                <w:iCs/>
                <w:color w:val="auto"/>
                <w:kern w:val="0"/>
                <w:sz w:val="21"/>
                <w:szCs w:val="21"/>
                <w:vertAlign w:val="subscript"/>
              </w:rPr>
              <w:t>2</w:t>
            </w:r>
            <w:r>
              <w:rPr>
                <w:rFonts w:ascii="Times New Roman" w:hAnsi="Times New Roman" w:eastAsia="宋体" w:cs="Times New Roman"/>
                <w:iCs/>
                <w:color w:val="auto"/>
                <w:kern w:val="0"/>
                <w:sz w:val="21"/>
                <w:szCs w:val="21"/>
              </w:rPr>
              <w:t>、NO</w:t>
            </w:r>
            <w:r>
              <w:rPr>
                <w:rFonts w:ascii="Times New Roman" w:hAnsi="Times New Roman" w:eastAsia="宋体" w:cs="Times New Roman"/>
                <w:iCs/>
                <w:color w:val="auto"/>
                <w:kern w:val="0"/>
                <w:sz w:val="21"/>
                <w:szCs w:val="21"/>
                <w:vertAlign w:val="subscript"/>
              </w:rPr>
              <w:t>2</w:t>
            </w:r>
          </w:p>
        </w:tc>
      </w:tr>
      <w:tr w14:paraId="459C3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6" w:type="pct"/>
            <w:tcBorders>
              <w:tl2br w:val="nil"/>
              <w:tr2bl w:val="nil"/>
            </w:tcBorders>
            <w:vAlign w:val="center"/>
          </w:tcPr>
          <w:p w14:paraId="26D537F7">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大气环境防护距离</w:t>
            </w:r>
          </w:p>
        </w:tc>
        <w:tc>
          <w:tcPr>
            <w:tcW w:w="919" w:type="pct"/>
            <w:tcBorders>
              <w:tl2br w:val="nil"/>
              <w:tr2bl w:val="nil"/>
            </w:tcBorders>
            <w:vAlign w:val="center"/>
          </w:tcPr>
          <w:p w14:paraId="2EA1C4C0">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sz w:val="21"/>
                <w:szCs w:val="21"/>
              </w:rPr>
              <w:t>新增污染源+全厂现有污染源-区域削减源</w:t>
            </w:r>
          </w:p>
        </w:tc>
        <w:tc>
          <w:tcPr>
            <w:tcW w:w="675" w:type="pct"/>
            <w:tcBorders>
              <w:tl2br w:val="nil"/>
              <w:tr2bl w:val="nil"/>
            </w:tcBorders>
            <w:vAlign w:val="center"/>
          </w:tcPr>
          <w:p w14:paraId="00496192">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w:t>
            </w:r>
          </w:p>
        </w:tc>
        <w:tc>
          <w:tcPr>
            <w:tcW w:w="751" w:type="pct"/>
            <w:tcBorders>
              <w:tl2br w:val="nil"/>
              <w:tr2bl w:val="nil"/>
            </w:tcBorders>
            <w:vAlign w:val="center"/>
          </w:tcPr>
          <w:p w14:paraId="10991039">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sz w:val="21"/>
                <w:szCs w:val="21"/>
              </w:rPr>
              <w:t>短期浓度</w:t>
            </w:r>
          </w:p>
        </w:tc>
        <w:tc>
          <w:tcPr>
            <w:tcW w:w="1195" w:type="pct"/>
            <w:tcBorders>
              <w:tl2br w:val="nil"/>
              <w:tr2bl w:val="nil"/>
            </w:tcBorders>
            <w:vAlign w:val="center"/>
          </w:tcPr>
          <w:p w14:paraId="051D31C8">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大气环境防护距离</w:t>
            </w:r>
          </w:p>
        </w:tc>
        <w:tc>
          <w:tcPr>
            <w:tcW w:w="991" w:type="pct"/>
            <w:tcBorders>
              <w:tl2br w:val="nil"/>
              <w:tr2bl w:val="nil"/>
            </w:tcBorders>
            <w:vAlign w:val="center"/>
          </w:tcPr>
          <w:p w14:paraId="7D90DB4C">
            <w:pPr>
              <w:keepNext w:val="0"/>
              <w:keepLines w:val="0"/>
              <w:pageBreakBefore w:val="0"/>
              <w:widowControl w:val="0"/>
              <w:kinsoku/>
              <w:wordWrap/>
              <w:overflowPunct/>
              <w:topLinePunct w:val="0"/>
              <w:autoSpaceDE w:val="0"/>
              <w:autoSpaceDN w:val="0"/>
              <w:bidi w:val="0"/>
              <w:adjustRightInd w:val="0"/>
              <w:snapToGrid/>
              <w:spacing w:line="320" w:lineRule="exact"/>
              <w:ind w:firstLine="0" w:firstLineChars="0"/>
              <w:jc w:val="center"/>
              <w:textAlignment w:val="bottom"/>
              <w:rPr>
                <w:rFonts w:ascii="Times New Roman" w:hAnsi="Times New Roman" w:eastAsia="宋体" w:cs="Times New Roman"/>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r>
              <w:rPr>
                <w:rFonts w:ascii="Times New Roman" w:hAnsi="Times New Roman" w:eastAsia="宋体" w:cs="Times New Roman"/>
                <w:iCs/>
                <w:color w:val="auto"/>
                <w:kern w:val="0"/>
                <w:sz w:val="21"/>
                <w:szCs w:val="21"/>
              </w:rPr>
              <w:t>、一次PM</w:t>
            </w:r>
            <w:r>
              <w:rPr>
                <w:rFonts w:ascii="Times New Roman" w:hAnsi="Times New Roman" w:eastAsia="宋体" w:cs="Times New Roman"/>
                <w:iCs/>
                <w:color w:val="auto"/>
                <w:kern w:val="0"/>
                <w:sz w:val="21"/>
                <w:szCs w:val="21"/>
                <w:vertAlign w:val="subscript"/>
              </w:rPr>
              <w:t>2.5</w:t>
            </w:r>
            <w:r>
              <w:rPr>
                <w:rFonts w:ascii="Times New Roman" w:hAnsi="Times New Roman" w:eastAsia="宋体" w:cs="Times New Roman"/>
                <w:iCs/>
                <w:color w:val="auto"/>
                <w:kern w:val="0"/>
                <w:sz w:val="21"/>
                <w:szCs w:val="21"/>
              </w:rPr>
              <w:t>、SO</w:t>
            </w:r>
            <w:r>
              <w:rPr>
                <w:rFonts w:ascii="Times New Roman" w:hAnsi="Times New Roman" w:eastAsia="宋体" w:cs="Times New Roman"/>
                <w:iCs/>
                <w:color w:val="auto"/>
                <w:kern w:val="0"/>
                <w:sz w:val="21"/>
                <w:szCs w:val="21"/>
                <w:vertAlign w:val="subscript"/>
              </w:rPr>
              <w:t>2</w:t>
            </w:r>
            <w:r>
              <w:rPr>
                <w:rFonts w:ascii="Times New Roman" w:hAnsi="Times New Roman" w:eastAsia="宋体" w:cs="Times New Roman"/>
                <w:iCs/>
                <w:color w:val="auto"/>
                <w:kern w:val="0"/>
                <w:sz w:val="21"/>
                <w:szCs w:val="21"/>
              </w:rPr>
              <w:t>、NO</w:t>
            </w:r>
            <w:r>
              <w:rPr>
                <w:rFonts w:ascii="Times New Roman" w:hAnsi="Times New Roman" w:eastAsia="宋体" w:cs="Times New Roman"/>
                <w:iCs/>
                <w:color w:val="auto"/>
                <w:kern w:val="0"/>
                <w:sz w:val="21"/>
                <w:szCs w:val="21"/>
                <w:vertAlign w:val="subscript"/>
              </w:rPr>
              <w:t>2</w:t>
            </w:r>
            <w:r>
              <w:rPr>
                <w:rFonts w:ascii="Times New Roman" w:hAnsi="Times New Roman" w:eastAsia="宋体" w:cs="Times New Roman"/>
                <w:iCs/>
                <w:color w:val="auto"/>
                <w:kern w:val="0"/>
                <w:sz w:val="21"/>
                <w:szCs w:val="21"/>
              </w:rPr>
              <w:t>、TSP、Hg</w:t>
            </w:r>
          </w:p>
        </w:tc>
      </w:tr>
    </w:tbl>
    <w:p w14:paraId="5C285D18">
      <w:pPr>
        <w:keepNext w:val="0"/>
        <w:keepLines w:val="0"/>
        <w:pageBreakBefore w:val="0"/>
        <w:widowControl w:val="0"/>
        <w:kinsoku/>
        <w:wordWrap/>
        <w:overflowPunct/>
        <w:topLinePunct w:val="0"/>
        <w:autoSpaceDE w:val="0"/>
        <w:autoSpaceDN w:val="0"/>
        <w:bidi w:val="0"/>
        <w:adjustRightInd w:val="0"/>
        <w:snapToGrid/>
        <w:spacing w:line="500" w:lineRule="exact"/>
        <w:ind w:firstLine="48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（9）污染源计算清单</w:t>
      </w:r>
    </w:p>
    <w:p w14:paraId="38EE4C53">
      <w:pPr>
        <w:pStyle w:val="91"/>
        <w:keepNext w:val="0"/>
        <w:keepLines w:val="0"/>
        <w:pageBreakBefore w:val="0"/>
        <w:widowControl w:val="0"/>
        <w:tabs>
          <w:tab w:val="left" w:pos="567"/>
          <w:tab w:val="left" w:pos="4440"/>
        </w:tabs>
        <w:kinsoku/>
        <w:wordWrap/>
        <w:overflowPunct/>
        <w:topLinePunct w:val="0"/>
        <w:autoSpaceDE w:val="0"/>
        <w:autoSpaceDN w:val="0"/>
        <w:bidi w:val="0"/>
        <w:snapToGrid/>
        <w:spacing w:line="500" w:lineRule="exact"/>
        <w:ind w:firstLine="480" w:firstLineChars="200"/>
        <w:jc w:val="both"/>
        <w:textAlignment w:val="bottom"/>
        <w:rPr>
          <w:rFonts w:ascii="Times New Roman"/>
          <w:color w:val="auto"/>
          <w:szCs w:val="24"/>
        </w:rPr>
      </w:pPr>
      <w:r>
        <w:rPr>
          <w:rFonts w:ascii="Times New Roman"/>
          <w:color w:val="auto"/>
          <w:szCs w:val="24"/>
        </w:rPr>
        <w:t>①本项目新增污染源</w:t>
      </w:r>
    </w:p>
    <w:p w14:paraId="79E47EE5">
      <w:pPr>
        <w:keepNext w:val="0"/>
        <w:keepLines w:val="0"/>
        <w:pageBreakBefore w:val="0"/>
        <w:widowControl w:val="0"/>
        <w:kinsoku/>
        <w:wordWrap/>
        <w:overflowPunct/>
        <w:topLinePunct w:val="0"/>
        <w:bidi w:val="0"/>
        <w:snapToGrid/>
        <w:spacing w:line="500" w:lineRule="exact"/>
        <w:ind w:firstLine="480"/>
        <w:rPr>
          <w:rFonts w:ascii="Times New Roman" w:hAnsi="Times New Roman" w:eastAsia="宋体" w:cs="Times New Roman"/>
          <w:color w:val="auto"/>
          <w:szCs w:val="24"/>
        </w:rPr>
      </w:pPr>
      <w:r>
        <w:rPr>
          <w:rFonts w:ascii="Times New Roman" w:hAnsi="Times New Roman" w:eastAsia="宋体" w:cs="Times New Roman"/>
          <w:color w:val="auto"/>
          <w:kern w:val="0"/>
          <w:szCs w:val="24"/>
        </w:rPr>
        <w:t>本项目建成投产后点源为</w:t>
      </w:r>
      <w:r>
        <w:rPr>
          <w:rFonts w:hint="eastAsia" w:ascii="Times New Roman" w:hAnsi="Times New Roman" w:eastAsia="宋体" w:cs="Times New Roman"/>
          <w:color w:val="auto"/>
          <w:kern w:val="0"/>
          <w:szCs w:val="24"/>
          <w:lang w:eastAsia="zh-CN"/>
        </w:rPr>
        <w:t>2×42MW链条炉排热水锅炉</w:t>
      </w:r>
      <w:r>
        <w:rPr>
          <w:rFonts w:ascii="Times New Roman" w:hAnsi="Times New Roman" w:eastAsia="宋体" w:cs="Times New Roman"/>
          <w:iCs/>
          <w:color w:val="auto"/>
          <w:szCs w:val="24"/>
        </w:rPr>
        <w:t>1座</w:t>
      </w:r>
      <w:r>
        <w:rPr>
          <w:rFonts w:hint="eastAsia" w:ascii="Times New Roman" w:hAnsi="Times New Roman" w:eastAsia="宋体" w:cs="Times New Roman"/>
          <w:iCs/>
          <w:color w:val="auto"/>
          <w:szCs w:val="24"/>
          <w:lang w:val="en-US" w:eastAsia="zh-CN"/>
        </w:rPr>
        <w:t>100</w:t>
      </w:r>
      <w:r>
        <w:rPr>
          <w:rFonts w:ascii="Times New Roman" w:hAnsi="Times New Roman" w:eastAsia="宋体" w:cs="Times New Roman"/>
          <w:iCs/>
          <w:color w:val="auto"/>
          <w:szCs w:val="24"/>
        </w:rPr>
        <w:t>m高烟囱。</w:t>
      </w:r>
      <w:r>
        <w:rPr>
          <w:rFonts w:ascii="Times New Roman" w:hAnsi="Times New Roman" w:eastAsia="宋体" w:cs="Times New Roman"/>
          <w:color w:val="auto"/>
          <w:kern w:val="0"/>
          <w:szCs w:val="24"/>
        </w:rPr>
        <w:t>新增污染源面源为</w:t>
      </w:r>
      <w:r>
        <w:rPr>
          <w:rFonts w:hint="eastAsia" w:ascii="Times New Roman" w:hAnsi="Times New Roman" w:eastAsia="宋体" w:cs="Times New Roman"/>
          <w:iCs/>
          <w:color w:val="auto"/>
          <w:szCs w:val="24"/>
          <w:lang w:val="en-US" w:eastAsia="zh-CN"/>
        </w:rPr>
        <w:t>储煤库</w:t>
      </w:r>
      <w:r>
        <w:rPr>
          <w:rFonts w:ascii="Times New Roman" w:hAnsi="Times New Roman" w:eastAsia="宋体" w:cs="Times New Roman"/>
          <w:color w:val="auto"/>
          <w:kern w:val="0"/>
          <w:szCs w:val="24"/>
        </w:rPr>
        <w:t>。</w:t>
      </w:r>
      <w:r>
        <w:rPr>
          <w:rFonts w:ascii="Times New Roman" w:hAnsi="Times New Roman" w:eastAsia="宋体" w:cs="Times New Roman"/>
          <w:color w:val="auto"/>
          <w:szCs w:val="24"/>
        </w:rPr>
        <w:t>本次大气环境影响预测分析评价以项目厂址中心所在位置为环境空气预测评价的中心经纬度坐标。</w:t>
      </w:r>
    </w:p>
    <w:p w14:paraId="5AF689D0">
      <w:pPr>
        <w:keepNext w:val="0"/>
        <w:keepLines w:val="0"/>
        <w:pageBreakBefore w:val="0"/>
        <w:widowControl w:val="0"/>
        <w:kinsoku/>
        <w:wordWrap/>
        <w:overflowPunct/>
        <w:topLinePunct w:val="0"/>
        <w:bidi w:val="0"/>
        <w:snapToGrid/>
        <w:spacing w:line="500" w:lineRule="exact"/>
        <w:ind w:firstLine="480"/>
        <w:rPr>
          <w:rFonts w:ascii="Times New Roman" w:hAnsi="Times New Roman" w:eastAsia="宋体" w:cs="Times New Roman"/>
          <w:color w:val="auto"/>
          <w:szCs w:val="24"/>
        </w:rPr>
      </w:pPr>
      <w:r>
        <w:rPr>
          <w:rFonts w:ascii="Times New Roman" w:hAnsi="Times New Roman" w:eastAsia="宋体" w:cs="Times New Roman"/>
          <w:iCs/>
          <w:color w:val="auto"/>
          <w:kern w:val="0"/>
          <w:szCs w:val="24"/>
        </w:rPr>
        <w:t>本项目排放的废气污染物有烟尘、SO</w:t>
      </w:r>
      <w:r>
        <w:rPr>
          <w:rFonts w:ascii="Times New Roman" w:hAnsi="Times New Roman" w:eastAsia="宋体" w:cs="Times New Roman"/>
          <w:iCs/>
          <w:color w:val="auto"/>
          <w:kern w:val="0"/>
          <w:szCs w:val="24"/>
          <w:vertAlign w:val="subscript"/>
        </w:rPr>
        <w:t>2</w:t>
      </w:r>
      <w:r>
        <w:rPr>
          <w:rFonts w:ascii="Times New Roman" w:hAnsi="Times New Roman" w:eastAsia="宋体" w:cs="Times New Roman"/>
          <w:iCs/>
          <w:color w:val="auto"/>
          <w:kern w:val="0"/>
          <w:szCs w:val="24"/>
        </w:rPr>
        <w:t>、NO</w:t>
      </w:r>
      <w:r>
        <w:rPr>
          <w:rFonts w:ascii="Times New Roman" w:hAnsi="Times New Roman" w:eastAsia="宋体" w:cs="Times New Roman"/>
          <w:iCs/>
          <w:color w:val="auto"/>
          <w:kern w:val="0"/>
          <w:szCs w:val="24"/>
          <w:vertAlign w:val="subscript"/>
        </w:rPr>
        <w:t>x</w:t>
      </w:r>
      <w:r>
        <w:rPr>
          <w:rFonts w:ascii="Times New Roman" w:hAnsi="Times New Roman" w:eastAsia="宋体" w:cs="Times New Roman"/>
          <w:iCs/>
          <w:color w:val="auto"/>
          <w:kern w:val="0"/>
          <w:szCs w:val="24"/>
        </w:rPr>
        <w:t>，特征污染物有汞及其化合物、TSP。本次大气环境影响预测评价污染物烟尘以可吸入颗粒物（PM</w:t>
      </w:r>
      <w:r>
        <w:rPr>
          <w:rFonts w:ascii="Times New Roman" w:hAnsi="Times New Roman" w:eastAsia="宋体" w:cs="Times New Roman"/>
          <w:iCs/>
          <w:color w:val="auto"/>
          <w:kern w:val="0"/>
          <w:szCs w:val="24"/>
          <w:vertAlign w:val="subscript"/>
        </w:rPr>
        <w:t>10</w:t>
      </w:r>
      <w:r>
        <w:rPr>
          <w:rFonts w:ascii="Times New Roman" w:hAnsi="Times New Roman" w:eastAsia="宋体" w:cs="Times New Roman"/>
          <w:iCs/>
          <w:color w:val="auto"/>
          <w:kern w:val="0"/>
          <w:szCs w:val="24"/>
        </w:rPr>
        <w:t>）进行环境影响预测分析，PM</w:t>
      </w:r>
      <w:r>
        <w:rPr>
          <w:rFonts w:ascii="Times New Roman" w:hAnsi="Times New Roman" w:eastAsia="宋体" w:cs="Times New Roman"/>
          <w:iCs/>
          <w:color w:val="auto"/>
          <w:kern w:val="0"/>
          <w:szCs w:val="24"/>
          <w:vertAlign w:val="subscript"/>
        </w:rPr>
        <w:t>2.5</w:t>
      </w:r>
      <w:r>
        <w:rPr>
          <w:rFonts w:ascii="Times New Roman" w:hAnsi="Times New Roman" w:eastAsia="宋体" w:cs="Times New Roman"/>
          <w:iCs/>
          <w:color w:val="auto"/>
          <w:kern w:val="0"/>
          <w:szCs w:val="24"/>
        </w:rPr>
        <w:t>排放量</w:t>
      </w:r>
      <w:r>
        <w:rPr>
          <w:rFonts w:ascii="Times New Roman" w:hAnsi="Times New Roman" w:eastAsia="宋体" w:cs="Times New Roman"/>
          <w:color w:val="auto"/>
          <w:szCs w:val="24"/>
        </w:rPr>
        <w:t>以</w:t>
      </w:r>
      <w:r>
        <w:rPr>
          <w:rFonts w:hint="eastAsia" w:ascii="Times New Roman" w:hAnsi="Times New Roman" w:eastAsia="宋体" w:cs="Times New Roman"/>
          <w:color w:val="auto"/>
          <w:szCs w:val="24"/>
        </w:rPr>
        <w:t>颗粒物</w:t>
      </w:r>
      <w:r>
        <w:rPr>
          <w:rFonts w:ascii="Times New Roman" w:hAnsi="Times New Roman" w:eastAsia="宋体" w:cs="Times New Roman"/>
          <w:color w:val="auto"/>
          <w:szCs w:val="24"/>
        </w:rPr>
        <w:t>的65%进行计算。</w:t>
      </w:r>
    </w:p>
    <w:p w14:paraId="48C296C1">
      <w:pPr>
        <w:keepNext w:val="0"/>
        <w:keepLines w:val="0"/>
        <w:pageBreakBefore w:val="0"/>
        <w:widowControl w:val="0"/>
        <w:kinsoku/>
        <w:wordWrap/>
        <w:overflowPunct/>
        <w:topLinePunct w:val="0"/>
        <w:bidi w:val="0"/>
        <w:snapToGrid/>
        <w:spacing w:line="500" w:lineRule="exact"/>
        <w:ind w:firstLine="480"/>
        <w:rPr>
          <w:rFonts w:ascii="Times New Roman" w:hAnsi="Times New Roman" w:eastAsia="宋体" w:cs="Times New Roman"/>
          <w:color w:val="auto"/>
          <w:spacing w:val="20"/>
          <w:szCs w:val="24"/>
        </w:rPr>
        <w:sectPr>
          <w:headerReference r:id="rId15" w:type="default"/>
          <w:footerReference r:id="rId16" w:type="default"/>
          <w:pgSz w:w="12240" w:h="15840"/>
          <w:pgMar w:top="1440" w:right="1803" w:bottom="1440" w:left="1803" w:header="1191" w:footer="1191" w:gutter="0"/>
          <w:pgBorders>
            <w:top w:val="none" w:sz="0" w:space="0"/>
            <w:left w:val="none" w:sz="0" w:space="0"/>
            <w:bottom w:val="none" w:sz="0" w:space="0"/>
            <w:right w:val="none" w:sz="0" w:space="0"/>
          </w:pgBorders>
          <w:pgNumType w:fmt="decimal"/>
          <w:cols w:space="720" w:num="1"/>
        </w:sectPr>
      </w:pPr>
      <w:r>
        <w:rPr>
          <w:rFonts w:ascii="Times New Roman" w:hAnsi="Times New Roman" w:eastAsia="宋体" w:cs="Times New Roman"/>
          <w:color w:val="auto"/>
          <w:kern w:val="0"/>
          <w:szCs w:val="24"/>
        </w:rPr>
        <w:t>本项目新增主要污染源计算清单见表6.2-</w:t>
      </w:r>
      <w:r>
        <w:rPr>
          <w:rFonts w:hint="eastAsia" w:ascii="Times New Roman" w:hAnsi="Times New Roman" w:eastAsia="宋体" w:cs="Times New Roman"/>
          <w:color w:val="auto"/>
          <w:kern w:val="0"/>
          <w:szCs w:val="24"/>
        </w:rPr>
        <w:t>10</w:t>
      </w:r>
      <w:r>
        <w:rPr>
          <w:rFonts w:ascii="Times New Roman" w:hAnsi="Times New Roman" w:eastAsia="宋体" w:cs="Times New Roman"/>
          <w:color w:val="auto"/>
          <w:kern w:val="0"/>
          <w:szCs w:val="24"/>
        </w:rPr>
        <w:t>~表6.2-</w:t>
      </w:r>
      <w:r>
        <w:rPr>
          <w:rFonts w:hint="eastAsia" w:ascii="Times New Roman" w:hAnsi="Times New Roman" w:eastAsia="宋体" w:cs="Times New Roman"/>
          <w:color w:val="auto"/>
          <w:kern w:val="0"/>
          <w:szCs w:val="24"/>
        </w:rPr>
        <w:t>21</w:t>
      </w:r>
      <w:r>
        <w:rPr>
          <w:rFonts w:ascii="Times New Roman" w:hAnsi="Times New Roman" w:eastAsia="宋体" w:cs="Times New Roman"/>
          <w:color w:val="auto"/>
          <w:kern w:val="0"/>
          <w:szCs w:val="24"/>
        </w:rPr>
        <w:t>。</w:t>
      </w:r>
    </w:p>
    <w:p w14:paraId="6C89825E">
      <w:pPr>
        <w:pStyle w:val="91"/>
        <w:tabs>
          <w:tab w:val="left" w:pos="567"/>
          <w:tab w:val="left" w:pos="4440"/>
        </w:tabs>
        <w:autoSpaceDE w:val="0"/>
        <w:autoSpaceDN w:val="0"/>
        <w:spacing w:line="460" w:lineRule="exact"/>
        <w:jc w:val="center"/>
        <w:textAlignment w:val="bottom"/>
        <w:rPr>
          <w:rFonts w:ascii="Times New Roman"/>
          <w:color w:val="auto"/>
          <w:spacing w:val="20"/>
          <w:szCs w:val="24"/>
        </w:rPr>
      </w:pPr>
      <w:r>
        <w:rPr>
          <w:rFonts w:ascii="Times New Roman"/>
          <w:color w:val="auto"/>
          <w:spacing w:val="20"/>
          <w:szCs w:val="24"/>
        </w:rPr>
        <w:t>表6.2-</w:t>
      </w:r>
      <w:r>
        <w:rPr>
          <w:rFonts w:hint="eastAsia" w:ascii="Times New Roman"/>
          <w:color w:val="auto"/>
          <w:spacing w:val="20"/>
          <w:szCs w:val="24"/>
        </w:rPr>
        <w:t>10</w:t>
      </w:r>
      <w:r>
        <w:rPr>
          <w:rFonts w:ascii="Times New Roman"/>
          <w:color w:val="auto"/>
          <w:spacing w:val="20"/>
          <w:szCs w:val="24"/>
        </w:rPr>
        <w:t xml:space="preserve">  本项目</w:t>
      </w:r>
      <w:r>
        <w:rPr>
          <w:rFonts w:hint="eastAsia" w:ascii="Times New Roman"/>
          <w:color w:val="auto"/>
          <w:spacing w:val="20"/>
          <w:szCs w:val="24"/>
        </w:rPr>
        <w:t>建成后</w:t>
      </w:r>
      <w:r>
        <w:rPr>
          <w:rFonts w:ascii="Times New Roman"/>
          <w:color w:val="auto"/>
          <w:spacing w:val="20"/>
          <w:szCs w:val="24"/>
        </w:rPr>
        <w:t>主要污染物参数表（点源）</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9"/>
        <w:gridCol w:w="1416"/>
        <w:gridCol w:w="957"/>
        <w:gridCol w:w="804"/>
        <w:gridCol w:w="794"/>
        <w:gridCol w:w="891"/>
        <w:gridCol w:w="788"/>
        <w:gridCol w:w="736"/>
        <w:gridCol w:w="1110"/>
        <w:gridCol w:w="899"/>
        <w:gridCol w:w="812"/>
        <w:gridCol w:w="1039"/>
        <w:gridCol w:w="1432"/>
        <w:gridCol w:w="954"/>
      </w:tblGrid>
      <w:tr w14:paraId="251DD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restart"/>
            <w:tcBorders>
              <w:tl2br w:val="nil"/>
              <w:tr2bl w:val="nil"/>
            </w:tcBorders>
            <w:vAlign w:val="center"/>
          </w:tcPr>
          <w:p w14:paraId="6EFB4F3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编号</w:t>
            </w:r>
          </w:p>
        </w:tc>
        <w:tc>
          <w:tcPr>
            <w:tcW w:w="537" w:type="pct"/>
            <w:vMerge w:val="restart"/>
            <w:tcBorders>
              <w:tl2br w:val="nil"/>
              <w:tr2bl w:val="nil"/>
            </w:tcBorders>
            <w:vAlign w:val="center"/>
          </w:tcPr>
          <w:p w14:paraId="0C0BFB38">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工程内容</w:t>
            </w:r>
          </w:p>
        </w:tc>
        <w:tc>
          <w:tcPr>
            <w:tcW w:w="363" w:type="pct"/>
            <w:vMerge w:val="restart"/>
            <w:tcBorders>
              <w:tl2br w:val="nil"/>
              <w:tr2bl w:val="nil"/>
            </w:tcBorders>
            <w:vAlign w:val="center"/>
          </w:tcPr>
          <w:p w14:paraId="0E1418C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污染源名称</w:t>
            </w:r>
          </w:p>
        </w:tc>
        <w:tc>
          <w:tcPr>
            <w:tcW w:w="606" w:type="pct"/>
            <w:gridSpan w:val="2"/>
            <w:tcBorders>
              <w:tl2br w:val="nil"/>
              <w:tr2bl w:val="nil"/>
            </w:tcBorders>
            <w:vAlign w:val="center"/>
          </w:tcPr>
          <w:p w14:paraId="4E8B10B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排气筒底部中心坐标/m</w:t>
            </w:r>
          </w:p>
        </w:tc>
        <w:tc>
          <w:tcPr>
            <w:tcW w:w="338" w:type="pct"/>
            <w:vMerge w:val="restart"/>
            <w:tcBorders>
              <w:tl2br w:val="nil"/>
              <w:tr2bl w:val="nil"/>
            </w:tcBorders>
            <w:vAlign w:val="center"/>
          </w:tcPr>
          <w:p w14:paraId="1071F369">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排气筒底部海拔高度/m</w:t>
            </w:r>
          </w:p>
        </w:tc>
        <w:tc>
          <w:tcPr>
            <w:tcW w:w="299" w:type="pct"/>
            <w:vMerge w:val="restart"/>
            <w:tcBorders>
              <w:tl2br w:val="nil"/>
              <w:tr2bl w:val="nil"/>
            </w:tcBorders>
            <w:vAlign w:val="center"/>
          </w:tcPr>
          <w:p w14:paraId="6E5A5416">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排气筒高度/m</w:t>
            </w:r>
          </w:p>
        </w:tc>
        <w:tc>
          <w:tcPr>
            <w:tcW w:w="279" w:type="pct"/>
            <w:vMerge w:val="restart"/>
            <w:tcBorders>
              <w:tl2br w:val="nil"/>
              <w:tr2bl w:val="nil"/>
            </w:tcBorders>
            <w:vAlign w:val="center"/>
          </w:tcPr>
          <w:p w14:paraId="3CA9DA3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排气筒出口内径/m</w:t>
            </w:r>
          </w:p>
        </w:tc>
        <w:tc>
          <w:tcPr>
            <w:tcW w:w="421" w:type="pct"/>
            <w:vMerge w:val="restart"/>
            <w:tcBorders>
              <w:tl2br w:val="nil"/>
              <w:tr2bl w:val="nil"/>
            </w:tcBorders>
            <w:vAlign w:val="center"/>
          </w:tcPr>
          <w:p w14:paraId="2E786A4D">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烟气</w:t>
            </w:r>
          </w:p>
          <w:p w14:paraId="40A5F21F">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流量</w:t>
            </w:r>
          </w:p>
          <w:p w14:paraId="16C6D26F">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/m</w:t>
            </w:r>
            <w:r>
              <w:rPr>
                <w:rFonts w:ascii="Times New Roman" w:hAnsi="Times New Roman" w:eastAsia="宋体" w:cs="Times New Roman"/>
                <w:color w:val="auto"/>
                <w:kern w:val="0"/>
                <w:sz w:val="21"/>
                <w:szCs w:val="21"/>
                <w:vertAlign w:val="superscript"/>
              </w:rPr>
              <w:t>3</w:t>
            </w:r>
            <w:r>
              <w:rPr>
                <w:rFonts w:ascii="Times New Roman" w:hAnsi="Times New Roman" w:eastAsia="宋体" w:cs="Times New Roman"/>
                <w:color w:val="auto"/>
                <w:kern w:val="0"/>
                <w:sz w:val="21"/>
                <w:szCs w:val="21"/>
              </w:rPr>
              <w:t>/h</w:t>
            </w:r>
          </w:p>
        </w:tc>
        <w:tc>
          <w:tcPr>
            <w:tcW w:w="341" w:type="pct"/>
            <w:vMerge w:val="restart"/>
            <w:tcBorders>
              <w:tl2br w:val="nil"/>
              <w:tr2bl w:val="nil"/>
            </w:tcBorders>
            <w:vAlign w:val="center"/>
          </w:tcPr>
          <w:p w14:paraId="72A7BF26">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烟气出口温度/℃</w:t>
            </w:r>
          </w:p>
        </w:tc>
        <w:tc>
          <w:tcPr>
            <w:tcW w:w="308" w:type="pct"/>
            <w:vMerge w:val="restart"/>
            <w:tcBorders>
              <w:tl2br w:val="nil"/>
              <w:tr2bl w:val="nil"/>
            </w:tcBorders>
            <w:vAlign w:val="center"/>
          </w:tcPr>
          <w:p w14:paraId="1F82697C">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年排放小时数/h</w:t>
            </w:r>
          </w:p>
        </w:tc>
        <w:tc>
          <w:tcPr>
            <w:tcW w:w="394" w:type="pct"/>
            <w:vMerge w:val="restart"/>
            <w:tcBorders>
              <w:tl2br w:val="nil"/>
              <w:tr2bl w:val="nil"/>
            </w:tcBorders>
            <w:vAlign w:val="center"/>
          </w:tcPr>
          <w:p w14:paraId="527B62C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排放工况</w:t>
            </w:r>
          </w:p>
        </w:tc>
        <w:tc>
          <w:tcPr>
            <w:tcW w:w="905" w:type="pct"/>
            <w:gridSpan w:val="2"/>
            <w:vMerge w:val="restart"/>
            <w:tcBorders>
              <w:tl2br w:val="nil"/>
              <w:tr2bl w:val="nil"/>
            </w:tcBorders>
            <w:vAlign w:val="center"/>
          </w:tcPr>
          <w:p w14:paraId="17947657">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污染物排放速率/(kg/h)</w:t>
            </w:r>
          </w:p>
        </w:tc>
      </w:tr>
      <w:tr w14:paraId="79603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continue"/>
            <w:tcBorders>
              <w:tl2br w:val="nil"/>
              <w:tr2bl w:val="nil"/>
            </w:tcBorders>
            <w:vAlign w:val="center"/>
          </w:tcPr>
          <w:p w14:paraId="27C9FA5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37" w:type="pct"/>
            <w:vMerge w:val="continue"/>
            <w:tcBorders>
              <w:tl2br w:val="nil"/>
              <w:tr2bl w:val="nil"/>
            </w:tcBorders>
            <w:vAlign w:val="center"/>
          </w:tcPr>
          <w:p w14:paraId="65AF088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63" w:type="pct"/>
            <w:vMerge w:val="continue"/>
            <w:tcBorders>
              <w:tl2br w:val="nil"/>
              <w:tr2bl w:val="nil"/>
            </w:tcBorders>
            <w:vAlign w:val="center"/>
          </w:tcPr>
          <w:p w14:paraId="2C46B5B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5" w:type="pct"/>
            <w:tcBorders>
              <w:tl2br w:val="nil"/>
              <w:tr2bl w:val="nil"/>
            </w:tcBorders>
            <w:vAlign w:val="center"/>
          </w:tcPr>
          <w:p w14:paraId="4B18A443">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X</w:t>
            </w:r>
          </w:p>
        </w:tc>
        <w:tc>
          <w:tcPr>
            <w:tcW w:w="301" w:type="pct"/>
            <w:tcBorders>
              <w:tl2br w:val="nil"/>
              <w:tr2bl w:val="nil"/>
            </w:tcBorders>
            <w:vAlign w:val="center"/>
          </w:tcPr>
          <w:p w14:paraId="105F8C9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w:t>
            </w:r>
          </w:p>
        </w:tc>
        <w:tc>
          <w:tcPr>
            <w:tcW w:w="338" w:type="pct"/>
            <w:vMerge w:val="continue"/>
            <w:tcBorders>
              <w:tl2br w:val="nil"/>
              <w:tr2bl w:val="nil"/>
            </w:tcBorders>
            <w:vAlign w:val="center"/>
          </w:tcPr>
          <w:p w14:paraId="4C21334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99" w:type="pct"/>
            <w:vMerge w:val="continue"/>
            <w:tcBorders>
              <w:tl2br w:val="nil"/>
              <w:tr2bl w:val="nil"/>
            </w:tcBorders>
            <w:vAlign w:val="center"/>
          </w:tcPr>
          <w:p w14:paraId="5C27BAE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79" w:type="pct"/>
            <w:vMerge w:val="continue"/>
            <w:tcBorders>
              <w:tl2br w:val="nil"/>
              <w:tr2bl w:val="nil"/>
            </w:tcBorders>
            <w:vAlign w:val="center"/>
          </w:tcPr>
          <w:p w14:paraId="51190D4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421" w:type="pct"/>
            <w:vMerge w:val="continue"/>
            <w:tcBorders>
              <w:tl2br w:val="nil"/>
              <w:tr2bl w:val="nil"/>
            </w:tcBorders>
            <w:vAlign w:val="center"/>
          </w:tcPr>
          <w:p w14:paraId="69E8C1E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175782C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64C997E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94" w:type="pct"/>
            <w:vMerge w:val="continue"/>
            <w:tcBorders>
              <w:tl2br w:val="nil"/>
              <w:tr2bl w:val="nil"/>
            </w:tcBorders>
            <w:vAlign w:val="center"/>
          </w:tcPr>
          <w:p w14:paraId="6B6946A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905" w:type="pct"/>
            <w:gridSpan w:val="2"/>
            <w:vMerge w:val="continue"/>
            <w:tcBorders>
              <w:tl2br w:val="nil"/>
              <w:tr2bl w:val="nil"/>
            </w:tcBorders>
            <w:vAlign w:val="center"/>
          </w:tcPr>
          <w:p w14:paraId="2DFFEF7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r>
      <w:tr w14:paraId="3ECA3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restart"/>
            <w:tcBorders>
              <w:tl2br w:val="nil"/>
              <w:tr2bl w:val="nil"/>
            </w:tcBorders>
            <w:vAlign w:val="center"/>
          </w:tcPr>
          <w:p w14:paraId="34DCC3C9">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w:t>
            </w:r>
          </w:p>
        </w:tc>
        <w:tc>
          <w:tcPr>
            <w:tcW w:w="537" w:type="pct"/>
            <w:vMerge w:val="restart"/>
            <w:tcBorders>
              <w:tl2br w:val="nil"/>
              <w:tr2bl w:val="nil"/>
            </w:tcBorders>
            <w:vAlign w:val="center"/>
          </w:tcPr>
          <w:p w14:paraId="5F2C3A4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2×42MW热水锅炉</w:t>
            </w:r>
          </w:p>
        </w:tc>
        <w:tc>
          <w:tcPr>
            <w:tcW w:w="363" w:type="pct"/>
            <w:vMerge w:val="restart"/>
            <w:tcBorders>
              <w:tl2br w:val="nil"/>
              <w:tr2bl w:val="nil"/>
            </w:tcBorders>
            <w:vAlign w:val="center"/>
          </w:tcPr>
          <w:p w14:paraId="4DDE8E0F">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锅炉烟囱</w:t>
            </w:r>
          </w:p>
        </w:tc>
        <w:tc>
          <w:tcPr>
            <w:tcW w:w="305" w:type="pct"/>
            <w:vMerge w:val="restart"/>
            <w:tcBorders>
              <w:tl2br w:val="nil"/>
              <w:tr2bl w:val="nil"/>
            </w:tcBorders>
            <w:vAlign w:val="center"/>
          </w:tcPr>
          <w:p w14:paraId="000F912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174</w:t>
            </w:r>
          </w:p>
        </w:tc>
        <w:tc>
          <w:tcPr>
            <w:tcW w:w="301" w:type="pct"/>
            <w:vMerge w:val="restart"/>
            <w:tcBorders>
              <w:tl2br w:val="nil"/>
              <w:tr2bl w:val="nil"/>
            </w:tcBorders>
            <w:vAlign w:val="center"/>
          </w:tcPr>
          <w:p w14:paraId="39455DC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196</w:t>
            </w:r>
          </w:p>
        </w:tc>
        <w:tc>
          <w:tcPr>
            <w:tcW w:w="338" w:type="pct"/>
            <w:vMerge w:val="restart"/>
            <w:tcBorders>
              <w:tl2br w:val="nil"/>
              <w:tr2bl w:val="nil"/>
            </w:tcBorders>
            <w:vAlign w:val="center"/>
          </w:tcPr>
          <w:p w14:paraId="4C65B24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125</w:t>
            </w:r>
          </w:p>
        </w:tc>
        <w:tc>
          <w:tcPr>
            <w:tcW w:w="299" w:type="pct"/>
            <w:vMerge w:val="restart"/>
            <w:tcBorders>
              <w:tl2br w:val="nil"/>
              <w:tr2bl w:val="nil"/>
            </w:tcBorders>
            <w:vAlign w:val="center"/>
          </w:tcPr>
          <w:p w14:paraId="1C05B4F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100</w:t>
            </w:r>
          </w:p>
        </w:tc>
        <w:tc>
          <w:tcPr>
            <w:tcW w:w="279" w:type="pct"/>
            <w:vMerge w:val="restart"/>
            <w:tcBorders>
              <w:tl2br w:val="nil"/>
              <w:tr2bl w:val="nil"/>
            </w:tcBorders>
            <w:vAlign w:val="center"/>
          </w:tcPr>
          <w:p w14:paraId="2AD317F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3.2</w:t>
            </w:r>
          </w:p>
        </w:tc>
        <w:tc>
          <w:tcPr>
            <w:tcW w:w="421" w:type="pct"/>
            <w:vMerge w:val="restart"/>
            <w:tcBorders>
              <w:tl2br w:val="nil"/>
              <w:tr2bl w:val="nil"/>
            </w:tcBorders>
            <w:shd w:val="clear" w:color="auto" w:fill="auto"/>
            <w:vAlign w:val="center"/>
          </w:tcPr>
          <w:p w14:paraId="7FFCCEE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宋体" w:hAnsi="宋体" w:eastAsia="宋体" w:cs="宋体"/>
                <w:color w:val="auto"/>
                <w:sz w:val="22"/>
                <w:lang w:val="en-US" w:eastAsia="zh-CN"/>
              </w:rPr>
            </w:pPr>
            <w:r>
              <w:rPr>
                <w:rFonts w:hint="eastAsia" w:ascii="Times New Roman" w:hAnsi="Times New Roman" w:cs="Times New Roman"/>
                <w:color w:val="auto"/>
                <w:sz w:val="21"/>
                <w:szCs w:val="21"/>
                <w:highlight w:val="none"/>
                <w:lang w:val="en-US" w:eastAsia="zh-CN"/>
              </w:rPr>
              <w:t>107980.41</w:t>
            </w:r>
          </w:p>
        </w:tc>
        <w:tc>
          <w:tcPr>
            <w:tcW w:w="341" w:type="pct"/>
            <w:vMerge w:val="restart"/>
            <w:tcBorders>
              <w:tl2br w:val="nil"/>
              <w:tr2bl w:val="nil"/>
            </w:tcBorders>
            <w:vAlign w:val="center"/>
          </w:tcPr>
          <w:p w14:paraId="7363163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50</w:t>
            </w:r>
          </w:p>
        </w:tc>
        <w:tc>
          <w:tcPr>
            <w:tcW w:w="308" w:type="pct"/>
            <w:vMerge w:val="restart"/>
            <w:tcBorders>
              <w:tl2br w:val="nil"/>
              <w:tr2bl w:val="nil"/>
            </w:tcBorders>
            <w:vAlign w:val="center"/>
          </w:tcPr>
          <w:p w14:paraId="4DB9A94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2880</w:t>
            </w:r>
          </w:p>
        </w:tc>
        <w:tc>
          <w:tcPr>
            <w:tcW w:w="394" w:type="pct"/>
            <w:vMerge w:val="restart"/>
            <w:tcBorders>
              <w:tl2br w:val="nil"/>
              <w:tr2bl w:val="nil"/>
            </w:tcBorders>
            <w:vAlign w:val="center"/>
          </w:tcPr>
          <w:p w14:paraId="78488097">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w:t>
            </w:r>
          </w:p>
        </w:tc>
        <w:tc>
          <w:tcPr>
            <w:tcW w:w="543" w:type="pct"/>
            <w:tcBorders>
              <w:tl2br w:val="nil"/>
              <w:tr2bl w:val="nil"/>
            </w:tcBorders>
            <w:vAlign w:val="center"/>
          </w:tcPr>
          <w:p w14:paraId="1F21CFC3">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p>
        </w:tc>
        <w:tc>
          <w:tcPr>
            <w:tcW w:w="361" w:type="pct"/>
            <w:tcBorders>
              <w:tl2br w:val="nil"/>
              <w:tr2bl w:val="nil"/>
            </w:tcBorders>
            <w:vAlign w:val="center"/>
          </w:tcPr>
          <w:p w14:paraId="2401F30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sz w:val="21"/>
                <w:szCs w:val="21"/>
                <w:highlight w:val="none"/>
                <w:lang w:val="en-US" w:eastAsia="zh-CN"/>
              </w:rPr>
              <w:t>2.427</w:t>
            </w:r>
          </w:p>
        </w:tc>
      </w:tr>
      <w:tr w14:paraId="0DA71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continue"/>
            <w:tcBorders>
              <w:tl2br w:val="nil"/>
              <w:tr2bl w:val="nil"/>
            </w:tcBorders>
            <w:vAlign w:val="center"/>
          </w:tcPr>
          <w:p w14:paraId="69F792C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37" w:type="pct"/>
            <w:vMerge w:val="continue"/>
            <w:tcBorders>
              <w:tl2br w:val="nil"/>
              <w:tr2bl w:val="nil"/>
            </w:tcBorders>
            <w:vAlign w:val="center"/>
          </w:tcPr>
          <w:p w14:paraId="18A06D1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63" w:type="pct"/>
            <w:vMerge w:val="continue"/>
            <w:tcBorders>
              <w:tl2br w:val="nil"/>
              <w:tr2bl w:val="nil"/>
            </w:tcBorders>
            <w:vAlign w:val="center"/>
          </w:tcPr>
          <w:p w14:paraId="5663949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5" w:type="pct"/>
            <w:vMerge w:val="continue"/>
            <w:tcBorders>
              <w:tl2br w:val="nil"/>
              <w:tr2bl w:val="nil"/>
            </w:tcBorders>
            <w:vAlign w:val="center"/>
          </w:tcPr>
          <w:p w14:paraId="25D2411E">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5FBD1849">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38" w:type="pct"/>
            <w:vMerge w:val="continue"/>
            <w:tcBorders>
              <w:tl2br w:val="nil"/>
              <w:tr2bl w:val="nil"/>
            </w:tcBorders>
            <w:vAlign w:val="center"/>
          </w:tcPr>
          <w:p w14:paraId="7A8BF352">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99" w:type="pct"/>
            <w:vMerge w:val="continue"/>
            <w:tcBorders>
              <w:tl2br w:val="nil"/>
              <w:tr2bl w:val="nil"/>
            </w:tcBorders>
            <w:vAlign w:val="center"/>
          </w:tcPr>
          <w:p w14:paraId="4751DBA4">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79" w:type="pct"/>
            <w:vMerge w:val="continue"/>
            <w:tcBorders>
              <w:tl2br w:val="nil"/>
              <w:tr2bl w:val="nil"/>
            </w:tcBorders>
            <w:vAlign w:val="center"/>
          </w:tcPr>
          <w:p w14:paraId="7628A4B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421" w:type="pct"/>
            <w:vMerge w:val="continue"/>
            <w:tcBorders>
              <w:tl2br w:val="nil"/>
              <w:tr2bl w:val="nil"/>
            </w:tcBorders>
            <w:vAlign w:val="center"/>
          </w:tcPr>
          <w:p w14:paraId="0BE1454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2C0208F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36D7A936">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94" w:type="pct"/>
            <w:vMerge w:val="continue"/>
            <w:tcBorders>
              <w:tl2br w:val="nil"/>
              <w:tr2bl w:val="nil"/>
            </w:tcBorders>
            <w:vAlign w:val="center"/>
          </w:tcPr>
          <w:p w14:paraId="157067FD">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43" w:type="pct"/>
            <w:tcBorders>
              <w:tl2br w:val="nil"/>
              <w:tr2bl w:val="nil"/>
            </w:tcBorders>
            <w:vAlign w:val="center"/>
          </w:tcPr>
          <w:p w14:paraId="21E68486">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iCs/>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2.5</w:t>
            </w:r>
          </w:p>
        </w:tc>
        <w:tc>
          <w:tcPr>
            <w:tcW w:w="361" w:type="pct"/>
            <w:tcBorders>
              <w:tl2br w:val="nil"/>
              <w:tr2bl w:val="nil"/>
            </w:tcBorders>
            <w:vAlign w:val="center"/>
          </w:tcPr>
          <w:p w14:paraId="617B78F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1.578</w:t>
            </w:r>
          </w:p>
        </w:tc>
      </w:tr>
      <w:tr w14:paraId="38DDD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continue"/>
            <w:tcBorders>
              <w:tl2br w:val="nil"/>
              <w:tr2bl w:val="nil"/>
            </w:tcBorders>
            <w:vAlign w:val="center"/>
          </w:tcPr>
          <w:p w14:paraId="2703E94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37" w:type="pct"/>
            <w:vMerge w:val="continue"/>
            <w:tcBorders>
              <w:tl2br w:val="nil"/>
              <w:tr2bl w:val="nil"/>
            </w:tcBorders>
            <w:vAlign w:val="center"/>
          </w:tcPr>
          <w:p w14:paraId="49C2A8B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63" w:type="pct"/>
            <w:vMerge w:val="continue"/>
            <w:tcBorders>
              <w:tl2br w:val="nil"/>
              <w:tr2bl w:val="nil"/>
            </w:tcBorders>
            <w:vAlign w:val="center"/>
          </w:tcPr>
          <w:p w14:paraId="5BB5169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5" w:type="pct"/>
            <w:vMerge w:val="continue"/>
            <w:tcBorders>
              <w:tl2br w:val="nil"/>
              <w:tr2bl w:val="nil"/>
            </w:tcBorders>
            <w:vAlign w:val="center"/>
          </w:tcPr>
          <w:p w14:paraId="658552A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446CAA7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38" w:type="pct"/>
            <w:vMerge w:val="continue"/>
            <w:tcBorders>
              <w:tl2br w:val="nil"/>
              <w:tr2bl w:val="nil"/>
            </w:tcBorders>
            <w:vAlign w:val="center"/>
          </w:tcPr>
          <w:p w14:paraId="2E5F9CC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99" w:type="pct"/>
            <w:vMerge w:val="continue"/>
            <w:tcBorders>
              <w:tl2br w:val="nil"/>
              <w:tr2bl w:val="nil"/>
            </w:tcBorders>
            <w:vAlign w:val="center"/>
          </w:tcPr>
          <w:p w14:paraId="51D610C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79" w:type="pct"/>
            <w:vMerge w:val="continue"/>
            <w:tcBorders>
              <w:tl2br w:val="nil"/>
              <w:tr2bl w:val="nil"/>
            </w:tcBorders>
            <w:vAlign w:val="center"/>
          </w:tcPr>
          <w:p w14:paraId="5E81ACB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421" w:type="pct"/>
            <w:vMerge w:val="continue"/>
            <w:tcBorders>
              <w:tl2br w:val="nil"/>
              <w:tr2bl w:val="nil"/>
            </w:tcBorders>
            <w:vAlign w:val="center"/>
          </w:tcPr>
          <w:p w14:paraId="11629DB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1F0D2D1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58535847">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94" w:type="pct"/>
            <w:vMerge w:val="continue"/>
            <w:tcBorders>
              <w:tl2br w:val="nil"/>
              <w:tr2bl w:val="nil"/>
            </w:tcBorders>
            <w:vAlign w:val="center"/>
          </w:tcPr>
          <w:p w14:paraId="62D2866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43" w:type="pct"/>
            <w:tcBorders>
              <w:tl2br w:val="nil"/>
              <w:tr2bl w:val="nil"/>
            </w:tcBorders>
            <w:vAlign w:val="center"/>
          </w:tcPr>
          <w:p w14:paraId="3B72DB5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SO</w:t>
            </w:r>
            <w:r>
              <w:rPr>
                <w:rFonts w:ascii="Times New Roman" w:hAnsi="Times New Roman" w:eastAsia="宋体" w:cs="Times New Roman"/>
                <w:color w:val="auto"/>
                <w:kern w:val="0"/>
                <w:sz w:val="21"/>
                <w:szCs w:val="21"/>
                <w:vertAlign w:val="subscript"/>
              </w:rPr>
              <w:t>2</w:t>
            </w:r>
          </w:p>
        </w:tc>
        <w:tc>
          <w:tcPr>
            <w:tcW w:w="361" w:type="pct"/>
            <w:tcBorders>
              <w:tl2br w:val="nil"/>
              <w:tr2bl w:val="nil"/>
            </w:tcBorders>
            <w:vAlign w:val="center"/>
          </w:tcPr>
          <w:p w14:paraId="5682287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3.954</w:t>
            </w:r>
          </w:p>
        </w:tc>
      </w:tr>
      <w:tr w14:paraId="6426D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continue"/>
            <w:tcBorders>
              <w:tl2br w:val="nil"/>
              <w:tr2bl w:val="nil"/>
            </w:tcBorders>
            <w:vAlign w:val="center"/>
          </w:tcPr>
          <w:p w14:paraId="4917EE7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37" w:type="pct"/>
            <w:vMerge w:val="continue"/>
            <w:tcBorders>
              <w:tl2br w:val="nil"/>
              <w:tr2bl w:val="nil"/>
            </w:tcBorders>
            <w:vAlign w:val="center"/>
          </w:tcPr>
          <w:p w14:paraId="393C78D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63" w:type="pct"/>
            <w:vMerge w:val="continue"/>
            <w:tcBorders>
              <w:tl2br w:val="nil"/>
              <w:tr2bl w:val="nil"/>
            </w:tcBorders>
            <w:vAlign w:val="center"/>
          </w:tcPr>
          <w:p w14:paraId="696DBF5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5" w:type="pct"/>
            <w:vMerge w:val="continue"/>
            <w:tcBorders>
              <w:tl2br w:val="nil"/>
              <w:tr2bl w:val="nil"/>
            </w:tcBorders>
            <w:vAlign w:val="center"/>
          </w:tcPr>
          <w:p w14:paraId="6C852EF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4D4270A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38" w:type="pct"/>
            <w:vMerge w:val="continue"/>
            <w:tcBorders>
              <w:tl2br w:val="nil"/>
              <w:tr2bl w:val="nil"/>
            </w:tcBorders>
            <w:vAlign w:val="center"/>
          </w:tcPr>
          <w:p w14:paraId="6BC4210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99" w:type="pct"/>
            <w:vMerge w:val="continue"/>
            <w:tcBorders>
              <w:tl2br w:val="nil"/>
              <w:tr2bl w:val="nil"/>
            </w:tcBorders>
            <w:vAlign w:val="center"/>
          </w:tcPr>
          <w:p w14:paraId="030C427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79" w:type="pct"/>
            <w:vMerge w:val="continue"/>
            <w:tcBorders>
              <w:tl2br w:val="nil"/>
              <w:tr2bl w:val="nil"/>
            </w:tcBorders>
            <w:vAlign w:val="center"/>
          </w:tcPr>
          <w:p w14:paraId="69730FC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421" w:type="pct"/>
            <w:vMerge w:val="continue"/>
            <w:tcBorders>
              <w:tl2br w:val="nil"/>
              <w:tr2bl w:val="nil"/>
            </w:tcBorders>
            <w:vAlign w:val="center"/>
          </w:tcPr>
          <w:p w14:paraId="08B2A84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0CABA085">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3A06CFC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94" w:type="pct"/>
            <w:vMerge w:val="continue"/>
            <w:tcBorders>
              <w:tl2br w:val="nil"/>
              <w:tr2bl w:val="nil"/>
            </w:tcBorders>
            <w:vAlign w:val="center"/>
          </w:tcPr>
          <w:p w14:paraId="0132AED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43" w:type="pct"/>
            <w:tcBorders>
              <w:tl2br w:val="nil"/>
              <w:tr2bl w:val="nil"/>
            </w:tcBorders>
            <w:vAlign w:val="center"/>
          </w:tcPr>
          <w:p w14:paraId="1863DCF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NO</w:t>
            </w:r>
            <w:r>
              <w:rPr>
                <w:rFonts w:ascii="Times New Roman" w:hAnsi="Times New Roman" w:eastAsia="宋体" w:cs="Times New Roman"/>
                <w:color w:val="auto"/>
                <w:kern w:val="0"/>
                <w:sz w:val="21"/>
                <w:szCs w:val="21"/>
                <w:vertAlign w:val="subscript"/>
              </w:rPr>
              <w:t>x</w:t>
            </w:r>
          </w:p>
        </w:tc>
        <w:tc>
          <w:tcPr>
            <w:tcW w:w="361" w:type="pct"/>
            <w:tcBorders>
              <w:tl2br w:val="nil"/>
              <w:tr2bl w:val="nil"/>
            </w:tcBorders>
            <w:vAlign w:val="center"/>
          </w:tcPr>
          <w:p w14:paraId="746FDBE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18.897</w:t>
            </w:r>
          </w:p>
        </w:tc>
      </w:tr>
      <w:tr w14:paraId="493F3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continue"/>
            <w:tcBorders>
              <w:tl2br w:val="nil"/>
              <w:tr2bl w:val="nil"/>
            </w:tcBorders>
            <w:vAlign w:val="center"/>
          </w:tcPr>
          <w:p w14:paraId="092A2996">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37" w:type="pct"/>
            <w:vMerge w:val="continue"/>
            <w:tcBorders>
              <w:tl2br w:val="nil"/>
              <w:tr2bl w:val="nil"/>
            </w:tcBorders>
            <w:vAlign w:val="center"/>
          </w:tcPr>
          <w:p w14:paraId="26625BF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63" w:type="pct"/>
            <w:vMerge w:val="continue"/>
            <w:tcBorders>
              <w:tl2br w:val="nil"/>
              <w:tr2bl w:val="nil"/>
            </w:tcBorders>
            <w:vAlign w:val="center"/>
          </w:tcPr>
          <w:p w14:paraId="0D3BE57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5" w:type="pct"/>
            <w:vMerge w:val="continue"/>
            <w:tcBorders>
              <w:tl2br w:val="nil"/>
              <w:tr2bl w:val="nil"/>
            </w:tcBorders>
            <w:vAlign w:val="center"/>
          </w:tcPr>
          <w:p w14:paraId="1BA28DE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6203673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38" w:type="pct"/>
            <w:vMerge w:val="continue"/>
            <w:tcBorders>
              <w:tl2br w:val="nil"/>
              <w:tr2bl w:val="nil"/>
            </w:tcBorders>
            <w:vAlign w:val="center"/>
          </w:tcPr>
          <w:p w14:paraId="685C167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99" w:type="pct"/>
            <w:vMerge w:val="continue"/>
            <w:tcBorders>
              <w:tl2br w:val="nil"/>
              <w:tr2bl w:val="nil"/>
            </w:tcBorders>
            <w:vAlign w:val="center"/>
          </w:tcPr>
          <w:p w14:paraId="1BE37A2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79" w:type="pct"/>
            <w:vMerge w:val="continue"/>
            <w:tcBorders>
              <w:tl2br w:val="nil"/>
              <w:tr2bl w:val="nil"/>
            </w:tcBorders>
            <w:vAlign w:val="center"/>
          </w:tcPr>
          <w:p w14:paraId="1475201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421" w:type="pct"/>
            <w:vMerge w:val="continue"/>
            <w:tcBorders>
              <w:tl2br w:val="nil"/>
              <w:tr2bl w:val="nil"/>
            </w:tcBorders>
            <w:vAlign w:val="center"/>
          </w:tcPr>
          <w:p w14:paraId="7EF3B52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6176C3C5">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009B83E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94" w:type="pct"/>
            <w:vMerge w:val="continue"/>
            <w:tcBorders>
              <w:tl2br w:val="nil"/>
              <w:tr2bl w:val="nil"/>
            </w:tcBorders>
            <w:vAlign w:val="center"/>
          </w:tcPr>
          <w:p w14:paraId="2D40D73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43" w:type="pct"/>
            <w:tcBorders>
              <w:tl2br w:val="nil"/>
              <w:tr2bl w:val="nil"/>
            </w:tcBorders>
            <w:vAlign w:val="center"/>
          </w:tcPr>
          <w:p w14:paraId="0BA286A9">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汞及其化合物</w:t>
            </w:r>
          </w:p>
        </w:tc>
        <w:tc>
          <w:tcPr>
            <w:tcW w:w="361" w:type="pct"/>
            <w:tcBorders>
              <w:tl2br w:val="nil"/>
              <w:tr2bl w:val="nil"/>
            </w:tcBorders>
            <w:vAlign w:val="center"/>
          </w:tcPr>
          <w:p w14:paraId="47D0899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rPr>
            </w:pPr>
            <w:r>
              <w:rPr>
                <w:rFonts w:ascii="Times New Roman" w:hAnsi="Times New Roman" w:eastAsia="宋体" w:cs="Times New Roman"/>
                <w:bCs/>
                <w:color w:val="auto"/>
                <w:sz w:val="21"/>
                <w:szCs w:val="21"/>
              </w:rPr>
              <w:t>0.00</w:t>
            </w:r>
            <w:r>
              <w:rPr>
                <w:rFonts w:hint="eastAsia" w:ascii="Times New Roman" w:hAnsi="Times New Roman" w:eastAsia="宋体" w:cs="Times New Roman"/>
                <w:bCs/>
                <w:color w:val="auto"/>
                <w:sz w:val="21"/>
                <w:szCs w:val="21"/>
              </w:rPr>
              <w:t>0</w:t>
            </w:r>
            <w:r>
              <w:rPr>
                <w:rFonts w:hint="eastAsia" w:ascii="Times New Roman" w:hAnsi="Times New Roman" w:eastAsia="宋体" w:cs="Times New Roman"/>
                <w:bCs/>
                <w:color w:val="auto"/>
                <w:sz w:val="21"/>
                <w:szCs w:val="21"/>
                <w:lang w:val="en-US" w:eastAsia="zh-CN"/>
              </w:rPr>
              <w:t>48</w:t>
            </w:r>
          </w:p>
        </w:tc>
      </w:tr>
      <w:tr w14:paraId="12AA9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5" w:type="pct"/>
            <w:vMerge w:val="continue"/>
            <w:tcBorders>
              <w:tl2br w:val="nil"/>
              <w:tr2bl w:val="nil"/>
            </w:tcBorders>
            <w:vAlign w:val="center"/>
          </w:tcPr>
          <w:p w14:paraId="27FEDE7D">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537" w:type="pct"/>
            <w:vMerge w:val="continue"/>
            <w:tcBorders>
              <w:tl2br w:val="nil"/>
              <w:tr2bl w:val="nil"/>
            </w:tcBorders>
            <w:vAlign w:val="center"/>
          </w:tcPr>
          <w:p w14:paraId="7C5D883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63" w:type="pct"/>
            <w:vMerge w:val="continue"/>
            <w:tcBorders>
              <w:tl2br w:val="nil"/>
              <w:tr2bl w:val="nil"/>
            </w:tcBorders>
            <w:vAlign w:val="center"/>
          </w:tcPr>
          <w:p w14:paraId="0525FCB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5" w:type="pct"/>
            <w:vMerge w:val="continue"/>
            <w:tcBorders>
              <w:tl2br w:val="nil"/>
              <w:tr2bl w:val="nil"/>
            </w:tcBorders>
            <w:vAlign w:val="center"/>
          </w:tcPr>
          <w:p w14:paraId="10F6E24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1" w:type="pct"/>
            <w:vMerge w:val="continue"/>
            <w:tcBorders>
              <w:tl2br w:val="nil"/>
              <w:tr2bl w:val="nil"/>
            </w:tcBorders>
            <w:vAlign w:val="center"/>
          </w:tcPr>
          <w:p w14:paraId="6EB1C16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38" w:type="pct"/>
            <w:vMerge w:val="continue"/>
            <w:tcBorders>
              <w:tl2br w:val="nil"/>
              <w:tr2bl w:val="nil"/>
            </w:tcBorders>
            <w:vAlign w:val="center"/>
          </w:tcPr>
          <w:p w14:paraId="2140D84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99" w:type="pct"/>
            <w:vMerge w:val="continue"/>
            <w:tcBorders>
              <w:tl2br w:val="nil"/>
              <w:tr2bl w:val="nil"/>
            </w:tcBorders>
            <w:vAlign w:val="center"/>
          </w:tcPr>
          <w:p w14:paraId="3D1CF1B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279" w:type="pct"/>
            <w:vMerge w:val="continue"/>
            <w:tcBorders>
              <w:tl2br w:val="nil"/>
              <w:tr2bl w:val="nil"/>
            </w:tcBorders>
            <w:vAlign w:val="center"/>
          </w:tcPr>
          <w:p w14:paraId="54992E4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421" w:type="pct"/>
            <w:vMerge w:val="continue"/>
            <w:tcBorders>
              <w:tl2br w:val="nil"/>
              <w:tr2bl w:val="nil"/>
            </w:tcBorders>
            <w:vAlign w:val="center"/>
          </w:tcPr>
          <w:p w14:paraId="5FC6069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41" w:type="pct"/>
            <w:vMerge w:val="continue"/>
            <w:tcBorders>
              <w:tl2br w:val="nil"/>
              <w:tr2bl w:val="nil"/>
            </w:tcBorders>
            <w:vAlign w:val="center"/>
          </w:tcPr>
          <w:p w14:paraId="7A1927E4">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08" w:type="pct"/>
            <w:vMerge w:val="continue"/>
            <w:tcBorders>
              <w:tl2br w:val="nil"/>
              <w:tr2bl w:val="nil"/>
            </w:tcBorders>
            <w:vAlign w:val="center"/>
          </w:tcPr>
          <w:p w14:paraId="0C34B122">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394" w:type="pct"/>
            <w:vMerge w:val="continue"/>
            <w:tcBorders>
              <w:tl2br w:val="nil"/>
              <w:tr2bl w:val="nil"/>
            </w:tcBorders>
            <w:vAlign w:val="center"/>
          </w:tcPr>
          <w:p w14:paraId="214497F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p>
        </w:tc>
        <w:tc>
          <w:tcPr>
            <w:tcW w:w="1432" w:type="dxa"/>
            <w:tcBorders>
              <w:tl2br w:val="nil"/>
              <w:tr2bl w:val="nil"/>
            </w:tcBorders>
            <w:vAlign w:val="center"/>
          </w:tcPr>
          <w:p w14:paraId="36BBE3CD">
            <w:pPr>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FF0000"/>
                <w:kern w:val="0"/>
                <w:sz w:val="21"/>
                <w:szCs w:val="21"/>
                <w:lang w:val="en-US" w:eastAsia="zh-CN"/>
              </w:rPr>
              <w:t>NH</w:t>
            </w:r>
            <w:r>
              <w:rPr>
                <w:rFonts w:hint="eastAsia" w:ascii="Times New Roman" w:hAnsi="Times New Roman" w:eastAsia="宋体" w:cs="Times New Roman"/>
                <w:color w:val="FF0000"/>
                <w:kern w:val="0"/>
                <w:sz w:val="21"/>
                <w:szCs w:val="21"/>
                <w:vertAlign w:val="subscript"/>
                <w:lang w:val="en-US" w:eastAsia="zh-CN"/>
              </w:rPr>
              <w:t>3</w:t>
            </w:r>
          </w:p>
        </w:tc>
        <w:tc>
          <w:tcPr>
            <w:tcW w:w="954" w:type="dxa"/>
            <w:tcBorders>
              <w:tl2br w:val="nil"/>
              <w:tr2bl w:val="nil"/>
            </w:tcBorders>
            <w:vAlign w:val="center"/>
          </w:tcPr>
          <w:p w14:paraId="613F40CE">
            <w:pPr>
              <w:widowControl/>
              <w:spacing w:line="240" w:lineRule="auto"/>
              <w:ind w:firstLine="0" w:firstLineChars="0"/>
              <w:jc w:val="center"/>
              <w:textAlignment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FF0000"/>
                <w:sz w:val="21"/>
                <w:szCs w:val="21"/>
                <w:lang w:val="en-US" w:eastAsia="zh-CN"/>
              </w:rPr>
              <w:t>0.27</w:t>
            </w:r>
          </w:p>
        </w:tc>
      </w:tr>
    </w:tbl>
    <w:p w14:paraId="74325F6C">
      <w:pPr>
        <w:pStyle w:val="53"/>
        <w:spacing w:line="240" w:lineRule="auto"/>
        <w:ind w:firstLine="360"/>
        <w:textAlignment w:val="auto"/>
        <w:rPr>
          <w:rFonts w:ascii="Times New Roman" w:hAnsi="Times New Roman"/>
          <w:color w:val="auto"/>
          <w:sz w:val="18"/>
          <w:szCs w:val="18"/>
        </w:rPr>
      </w:pPr>
      <w:r>
        <w:rPr>
          <w:rFonts w:ascii="Times New Roman" w:hAnsi="Times New Roman"/>
          <w:color w:val="auto"/>
          <w:sz w:val="18"/>
          <w:szCs w:val="18"/>
        </w:rPr>
        <w:t>注：本次评价以本项目各项污染物的</w:t>
      </w:r>
      <w:r>
        <w:rPr>
          <w:rFonts w:hint="eastAsia" w:ascii="Times New Roman" w:hAnsi="Times New Roman"/>
          <w:color w:val="auto"/>
          <w:sz w:val="18"/>
          <w:szCs w:val="18"/>
        </w:rPr>
        <w:t>预测</w:t>
      </w:r>
      <w:r>
        <w:rPr>
          <w:rFonts w:ascii="Times New Roman" w:hAnsi="Times New Roman"/>
          <w:color w:val="auto"/>
          <w:sz w:val="18"/>
          <w:szCs w:val="18"/>
        </w:rPr>
        <w:t>排放量进行环境空气评价等级的计算，NO</w:t>
      </w:r>
      <w:r>
        <w:rPr>
          <w:rFonts w:ascii="Times New Roman" w:hAnsi="Times New Roman"/>
          <w:color w:val="auto"/>
          <w:sz w:val="18"/>
          <w:szCs w:val="18"/>
          <w:vertAlign w:val="subscript"/>
        </w:rPr>
        <w:t>2</w:t>
      </w:r>
      <w:r>
        <w:rPr>
          <w:rFonts w:ascii="Times New Roman" w:hAnsi="Times New Roman"/>
          <w:color w:val="auto"/>
          <w:sz w:val="18"/>
          <w:szCs w:val="18"/>
        </w:rPr>
        <w:t>=NOx×0.9，细颗粒物PM</w:t>
      </w:r>
      <w:r>
        <w:rPr>
          <w:rFonts w:ascii="Times New Roman" w:hAnsi="Times New Roman"/>
          <w:color w:val="auto"/>
          <w:sz w:val="18"/>
          <w:szCs w:val="18"/>
          <w:vertAlign w:val="subscript"/>
        </w:rPr>
        <w:t>2.5</w:t>
      </w:r>
      <w:r>
        <w:rPr>
          <w:rFonts w:ascii="Times New Roman" w:hAnsi="Times New Roman"/>
          <w:color w:val="auto"/>
          <w:sz w:val="18"/>
          <w:szCs w:val="18"/>
        </w:rPr>
        <w:t>的排放量以烟尘的65%计算。</w:t>
      </w:r>
    </w:p>
    <w:p w14:paraId="3617AB54">
      <w:pPr>
        <w:pStyle w:val="53"/>
        <w:spacing w:line="240" w:lineRule="auto"/>
        <w:ind w:firstLine="480"/>
        <w:jc w:val="center"/>
        <w:textAlignment w:val="auto"/>
        <w:rPr>
          <w:rFonts w:ascii="Times New Roman" w:hAnsi="Times New Roman"/>
          <w:color w:val="auto"/>
        </w:rPr>
      </w:pPr>
      <w:r>
        <w:rPr>
          <w:rFonts w:ascii="Times New Roman" w:hAnsi="Times New Roman"/>
          <w:color w:val="auto"/>
        </w:rPr>
        <w:t>表6.2-</w:t>
      </w:r>
      <w:r>
        <w:rPr>
          <w:rFonts w:hint="eastAsia" w:ascii="Times New Roman" w:hAnsi="Times New Roman"/>
          <w:color w:val="auto"/>
        </w:rPr>
        <w:t>11</w:t>
      </w:r>
      <w:r>
        <w:rPr>
          <w:rFonts w:ascii="Times New Roman" w:hAnsi="Times New Roman"/>
          <w:color w:val="auto"/>
        </w:rPr>
        <w:t xml:space="preserve"> </w:t>
      </w:r>
      <w:r>
        <w:rPr>
          <w:rFonts w:hint="eastAsia" w:ascii="Times New Roman" w:hAnsi="Times New Roman"/>
          <w:color w:val="auto"/>
          <w:lang w:val="en-US" w:eastAsia="zh-CN"/>
        </w:rPr>
        <w:t xml:space="preserve"> </w:t>
      </w:r>
      <w:r>
        <w:rPr>
          <w:rFonts w:ascii="Times New Roman" w:hAnsi="Times New Roman"/>
          <w:color w:val="auto"/>
        </w:rPr>
        <w:t>本项目</w:t>
      </w:r>
      <w:r>
        <w:rPr>
          <w:rFonts w:hint="eastAsia" w:ascii="Times New Roman" w:hAnsi="Times New Roman"/>
          <w:color w:val="auto"/>
        </w:rPr>
        <w:t>建成后</w:t>
      </w:r>
      <w:r>
        <w:rPr>
          <w:rFonts w:ascii="Times New Roman" w:hAnsi="Times New Roman"/>
          <w:color w:val="auto"/>
        </w:rPr>
        <w:t>主要污染物参数表（面源）</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0"/>
        <w:gridCol w:w="1487"/>
        <w:gridCol w:w="1149"/>
        <w:gridCol w:w="1057"/>
        <w:gridCol w:w="888"/>
        <w:gridCol w:w="1004"/>
        <w:gridCol w:w="994"/>
        <w:gridCol w:w="881"/>
        <w:gridCol w:w="736"/>
        <w:gridCol w:w="1832"/>
        <w:gridCol w:w="1173"/>
        <w:gridCol w:w="1530"/>
      </w:tblGrid>
      <w:tr w14:paraId="5AFF8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7" w:type="pct"/>
            <w:vMerge w:val="restart"/>
            <w:tcBorders>
              <w:tl2br w:val="nil"/>
              <w:tr2bl w:val="nil"/>
            </w:tcBorders>
            <w:vAlign w:val="center"/>
          </w:tcPr>
          <w:p w14:paraId="797677A1">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编号</w:t>
            </w:r>
          </w:p>
        </w:tc>
        <w:tc>
          <w:tcPr>
            <w:tcW w:w="564" w:type="pct"/>
            <w:vMerge w:val="restart"/>
            <w:tcBorders>
              <w:tl2br w:val="nil"/>
              <w:tr2bl w:val="nil"/>
            </w:tcBorders>
            <w:vAlign w:val="center"/>
          </w:tcPr>
          <w:p w14:paraId="4612C500">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名称</w:t>
            </w:r>
          </w:p>
        </w:tc>
        <w:tc>
          <w:tcPr>
            <w:tcW w:w="837" w:type="pct"/>
            <w:gridSpan w:val="2"/>
            <w:tcBorders>
              <w:tl2br w:val="nil"/>
              <w:tr2bl w:val="nil"/>
            </w:tcBorders>
            <w:vAlign w:val="center"/>
          </w:tcPr>
          <w:p w14:paraId="297E6EC0">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起点坐标/m</w:t>
            </w:r>
          </w:p>
        </w:tc>
        <w:tc>
          <w:tcPr>
            <w:tcW w:w="337" w:type="pct"/>
            <w:vMerge w:val="restart"/>
            <w:tcBorders>
              <w:tl2br w:val="nil"/>
              <w:tr2bl w:val="nil"/>
            </w:tcBorders>
            <w:vAlign w:val="center"/>
          </w:tcPr>
          <w:p w14:paraId="0E56D686">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海拔高度/m</w:t>
            </w:r>
          </w:p>
        </w:tc>
        <w:tc>
          <w:tcPr>
            <w:tcW w:w="381" w:type="pct"/>
            <w:vMerge w:val="restart"/>
            <w:tcBorders>
              <w:tl2br w:val="nil"/>
              <w:tr2bl w:val="nil"/>
            </w:tcBorders>
            <w:vAlign w:val="center"/>
          </w:tcPr>
          <w:p w14:paraId="79725973">
            <w:pPr>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面源</w:t>
            </w:r>
          </w:p>
          <w:p w14:paraId="76CB58A6">
            <w:pPr>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长度/m</w:t>
            </w:r>
          </w:p>
        </w:tc>
        <w:tc>
          <w:tcPr>
            <w:tcW w:w="377" w:type="pct"/>
            <w:vMerge w:val="restart"/>
            <w:tcBorders>
              <w:tl2br w:val="nil"/>
              <w:tr2bl w:val="nil"/>
            </w:tcBorders>
            <w:vAlign w:val="center"/>
          </w:tcPr>
          <w:p w14:paraId="0835380D">
            <w:pPr>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面源</w:t>
            </w:r>
          </w:p>
          <w:p w14:paraId="4EC18780">
            <w:pPr>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宽度/m</w:t>
            </w:r>
          </w:p>
        </w:tc>
        <w:tc>
          <w:tcPr>
            <w:tcW w:w="334" w:type="pct"/>
            <w:vMerge w:val="restart"/>
            <w:tcBorders>
              <w:tl2br w:val="nil"/>
              <w:tr2bl w:val="nil"/>
            </w:tcBorders>
            <w:vAlign w:val="center"/>
          </w:tcPr>
          <w:p w14:paraId="75AB726B">
            <w:pPr>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面源</w:t>
            </w:r>
          </w:p>
          <w:p w14:paraId="55F68179">
            <w:pPr>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高度/m</w:t>
            </w:r>
          </w:p>
        </w:tc>
        <w:tc>
          <w:tcPr>
            <w:tcW w:w="279" w:type="pct"/>
            <w:vMerge w:val="restart"/>
            <w:tcBorders>
              <w:tl2br w:val="nil"/>
              <w:tr2bl w:val="nil"/>
            </w:tcBorders>
            <w:vAlign w:val="center"/>
          </w:tcPr>
          <w:p w14:paraId="29FA55A5">
            <w:pPr>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角度</w:t>
            </w:r>
          </w:p>
        </w:tc>
        <w:tc>
          <w:tcPr>
            <w:tcW w:w="695" w:type="pct"/>
            <w:vMerge w:val="restart"/>
            <w:tcBorders>
              <w:tl2br w:val="nil"/>
              <w:tr2bl w:val="nil"/>
            </w:tcBorders>
            <w:vAlign w:val="center"/>
          </w:tcPr>
          <w:p w14:paraId="13DD7224">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年排放小时数/h</w:t>
            </w:r>
          </w:p>
        </w:tc>
        <w:tc>
          <w:tcPr>
            <w:tcW w:w="445" w:type="pct"/>
            <w:vMerge w:val="restart"/>
            <w:tcBorders>
              <w:tl2br w:val="nil"/>
              <w:tr2bl w:val="nil"/>
            </w:tcBorders>
            <w:vAlign w:val="center"/>
          </w:tcPr>
          <w:p w14:paraId="7793D772">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排放工况</w:t>
            </w:r>
          </w:p>
        </w:tc>
        <w:tc>
          <w:tcPr>
            <w:tcW w:w="580" w:type="pct"/>
            <w:vMerge w:val="restart"/>
            <w:tcBorders>
              <w:tl2br w:val="nil"/>
              <w:tr2bl w:val="nil"/>
            </w:tcBorders>
            <w:vAlign w:val="center"/>
          </w:tcPr>
          <w:p w14:paraId="51DA3EDD">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TSP排放速率（</w:t>
            </w:r>
            <w:r>
              <w:rPr>
                <w:rFonts w:hint="eastAsia" w:ascii="Times New Roman" w:hAnsi="Times New Roman"/>
                <w:color w:val="auto"/>
                <w:sz w:val="21"/>
                <w:szCs w:val="21"/>
              </w:rPr>
              <w:t>kg/h</w:t>
            </w:r>
            <w:r>
              <w:rPr>
                <w:rFonts w:ascii="Times New Roman" w:hAnsi="Times New Roman"/>
                <w:color w:val="auto"/>
                <w:sz w:val="21"/>
                <w:szCs w:val="21"/>
              </w:rPr>
              <w:t>）</w:t>
            </w:r>
          </w:p>
        </w:tc>
      </w:tr>
      <w:tr w14:paraId="0361B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7" w:type="pct"/>
            <w:vMerge w:val="continue"/>
            <w:tcBorders>
              <w:tl2br w:val="nil"/>
              <w:tr2bl w:val="nil"/>
            </w:tcBorders>
            <w:vAlign w:val="center"/>
          </w:tcPr>
          <w:p w14:paraId="2735B60D">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564" w:type="pct"/>
            <w:vMerge w:val="continue"/>
            <w:tcBorders>
              <w:tl2br w:val="nil"/>
              <w:tr2bl w:val="nil"/>
            </w:tcBorders>
            <w:vAlign w:val="center"/>
          </w:tcPr>
          <w:p w14:paraId="61B73B74">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436" w:type="pct"/>
            <w:tcBorders>
              <w:tl2br w:val="nil"/>
              <w:tr2bl w:val="nil"/>
            </w:tcBorders>
            <w:vAlign w:val="center"/>
          </w:tcPr>
          <w:p w14:paraId="24E1B4DD">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X</w:t>
            </w:r>
          </w:p>
        </w:tc>
        <w:tc>
          <w:tcPr>
            <w:tcW w:w="401" w:type="pct"/>
            <w:tcBorders>
              <w:tl2br w:val="nil"/>
              <w:tr2bl w:val="nil"/>
            </w:tcBorders>
            <w:vAlign w:val="center"/>
          </w:tcPr>
          <w:p w14:paraId="5C8055F9">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ascii="Times New Roman" w:hAnsi="Times New Roman"/>
                <w:color w:val="auto"/>
                <w:sz w:val="21"/>
                <w:szCs w:val="21"/>
              </w:rPr>
              <w:t>Y</w:t>
            </w:r>
          </w:p>
        </w:tc>
        <w:tc>
          <w:tcPr>
            <w:tcW w:w="337" w:type="pct"/>
            <w:vMerge w:val="continue"/>
            <w:tcBorders>
              <w:tl2br w:val="nil"/>
              <w:tr2bl w:val="nil"/>
            </w:tcBorders>
            <w:vAlign w:val="center"/>
          </w:tcPr>
          <w:p w14:paraId="3B141500">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381" w:type="pct"/>
            <w:vMerge w:val="continue"/>
            <w:tcBorders>
              <w:tl2br w:val="nil"/>
              <w:tr2bl w:val="nil"/>
            </w:tcBorders>
            <w:vAlign w:val="center"/>
          </w:tcPr>
          <w:p w14:paraId="48200E57">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377" w:type="pct"/>
            <w:vMerge w:val="continue"/>
            <w:tcBorders>
              <w:tl2br w:val="nil"/>
              <w:tr2bl w:val="nil"/>
            </w:tcBorders>
            <w:vAlign w:val="center"/>
          </w:tcPr>
          <w:p w14:paraId="3A2ECFF3">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334" w:type="pct"/>
            <w:vMerge w:val="continue"/>
            <w:tcBorders>
              <w:tl2br w:val="nil"/>
              <w:tr2bl w:val="nil"/>
            </w:tcBorders>
            <w:vAlign w:val="center"/>
          </w:tcPr>
          <w:p w14:paraId="0F101770">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279" w:type="pct"/>
            <w:vMerge w:val="continue"/>
            <w:tcBorders>
              <w:tl2br w:val="nil"/>
              <w:tr2bl w:val="nil"/>
            </w:tcBorders>
            <w:vAlign w:val="center"/>
          </w:tcPr>
          <w:p w14:paraId="33CA1A5D">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695" w:type="pct"/>
            <w:vMerge w:val="continue"/>
            <w:tcBorders>
              <w:tl2br w:val="nil"/>
              <w:tr2bl w:val="nil"/>
            </w:tcBorders>
            <w:vAlign w:val="center"/>
          </w:tcPr>
          <w:p w14:paraId="1C1B1727">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445" w:type="pct"/>
            <w:vMerge w:val="continue"/>
            <w:tcBorders>
              <w:tl2br w:val="nil"/>
              <w:tr2bl w:val="nil"/>
            </w:tcBorders>
            <w:vAlign w:val="center"/>
          </w:tcPr>
          <w:p w14:paraId="7283F589">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c>
          <w:tcPr>
            <w:tcW w:w="580" w:type="pct"/>
            <w:vMerge w:val="continue"/>
            <w:tcBorders>
              <w:tl2br w:val="nil"/>
              <w:tr2bl w:val="nil"/>
            </w:tcBorders>
            <w:vAlign w:val="center"/>
          </w:tcPr>
          <w:p w14:paraId="4FA3754E">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p>
        </w:tc>
      </w:tr>
      <w:tr w14:paraId="26B06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7" w:type="pct"/>
            <w:tcBorders>
              <w:tl2br w:val="nil"/>
              <w:tr2bl w:val="nil"/>
            </w:tcBorders>
            <w:vAlign w:val="center"/>
          </w:tcPr>
          <w:p w14:paraId="7AEE3ACA">
            <w:pPr>
              <w:pStyle w:val="53"/>
              <w:keepNext w:val="0"/>
              <w:keepLines w:val="0"/>
              <w:pageBreakBefore w:val="0"/>
              <w:kinsoku/>
              <w:wordWrap/>
              <w:overflowPunct/>
              <w:topLinePunct w:val="0"/>
              <w:bidi w:val="0"/>
              <w:snapToGrid/>
              <w:spacing w:line="320" w:lineRule="exact"/>
              <w:ind w:firstLine="0" w:firstLineChars="0"/>
              <w:jc w:val="center"/>
              <w:textAlignment w:val="auto"/>
              <w:rPr>
                <w:rFonts w:ascii="Times New Roman" w:hAnsi="Times New Roman"/>
                <w:color w:val="auto"/>
                <w:sz w:val="21"/>
                <w:szCs w:val="21"/>
              </w:rPr>
            </w:pPr>
            <w:r>
              <w:rPr>
                <w:rFonts w:hint="eastAsia" w:ascii="Times New Roman" w:hAnsi="Times New Roman"/>
                <w:color w:val="auto"/>
                <w:sz w:val="21"/>
                <w:szCs w:val="21"/>
              </w:rPr>
              <w:t>1</w:t>
            </w:r>
          </w:p>
        </w:tc>
        <w:tc>
          <w:tcPr>
            <w:tcW w:w="564" w:type="pct"/>
            <w:tcBorders>
              <w:tl2br w:val="nil"/>
              <w:tr2bl w:val="nil"/>
            </w:tcBorders>
            <w:shd w:val="clear" w:color="auto" w:fill="auto"/>
            <w:vAlign w:val="center"/>
          </w:tcPr>
          <w:p w14:paraId="449C520A">
            <w:pPr>
              <w:keepNext w:val="0"/>
              <w:keepLines w:val="0"/>
              <w:pageBreakBefore w:val="0"/>
              <w:widowControl/>
              <w:kinsoku/>
              <w:wordWrap/>
              <w:overflowPunct/>
              <w:topLinePunct w:val="0"/>
              <w:bidi w:val="0"/>
              <w:snapToGrid/>
              <w:spacing w:line="320" w:lineRule="exact"/>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封闭煤库</w:t>
            </w:r>
          </w:p>
        </w:tc>
        <w:tc>
          <w:tcPr>
            <w:tcW w:w="436" w:type="pct"/>
            <w:tcBorders>
              <w:tl2br w:val="nil"/>
              <w:tr2bl w:val="nil"/>
            </w:tcBorders>
            <w:shd w:val="clear" w:color="auto" w:fill="auto"/>
            <w:vAlign w:val="center"/>
          </w:tcPr>
          <w:p w14:paraId="2B1DDDE2">
            <w:pPr>
              <w:pStyle w:val="53"/>
              <w:keepNext w:val="0"/>
              <w:keepLines w:val="0"/>
              <w:pageBreakBefore w:val="0"/>
              <w:kinsoku/>
              <w:wordWrap/>
              <w:overflowPunct/>
              <w:topLinePunct w:val="0"/>
              <w:bidi w:val="0"/>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 w:val="21"/>
                <w:szCs w:val="21"/>
                <w:lang w:val="en-US" w:eastAsia="zh-CN" w:bidi="ar-SA"/>
              </w:rPr>
              <w:t>230</w:t>
            </w:r>
          </w:p>
        </w:tc>
        <w:tc>
          <w:tcPr>
            <w:tcW w:w="401" w:type="pct"/>
            <w:tcBorders>
              <w:tl2br w:val="nil"/>
              <w:tr2bl w:val="nil"/>
            </w:tcBorders>
            <w:shd w:val="clear" w:color="auto" w:fill="auto"/>
            <w:vAlign w:val="center"/>
          </w:tcPr>
          <w:p w14:paraId="52F0BBFE">
            <w:pPr>
              <w:pStyle w:val="53"/>
              <w:keepNext w:val="0"/>
              <w:keepLines w:val="0"/>
              <w:pageBreakBefore w:val="0"/>
              <w:kinsoku/>
              <w:wordWrap/>
              <w:overflowPunct/>
              <w:topLinePunct w:val="0"/>
              <w:bidi w:val="0"/>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 w:val="21"/>
                <w:szCs w:val="21"/>
                <w:lang w:val="en-US" w:eastAsia="zh-CN" w:bidi="ar-SA"/>
              </w:rPr>
              <w:t>171</w:t>
            </w:r>
          </w:p>
        </w:tc>
        <w:tc>
          <w:tcPr>
            <w:tcW w:w="337" w:type="pct"/>
            <w:tcBorders>
              <w:tl2br w:val="nil"/>
              <w:tr2bl w:val="nil"/>
            </w:tcBorders>
            <w:shd w:val="clear" w:color="auto" w:fill="auto"/>
            <w:vAlign w:val="center"/>
          </w:tcPr>
          <w:p w14:paraId="5FC53CD3">
            <w:pPr>
              <w:pStyle w:val="53"/>
              <w:keepNext w:val="0"/>
              <w:keepLines w:val="0"/>
              <w:pageBreakBefore w:val="0"/>
              <w:kinsoku/>
              <w:wordWrap/>
              <w:overflowPunct/>
              <w:topLinePunct w:val="0"/>
              <w:bidi w:val="0"/>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color w:val="auto"/>
                <w:kern w:val="0"/>
                <w:sz w:val="21"/>
                <w:szCs w:val="21"/>
                <w:lang w:val="en-US" w:eastAsia="zh-CN"/>
              </w:rPr>
              <w:t>123</w:t>
            </w:r>
          </w:p>
        </w:tc>
        <w:tc>
          <w:tcPr>
            <w:tcW w:w="381" w:type="pct"/>
            <w:tcBorders>
              <w:tl2br w:val="nil"/>
              <w:tr2bl w:val="nil"/>
            </w:tcBorders>
            <w:shd w:val="clear" w:color="auto" w:fill="auto"/>
            <w:vAlign w:val="center"/>
          </w:tcPr>
          <w:p w14:paraId="775E2E99">
            <w:pPr>
              <w:pStyle w:val="53"/>
              <w:keepNext w:val="0"/>
              <w:keepLines w:val="0"/>
              <w:pageBreakBefore w:val="0"/>
              <w:kinsoku/>
              <w:wordWrap/>
              <w:overflowPunct/>
              <w:topLinePunct w:val="0"/>
              <w:bidi w:val="0"/>
              <w:snapToGrid/>
              <w:spacing w:line="320" w:lineRule="exact"/>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70</w:t>
            </w:r>
          </w:p>
        </w:tc>
        <w:tc>
          <w:tcPr>
            <w:tcW w:w="377" w:type="pct"/>
            <w:tcBorders>
              <w:tl2br w:val="nil"/>
              <w:tr2bl w:val="nil"/>
            </w:tcBorders>
            <w:shd w:val="clear" w:color="auto" w:fill="auto"/>
            <w:vAlign w:val="center"/>
          </w:tcPr>
          <w:p w14:paraId="3E1A8A87">
            <w:pPr>
              <w:pStyle w:val="53"/>
              <w:keepNext w:val="0"/>
              <w:keepLines w:val="0"/>
              <w:pageBreakBefore w:val="0"/>
              <w:kinsoku/>
              <w:wordWrap/>
              <w:overflowPunct/>
              <w:topLinePunct w:val="0"/>
              <w:bidi w:val="0"/>
              <w:snapToGrid/>
              <w:spacing w:line="320" w:lineRule="exact"/>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30</w:t>
            </w:r>
          </w:p>
        </w:tc>
        <w:tc>
          <w:tcPr>
            <w:tcW w:w="334" w:type="pct"/>
            <w:tcBorders>
              <w:tl2br w:val="nil"/>
              <w:tr2bl w:val="nil"/>
            </w:tcBorders>
            <w:shd w:val="clear" w:color="auto" w:fill="auto"/>
            <w:vAlign w:val="center"/>
          </w:tcPr>
          <w:p w14:paraId="33828DA9">
            <w:pPr>
              <w:pStyle w:val="53"/>
              <w:keepNext w:val="0"/>
              <w:keepLines w:val="0"/>
              <w:pageBreakBefore w:val="0"/>
              <w:kinsoku/>
              <w:wordWrap/>
              <w:overflowPunct/>
              <w:topLinePunct w:val="0"/>
              <w:bidi w:val="0"/>
              <w:snapToGrid/>
              <w:spacing w:line="320" w:lineRule="exact"/>
              <w:ind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val="en-US" w:eastAsia="zh-CN"/>
              </w:rPr>
              <w:t>5</w:t>
            </w:r>
          </w:p>
        </w:tc>
        <w:tc>
          <w:tcPr>
            <w:tcW w:w="279" w:type="pct"/>
            <w:tcBorders>
              <w:tl2br w:val="nil"/>
              <w:tr2bl w:val="nil"/>
            </w:tcBorders>
            <w:shd w:val="clear" w:color="auto" w:fill="auto"/>
            <w:vAlign w:val="center"/>
          </w:tcPr>
          <w:p w14:paraId="542C13F9">
            <w:pPr>
              <w:pStyle w:val="53"/>
              <w:keepNext w:val="0"/>
              <w:keepLines w:val="0"/>
              <w:pageBreakBefore w:val="0"/>
              <w:kinsoku/>
              <w:wordWrap/>
              <w:overflowPunct/>
              <w:topLinePunct w:val="0"/>
              <w:bidi w:val="0"/>
              <w:snapToGrid/>
              <w:spacing w:line="320" w:lineRule="exact"/>
              <w:ind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val="en-US" w:eastAsia="zh-CN"/>
              </w:rPr>
              <w:t>0</w:t>
            </w:r>
          </w:p>
        </w:tc>
        <w:tc>
          <w:tcPr>
            <w:tcW w:w="695" w:type="pct"/>
            <w:tcBorders>
              <w:tl2br w:val="nil"/>
              <w:tr2bl w:val="nil"/>
            </w:tcBorders>
            <w:shd w:val="clear" w:color="auto" w:fill="auto"/>
            <w:vAlign w:val="center"/>
          </w:tcPr>
          <w:p w14:paraId="7EF3E33B">
            <w:pPr>
              <w:keepNext w:val="0"/>
              <w:keepLines w:val="0"/>
              <w:pageBreakBefore w:val="0"/>
              <w:kinsoku/>
              <w:wordWrap/>
              <w:overflowPunct/>
              <w:topLinePunct w:val="0"/>
              <w:autoSpaceDE w:val="0"/>
              <w:autoSpaceDN w:val="0"/>
              <w:bidi w:val="0"/>
              <w:adjustRightInd w:val="0"/>
              <w:snapToGrid/>
              <w:spacing w:line="320" w:lineRule="exact"/>
              <w:ind w:firstLine="0" w:firstLineChars="0"/>
              <w:jc w:val="center"/>
              <w:textAlignment w:val="auto"/>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sz w:val="21"/>
                <w:szCs w:val="21"/>
                <w:lang w:val="en-US" w:eastAsia="zh-CN"/>
              </w:rPr>
              <w:t>180</w:t>
            </w:r>
          </w:p>
        </w:tc>
        <w:tc>
          <w:tcPr>
            <w:tcW w:w="445" w:type="pct"/>
            <w:tcBorders>
              <w:tl2br w:val="nil"/>
              <w:tr2bl w:val="nil"/>
            </w:tcBorders>
            <w:shd w:val="clear" w:color="auto" w:fill="auto"/>
            <w:vAlign w:val="center"/>
          </w:tcPr>
          <w:p w14:paraId="620F6E61">
            <w:pPr>
              <w:keepNext w:val="0"/>
              <w:keepLines w:val="0"/>
              <w:pageBreakBefore w:val="0"/>
              <w:kinsoku/>
              <w:wordWrap/>
              <w:overflowPunct/>
              <w:topLinePunct w:val="0"/>
              <w:autoSpaceDE w:val="0"/>
              <w:autoSpaceDN w:val="0"/>
              <w:bidi w:val="0"/>
              <w:adjustRightInd w:val="0"/>
              <w:snapToGrid/>
              <w:spacing w:line="320" w:lineRule="exact"/>
              <w:ind w:firstLine="0" w:firstLineChars="0"/>
              <w:jc w:val="center"/>
              <w:textAlignment w:val="auto"/>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正常工况</w:t>
            </w:r>
          </w:p>
        </w:tc>
        <w:tc>
          <w:tcPr>
            <w:tcW w:w="580" w:type="pct"/>
            <w:tcBorders>
              <w:tl2br w:val="nil"/>
              <w:tr2bl w:val="nil"/>
            </w:tcBorders>
            <w:shd w:val="clear" w:color="auto" w:fill="auto"/>
            <w:vAlign w:val="center"/>
          </w:tcPr>
          <w:p w14:paraId="1448B288">
            <w:pPr>
              <w:pStyle w:val="53"/>
              <w:keepNext w:val="0"/>
              <w:keepLines w:val="0"/>
              <w:pageBreakBefore w:val="0"/>
              <w:kinsoku/>
              <w:wordWrap/>
              <w:overflowPunct/>
              <w:topLinePunct w:val="0"/>
              <w:bidi w:val="0"/>
              <w:snapToGrid/>
              <w:spacing w:line="320" w:lineRule="exact"/>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olor w:val="auto"/>
                <w:sz w:val="21"/>
                <w:szCs w:val="21"/>
                <w:lang w:val="en-US" w:eastAsia="zh-CN"/>
              </w:rPr>
              <w:t>0.003</w:t>
            </w:r>
          </w:p>
        </w:tc>
      </w:tr>
    </w:tbl>
    <w:p w14:paraId="39173550">
      <w:pPr>
        <w:keepNext w:val="0"/>
        <w:keepLines w:val="0"/>
        <w:pageBreakBefore w:val="0"/>
        <w:widowControl w:val="0"/>
        <w:kinsoku/>
        <w:wordWrap/>
        <w:overflowPunct/>
        <w:topLinePunct w:val="0"/>
        <w:autoSpaceDE w:val="0"/>
        <w:autoSpaceDN w:val="0"/>
        <w:bidi w:val="0"/>
        <w:adjustRightInd w:val="0"/>
        <w:spacing w:line="500" w:lineRule="exact"/>
        <w:ind w:firstLine="480" w:firstLineChars="200"/>
        <w:textAlignment w:val="bottom"/>
        <w:rPr>
          <w:rFonts w:ascii="Times New Roman" w:hAnsi="Times New Roman" w:eastAsia="宋体" w:cs="Times New Roman"/>
          <w:color w:val="auto"/>
        </w:rPr>
      </w:pPr>
      <w:r>
        <w:rPr>
          <w:rFonts w:ascii="Times New Roman" w:hAnsi="Times New Roman" w:eastAsia="宋体" w:cs="Times New Roman"/>
          <w:color w:val="auto"/>
        </w:rPr>
        <w:t>②区域</w:t>
      </w:r>
      <w:r>
        <w:rPr>
          <w:rFonts w:hint="eastAsia" w:ascii="Times New Roman" w:hAnsi="Times New Roman" w:eastAsia="宋体" w:cs="Times New Roman"/>
          <w:color w:val="auto"/>
        </w:rPr>
        <w:t>“以新带老”</w:t>
      </w:r>
      <w:r>
        <w:rPr>
          <w:rFonts w:ascii="Times New Roman" w:hAnsi="Times New Roman" w:eastAsia="宋体" w:cs="Times New Roman"/>
          <w:color w:val="auto"/>
        </w:rPr>
        <w:t>污染源</w:t>
      </w:r>
    </w:p>
    <w:p w14:paraId="2161F4F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ascii="Times New Roman" w:hAnsi="Times New Roman" w:eastAsia="宋体" w:cs="Times New Roman"/>
          <w:color w:val="auto"/>
          <w:sz w:val="24"/>
        </w:rPr>
      </w:pPr>
      <w:r>
        <w:rPr>
          <w:rFonts w:hint="eastAsia"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lang w:eastAsia="zh-CN"/>
        </w:rPr>
        <w:t>拆除</w:t>
      </w:r>
      <w:r>
        <w:rPr>
          <w:rFonts w:hint="default" w:ascii="Times New Roman" w:hAnsi="Times New Roman" w:eastAsia="宋体" w:cs="Times New Roman"/>
          <w:color w:val="auto"/>
          <w:sz w:val="24"/>
          <w:szCs w:val="24"/>
          <w:highlight w:val="none"/>
          <w:lang w:val="en-US" w:eastAsia="zh-CN"/>
        </w:rPr>
        <w:t>拆除淘汰原有的2台46MW</w:t>
      </w:r>
      <w:r>
        <w:rPr>
          <w:rFonts w:hint="eastAsia" w:ascii="Times New Roman" w:hAnsi="Times New Roman" w:eastAsia="宋体" w:cs="Times New Roman"/>
          <w:color w:val="auto"/>
          <w:sz w:val="24"/>
          <w:szCs w:val="24"/>
          <w:highlight w:val="none"/>
          <w:lang w:val="en-US" w:eastAsia="zh-CN"/>
        </w:rPr>
        <w:t>链条炉排热水</w:t>
      </w:r>
      <w:r>
        <w:rPr>
          <w:rFonts w:hint="default" w:ascii="Times New Roman" w:hAnsi="Times New Roman" w:eastAsia="宋体" w:cs="Times New Roman"/>
          <w:color w:val="auto"/>
          <w:sz w:val="24"/>
          <w:szCs w:val="24"/>
          <w:highlight w:val="none"/>
          <w:lang w:val="en-US" w:eastAsia="zh-CN"/>
        </w:rPr>
        <w:t>锅炉，在原址现有锅炉房建设2台42MW</w:t>
      </w:r>
      <w:r>
        <w:rPr>
          <w:rFonts w:hint="eastAsia" w:ascii="Times New Roman" w:hAnsi="Times New Roman" w:eastAsia="宋体" w:cs="Times New Roman"/>
          <w:color w:val="auto"/>
          <w:sz w:val="24"/>
          <w:szCs w:val="24"/>
          <w:highlight w:val="none"/>
          <w:lang w:val="en-US" w:eastAsia="zh-CN"/>
        </w:rPr>
        <w:t>链条炉排热水</w:t>
      </w:r>
      <w:r>
        <w:rPr>
          <w:rFonts w:hint="default" w:ascii="Times New Roman" w:hAnsi="Times New Roman" w:eastAsia="宋体" w:cs="Times New Roman"/>
          <w:color w:val="auto"/>
          <w:sz w:val="24"/>
          <w:szCs w:val="24"/>
          <w:highlight w:val="none"/>
          <w:lang w:val="en-US" w:eastAsia="zh-CN"/>
        </w:rPr>
        <w:t>锅炉，</w:t>
      </w:r>
      <w:r>
        <w:rPr>
          <w:rFonts w:ascii="Times New Roman" w:hAnsi="Times New Roman" w:eastAsia="宋体" w:cs="Times New Roman"/>
          <w:color w:val="auto"/>
          <w:sz w:val="24"/>
          <w:szCs w:val="24"/>
        </w:rPr>
        <w:t>因此本项目评价区域“以新带老”削减污染源为厂区现有的</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台热水锅炉</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本项目区域削减源污染物排放情况见</w:t>
      </w:r>
      <w:r>
        <w:rPr>
          <w:rFonts w:hint="eastAsia" w:ascii="Times New Roman" w:hAnsi="Times New Roman" w:eastAsia="宋体" w:cs="Times New Roman"/>
          <w:color w:val="auto"/>
          <w:sz w:val="24"/>
          <w:szCs w:val="24"/>
        </w:rPr>
        <w:t>下</w:t>
      </w:r>
      <w:r>
        <w:rPr>
          <w:rFonts w:ascii="Times New Roman" w:hAnsi="Times New Roman" w:eastAsia="宋体" w:cs="Times New Roman"/>
          <w:color w:val="auto"/>
          <w:sz w:val="24"/>
          <w:szCs w:val="24"/>
        </w:rPr>
        <w:t>表。</w:t>
      </w:r>
    </w:p>
    <w:p w14:paraId="15FE42A9">
      <w:pPr>
        <w:pStyle w:val="3"/>
        <w:keepNext w:val="0"/>
        <w:keepLines w:val="0"/>
        <w:pageBreakBefore w:val="0"/>
        <w:widowControl w:val="0"/>
        <w:kinsoku/>
        <w:wordWrap/>
        <w:overflowPunct/>
        <w:topLinePunct w:val="0"/>
        <w:autoSpaceDE/>
        <w:autoSpaceDN/>
        <w:bidi w:val="0"/>
        <w:adjustRightInd/>
        <w:snapToGrid/>
        <w:spacing w:after="0" w:line="500" w:lineRule="exact"/>
        <w:ind w:left="0" w:firstLine="482" w:firstLineChars="200"/>
        <w:jc w:val="center"/>
        <w:textAlignment w:val="auto"/>
        <w:rPr>
          <w:rFonts w:hint="default" w:ascii="Times New Roman" w:hAnsi="Times New Roman" w:eastAsia="宋体" w:cs="Times New Roman"/>
          <w:b/>
          <w:bCs/>
          <w:color w:val="auto"/>
          <w:sz w:val="24"/>
          <w:szCs w:val="24"/>
          <w:lang w:val="en-US" w:eastAsia="zh-CN"/>
        </w:rPr>
      </w:pPr>
    </w:p>
    <w:p w14:paraId="0F176F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p>
    <w:p w14:paraId="27C9C4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w:t>
      </w:r>
      <w:r>
        <w:rPr>
          <w:rFonts w:hint="eastAsia" w:ascii="Times New Roman" w:hAnsi="Times New Roman" w:eastAsia="宋体" w:cs="Times New Roman"/>
          <w:b/>
          <w:bCs/>
          <w:color w:val="auto"/>
          <w:sz w:val="24"/>
          <w:szCs w:val="24"/>
          <w:lang w:val="en-US" w:eastAsia="zh-CN"/>
        </w:rPr>
        <w:t>12</w:t>
      </w:r>
      <w:r>
        <w:rPr>
          <w:rFonts w:hint="default" w:ascii="Times New Roman" w:hAnsi="Times New Roman" w:eastAsia="宋体" w:cs="Times New Roman"/>
          <w:b/>
          <w:bCs/>
          <w:color w:val="auto"/>
          <w:sz w:val="24"/>
          <w:szCs w:val="24"/>
          <w:lang w:val="en-US" w:eastAsia="zh-CN"/>
        </w:rPr>
        <w:t xml:space="preserve"> </w:t>
      </w:r>
      <w:r>
        <w:rPr>
          <w:rFonts w:hint="eastAsia"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本项目评价范围内“以新带老”污染源的排放参数表</w:t>
      </w:r>
    </w:p>
    <w:tbl>
      <w:tblPr>
        <w:tblStyle w:val="40"/>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4"/>
        <w:gridCol w:w="1637"/>
        <w:gridCol w:w="846"/>
        <w:gridCol w:w="625"/>
        <w:gridCol w:w="823"/>
        <w:gridCol w:w="979"/>
        <w:gridCol w:w="799"/>
        <w:gridCol w:w="745"/>
        <w:gridCol w:w="962"/>
        <w:gridCol w:w="929"/>
        <w:gridCol w:w="821"/>
        <w:gridCol w:w="1053"/>
        <w:gridCol w:w="1214"/>
        <w:gridCol w:w="1166"/>
      </w:tblGrid>
      <w:tr w14:paraId="310B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4" w:type="pct"/>
            <w:vMerge w:val="restart"/>
            <w:tcBorders>
              <w:tl2br w:val="nil"/>
              <w:tr2bl w:val="nil"/>
            </w:tcBorders>
            <w:vAlign w:val="center"/>
          </w:tcPr>
          <w:p w14:paraId="65B3C5A3">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编号</w:t>
            </w:r>
          </w:p>
        </w:tc>
        <w:tc>
          <w:tcPr>
            <w:tcW w:w="621" w:type="pct"/>
            <w:vMerge w:val="restart"/>
            <w:tcBorders>
              <w:tl2br w:val="nil"/>
              <w:tr2bl w:val="nil"/>
            </w:tcBorders>
            <w:vAlign w:val="center"/>
          </w:tcPr>
          <w:p w14:paraId="68E26476">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工程内容</w:t>
            </w:r>
          </w:p>
        </w:tc>
        <w:tc>
          <w:tcPr>
            <w:tcW w:w="321" w:type="pct"/>
            <w:vMerge w:val="restart"/>
            <w:tcBorders>
              <w:tl2br w:val="nil"/>
              <w:tr2bl w:val="nil"/>
            </w:tcBorders>
            <w:vAlign w:val="center"/>
          </w:tcPr>
          <w:p w14:paraId="643F434B">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污染源名称</w:t>
            </w:r>
          </w:p>
        </w:tc>
        <w:tc>
          <w:tcPr>
            <w:tcW w:w="550" w:type="pct"/>
            <w:gridSpan w:val="2"/>
            <w:tcBorders>
              <w:tl2br w:val="nil"/>
              <w:tr2bl w:val="nil"/>
            </w:tcBorders>
            <w:vAlign w:val="center"/>
          </w:tcPr>
          <w:p w14:paraId="66AEE4AD">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排气筒底部中心坐标/m</w:t>
            </w:r>
          </w:p>
        </w:tc>
        <w:tc>
          <w:tcPr>
            <w:tcW w:w="371" w:type="pct"/>
            <w:vMerge w:val="restart"/>
            <w:tcBorders>
              <w:tl2br w:val="nil"/>
              <w:tr2bl w:val="nil"/>
            </w:tcBorders>
            <w:vAlign w:val="center"/>
          </w:tcPr>
          <w:p w14:paraId="2F7975CB">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排气筒底部海拔高度/m</w:t>
            </w:r>
          </w:p>
        </w:tc>
        <w:tc>
          <w:tcPr>
            <w:tcW w:w="303" w:type="pct"/>
            <w:vMerge w:val="restart"/>
            <w:tcBorders>
              <w:tl2br w:val="nil"/>
              <w:tr2bl w:val="nil"/>
            </w:tcBorders>
            <w:vAlign w:val="center"/>
          </w:tcPr>
          <w:p w14:paraId="33BB0115">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排气筒高度/m</w:t>
            </w:r>
          </w:p>
        </w:tc>
        <w:tc>
          <w:tcPr>
            <w:tcW w:w="282" w:type="pct"/>
            <w:vMerge w:val="restart"/>
            <w:tcBorders>
              <w:tl2br w:val="nil"/>
              <w:tr2bl w:val="nil"/>
            </w:tcBorders>
            <w:vAlign w:val="center"/>
          </w:tcPr>
          <w:p w14:paraId="5866C8E7">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排气筒出口内径/m</w:t>
            </w:r>
          </w:p>
        </w:tc>
        <w:tc>
          <w:tcPr>
            <w:tcW w:w="365" w:type="pct"/>
            <w:vMerge w:val="restart"/>
            <w:tcBorders>
              <w:tl2br w:val="nil"/>
              <w:tr2bl w:val="nil"/>
            </w:tcBorders>
            <w:vAlign w:val="center"/>
          </w:tcPr>
          <w:p w14:paraId="78359216">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烟气流量/m</w:t>
            </w:r>
            <w:r>
              <w:rPr>
                <w:rFonts w:ascii="Times New Roman" w:hAnsi="Times New Roman" w:eastAsia="宋体" w:cs="Times New Roman"/>
                <w:color w:val="auto"/>
                <w:kern w:val="0"/>
                <w:sz w:val="21"/>
                <w:szCs w:val="21"/>
                <w:vertAlign w:val="superscript"/>
              </w:rPr>
              <w:t>3</w:t>
            </w:r>
            <w:r>
              <w:rPr>
                <w:rFonts w:ascii="Times New Roman" w:hAnsi="Times New Roman" w:eastAsia="宋体" w:cs="Times New Roman"/>
                <w:color w:val="auto"/>
                <w:kern w:val="0"/>
                <w:sz w:val="21"/>
                <w:szCs w:val="21"/>
              </w:rPr>
              <w:t>/h</w:t>
            </w:r>
          </w:p>
        </w:tc>
        <w:tc>
          <w:tcPr>
            <w:tcW w:w="352" w:type="pct"/>
            <w:vMerge w:val="restart"/>
            <w:tcBorders>
              <w:tl2br w:val="nil"/>
              <w:tr2bl w:val="nil"/>
            </w:tcBorders>
            <w:vAlign w:val="center"/>
          </w:tcPr>
          <w:p w14:paraId="18F15BCA">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烟气出口温度/℃</w:t>
            </w:r>
          </w:p>
        </w:tc>
        <w:tc>
          <w:tcPr>
            <w:tcW w:w="311" w:type="pct"/>
            <w:vMerge w:val="restart"/>
            <w:tcBorders>
              <w:tl2br w:val="nil"/>
              <w:tr2bl w:val="nil"/>
            </w:tcBorders>
            <w:vAlign w:val="center"/>
          </w:tcPr>
          <w:p w14:paraId="00F31A0B">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年排放小时数/h</w:t>
            </w:r>
          </w:p>
        </w:tc>
        <w:tc>
          <w:tcPr>
            <w:tcW w:w="399" w:type="pct"/>
            <w:vMerge w:val="restart"/>
            <w:tcBorders>
              <w:tl2br w:val="nil"/>
              <w:tr2bl w:val="nil"/>
            </w:tcBorders>
            <w:vAlign w:val="center"/>
          </w:tcPr>
          <w:p w14:paraId="34B82F26">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排放工况</w:t>
            </w:r>
          </w:p>
        </w:tc>
        <w:tc>
          <w:tcPr>
            <w:tcW w:w="904" w:type="pct"/>
            <w:gridSpan w:val="2"/>
            <w:vMerge w:val="restart"/>
            <w:tcBorders>
              <w:tl2br w:val="nil"/>
              <w:tr2bl w:val="nil"/>
            </w:tcBorders>
            <w:vAlign w:val="center"/>
          </w:tcPr>
          <w:p w14:paraId="127B13AA">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污染物排放速率/(kg/h)</w:t>
            </w:r>
          </w:p>
        </w:tc>
      </w:tr>
      <w:tr w14:paraId="4A66E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4" w:type="pct"/>
            <w:vMerge w:val="continue"/>
            <w:tcBorders>
              <w:tl2br w:val="nil"/>
              <w:tr2bl w:val="nil"/>
            </w:tcBorders>
            <w:vAlign w:val="center"/>
          </w:tcPr>
          <w:p w14:paraId="2431110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621" w:type="pct"/>
            <w:vMerge w:val="continue"/>
            <w:tcBorders>
              <w:tl2br w:val="nil"/>
              <w:tr2bl w:val="nil"/>
            </w:tcBorders>
            <w:vAlign w:val="center"/>
          </w:tcPr>
          <w:p w14:paraId="4F82D49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21" w:type="pct"/>
            <w:vMerge w:val="continue"/>
            <w:tcBorders>
              <w:tl2br w:val="nil"/>
              <w:tr2bl w:val="nil"/>
            </w:tcBorders>
            <w:vAlign w:val="center"/>
          </w:tcPr>
          <w:p w14:paraId="3BE9320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37" w:type="pct"/>
            <w:tcBorders>
              <w:tl2br w:val="nil"/>
              <w:tr2bl w:val="nil"/>
            </w:tcBorders>
            <w:vAlign w:val="center"/>
          </w:tcPr>
          <w:p w14:paraId="0EE2910C">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X</w:t>
            </w:r>
          </w:p>
        </w:tc>
        <w:tc>
          <w:tcPr>
            <w:tcW w:w="312" w:type="pct"/>
            <w:tcBorders>
              <w:tl2br w:val="nil"/>
              <w:tr2bl w:val="nil"/>
            </w:tcBorders>
            <w:vAlign w:val="center"/>
          </w:tcPr>
          <w:p w14:paraId="51F2A1F9">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w:t>
            </w:r>
          </w:p>
        </w:tc>
        <w:tc>
          <w:tcPr>
            <w:tcW w:w="371" w:type="pct"/>
            <w:vMerge w:val="continue"/>
            <w:tcBorders>
              <w:tl2br w:val="nil"/>
              <w:tr2bl w:val="nil"/>
            </w:tcBorders>
            <w:vAlign w:val="center"/>
          </w:tcPr>
          <w:p w14:paraId="05618F6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15E558E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1118430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65" w:type="pct"/>
            <w:vMerge w:val="continue"/>
            <w:tcBorders>
              <w:tl2br w:val="nil"/>
              <w:tr2bl w:val="nil"/>
            </w:tcBorders>
            <w:vAlign w:val="center"/>
          </w:tcPr>
          <w:p w14:paraId="47E2FDD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52" w:type="pct"/>
            <w:vMerge w:val="continue"/>
            <w:tcBorders>
              <w:tl2br w:val="nil"/>
              <w:tr2bl w:val="nil"/>
            </w:tcBorders>
            <w:vAlign w:val="center"/>
          </w:tcPr>
          <w:p w14:paraId="0155E47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428D013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99" w:type="pct"/>
            <w:vMerge w:val="continue"/>
            <w:tcBorders>
              <w:tl2br w:val="nil"/>
              <w:tr2bl w:val="nil"/>
            </w:tcBorders>
            <w:vAlign w:val="center"/>
          </w:tcPr>
          <w:p w14:paraId="4A9265B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904" w:type="pct"/>
            <w:gridSpan w:val="2"/>
            <w:vMerge w:val="continue"/>
            <w:tcBorders>
              <w:tl2br w:val="nil"/>
              <w:tr2bl w:val="nil"/>
            </w:tcBorders>
            <w:vAlign w:val="center"/>
          </w:tcPr>
          <w:p w14:paraId="3AEB939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r>
      <w:tr w14:paraId="6CC72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4" w:type="pct"/>
            <w:vMerge w:val="restart"/>
            <w:tcBorders>
              <w:tl2br w:val="nil"/>
              <w:tr2bl w:val="nil"/>
            </w:tcBorders>
            <w:vAlign w:val="center"/>
          </w:tcPr>
          <w:p w14:paraId="5F9EE3CC">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w:t>
            </w:r>
          </w:p>
        </w:tc>
        <w:tc>
          <w:tcPr>
            <w:tcW w:w="621" w:type="pct"/>
            <w:vMerge w:val="restart"/>
            <w:tcBorders>
              <w:tl2br w:val="nil"/>
              <w:tr2bl w:val="nil"/>
            </w:tcBorders>
            <w:vAlign w:val="center"/>
          </w:tcPr>
          <w:p w14:paraId="29C0B676">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现有2×46MW锅炉</w:t>
            </w:r>
          </w:p>
        </w:tc>
        <w:tc>
          <w:tcPr>
            <w:tcW w:w="321" w:type="pct"/>
            <w:vMerge w:val="restart"/>
            <w:tcBorders>
              <w:tl2br w:val="nil"/>
              <w:tr2bl w:val="nil"/>
            </w:tcBorders>
            <w:vAlign w:val="center"/>
          </w:tcPr>
          <w:p w14:paraId="5945B11B">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锅炉烟囱</w:t>
            </w:r>
            <w:r>
              <w:rPr>
                <w:rFonts w:hint="eastAsia" w:ascii="Times New Roman" w:hAnsi="Times New Roman" w:eastAsia="宋体" w:cs="Times New Roman"/>
                <w:color w:val="auto"/>
                <w:kern w:val="0"/>
                <w:sz w:val="21"/>
                <w:szCs w:val="21"/>
              </w:rPr>
              <w:t>DA001</w:t>
            </w:r>
          </w:p>
        </w:tc>
        <w:tc>
          <w:tcPr>
            <w:tcW w:w="237" w:type="pct"/>
            <w:vMerge w:val="restart"/>
            <w:tcBorders>
              <w:tl2br w:val="nil"/>
              <w:tr2bl w:val="nil"/>
            </w:tcBorders>
            <w:vAlign w:val="center"/>
          </w:tcPr>
          <w:p w14:paraId="601662CD">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150</w:t>
            </w:r>
          </w:p>
        </w:tc>
        <w:tc>
          <w:tcPr>
            <w:tcW w:w="312" w:type="pct"/>
            <w:vMerge w:val="restart"/>
            <w:tcBorders>
              <w:tl2br w:val="nil"/>
              <w:tr2bl w:val="nil"/>
            </w:tcBorders>
            <w:vAlign w:val="center"/>
          </w:tcPr>
          <w:p w14:paraId="7E2AEE43">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169</w:t>
            </w:r>
          </w:p>
        </w:tc>
        <w:tc>
          <w:tcPr>
            <w:tcW w:w="371" w:type="pct"/>
            <w:vMerge w:val="restart"/>
            <w:tcBorders>
              <w:tl2br w:val="nil"/>
              <w:tr2bl w:val="nil"/>
            </w:tcBorders>
            <w:vAlign w:val="center"/>
          </w:tcPr>
          <w:p w14:paraId="02F5312C">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126</w:t>
            </w:r>
          </w:p>
        </w:tc>
        <w:tc>
          <w:tcPr>
            <w:tcW w:w="303" w:type="pct"/>
            <w:vMerge w:val="restart"/>
            <w:tcBorders>
              <w:tl2br w:val="nil"/>
              <w:tr2bl w:val="nil"/>
            </w:tcBorders>
            <w:vAlign w:val="center"/>
          </w:tcPr>
          <w:p w14:paraId="750C7671">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rPr>
              <w:t>5</w:t>
            </w:r>
            <w:r>
              <w:rPr>
                <w:rFonts w:hint="eastAsia" w:ascii="Times New Roman" w:hAnsi="Times New Roman" w:eastAsia="宋体" w:cs="Times New Roman"/>
                <w:color w:val="auto"/>
                <w:kern w:val="0"/>
                <w:sz w:val="21"/>
                <w:szCs w:val="21"/>
                <w:lang w:val="en-US" w:eastAsia="zh-CN"/>
              </w:rPr>
              <w:t>8</w:t>
            </w:r>
          </w:p>
        </w:tc>
        <w:tc>
          <w:tcPr>
            <w:tcW w:w="282" w:type="pct"/>
            <w:vMerge w:val="restart"/>
            <w:tcBorders>
              <w:tl2br w:val="nil"/>
              <w:tr2bl w:val="nil"/>
            </w:tcBorders>
            <w:vAlign w:val="center"/>
          </w:tcPr>
          <w:p w14:paraId="091EB47B">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2.4</w:t>
            </w:r>
          </w:p>
        </w:tc>
        <w:tc>
          <w:tcPr>
            <w:tcW w:w="365" w:type="pct"/>
            <w:vMerge w:val="restart"/>
            <w:tcBorders>
              <w:tl2br w:val="nil"/>
              <w:tr2bl w:val="nil"/>
            </w:tcBorders>
            <w:vAlign w:val="center"/>
          </w:tcPr>
          <w:p w14:paraId="680E0FA8">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201529.142</w:t>
            </w:r>
          </w:p>
        </w:tc>
        <w:tc>
          <w:tcPr>
            <w:tcW w:w="352" w:type="pct"/>
            <w:vMerge w:val="restart"/>
            <w:tcBorders>
              <w:tl2br w:val="nil"/>
              <w:tr2bl w:val="nil"/>
            </w:tcBorders>
            <w:vAlign w:val="center"/>
          </w:tcPr>
          <w:p w14:paraId="72EAE324">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50</w:t>
            </w:r>
          </w:p>
        </w:tc>
        <w:tc>
          <w:tcPr>
            <w:tcW w:w="311" w:type="pct"/>
            <w:vMerge w:val="restart"/>
            <w:tcBorders>
              <w:tl2br w:val="nil"/>
              <w:tr2bl w:val="nil"/>
            </w:tcBorders>
            <w:vAlign w:val="center"/>
          </w:tcPr>
          <w:p w14:paraId="627AAD41">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2880</w:t>
            </w:r>
          </w:p>
        </w:tc>
        <w:tc>
          <w:tcPr>
            <w:tcW w:w="399" w:type="pct"/>
            <w:vMerge w:val="restart"/>
            <w:tcBorders>
              <w:tl2br w:val="nil"/>
              <w:tr2bl w:val="nil"/>
            </w:tcBorders>
            <w:vAlign w:val="center"/>
          </w:tcPr>
          <w:p w14:paraId="72AB76F9">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正常排放</w:t>
            </w:r>
          </w:p>
        </w:tc>
        <w:tc>
          <w:tcPr>
            <w:tcW w:w="461" w:type="pct"/>
            <w:tcBorders>
              <w:tl2br w:val="nil"/>
              <w:tr2bl w:val="nil"/>
            </w:tcBorders>
            <w:vAlign w:val="center"/>
          </w:tcPr>
          <w:p w14:paraId="6F638C6A">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p>
        </w:tc>
        <w:tc>
          <w:tcPr>
            <w:tcW w:w="442" w:type="pct"/>
            <w:tcBorders>
              <w:tl2br w:val="nil"/>
              <w:tr2bl w:val="nil"/>
            </w:tcBorders>
            <w:vAlign w:val="center"/>
          </w:tcPr>
          <w:p w14:paraId="2DCFE5D0">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2.137</w:t>
            </w:r>
          </w:p>
        </w:tc>
      </w:tr>
      <w:tr w14:paraId="0867C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4" w:type="pct"/>
            <w:vMerge w:val="continue"/>
            <w:tcBorders>
              <w:tl2br w:val="nil"/>
              <w:tr2bl w:val="nil"/>
            </w:tcBorders>
            <w:vAlign w:val="center"/>
          </w:tcPr>
          <w:p w14:paraId="71CEEBDE">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621" w:type="pct"/>
            <w:vMerge w:val="continue"/>
            <w:tcBorders>
              <w:tl2br w:val="nil"/>
              <w:tr2bl w:val="nil"/>
            </w:tcBorders>
            <w:vAlign w:val="center"/>
          </w:tcPr>
          <w:p w14:paraId="6977FCA5">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c>
          <w:tcPr>
            <w:tcW w:w="321" w:type="pct"/>
            <w:vMerge w:val="continue"/>
            <w:tcBorders>
              <w:tl2br w:val="nil"/>
              <w:tr2bl w:val="nil"/>
            </w:tcBorders>
            <w:vAlign w:val="center"/>
          </w:tcPr>
          <w:p w14:paraId="75B3CC37">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37" w:type="pct"/>
            <w:vMerge w:val="continue"/>
            <w:tcBorders>
              <w:tl2br w:val="nil"/>
              <w:tr2bl w:val="nil"/>
            </w:tcBorders>
            <w:vAlign w:val="center"/>
          </w:tcPr>
          <w:p w14:paraId="39FB3392">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12" w:type="pct"/>
            <w:vMerge w:val="continue"/>
            <w:tcBorders>
              <w:tl2br w:val="nil"/>
              <w:tr2bl w:val="nil"/>
            </w:tcBorders>
            <w:vAlign w:val="center"/>
          </w:tcPr>
          <w:p w14:paraId="1F9B3D56">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71" w:type="pct"/>
            <w:vMerge w:val="continue"/>
            <w:tcBorders>
              <w:tl2br w:val="nil"/>
              <w:tr2bl w:val="nil"/>
            </w:tcBorders>
            <w:vAlign w:val="center"/>
          </w:tcPr>
          <w:p w14:paraId="2023668D">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2D703CD6">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27E85107">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65" w:type="pct"/>
            <w:vMerge w:val="continue"/>
            <w:tcBorders>
              <w:tl2br w:val="nil"/>
              <w:tr2bl w:val="nil"/>
            </w:tcBorders>
            <w:vAlign w:val="center"/>
          </w:tcPr>
          <w:p w14:paraId="156926D7">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p>
        </w:tc>
        <w:tc>
          <w:tcPr>
            <w:tcW w:w="352" w:type="pct"/>
            <w:vMerge w:val="continue"/>
            <w:tcBorders>
              <w:tl2br w:val="nil"/>
              <w:tr2bl w:val="nil"/>
            </w:tcBorders>
            <w:vAlign w:val="center"/>
          </w:tcPr>
          <w:p w14:paraId="4D1F6ED5">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66021FED">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99" w:type="pct"/>
            <w:vMerge w:val="continue"/>
            <w:tcBorders>
              <w:tl2br w:val="nil"/>
              <w:tr2bl w:val="nil"/>
            </w:tcBorders>
            <w:vAlign w:val="center"/>
          </w:tcPr>
          <w:p w14:paraId="7413A8DF">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461" w:type="pct"/>
            <w:tcBorders>
              <w:tl2br w:val="nil"/>
              <w:tr2bl w:val="nil"/>
            </w:tcBorders>
            <w:vAlign w:val="center"/>
          </w:tcPr>
          <w:p w14:paraId="38BA16A3">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iCs/>
                <w:color w:val="auto"/>
                <w:kern w:val="0"/>
                <w:sz w:val="21"/>
                <w:szCs w:val="21"/>
                <w:vertAlign w:val="subscript"/>
              </w:rPr>
            </w:pPr>
            <w:r>
              <w:rPr>
                <w:rFonts w:hint="eastAsia" w:ascii="Times New Roman" w:hAnsi="Times New Roman" w:eastAsia="宋体" w:cs="Times New Roman"/>
                <w:iCs/>
                <w:color w:val="auto"/>
                <w:kern w:val="0"/>
                <w:sz w:val="21"/>
                <w:szCs w:val="21"/>
              </w:rPr>
              <w:t>PM</w:t>
            </w:r>
            <w:r>
              <w:rPr>
                <w:rFonts w:hint="eastAsia" w:ascii="Times New Roman" w:hAnsi="Times New Roman" w:eastAsia="宋体" w:cs="Times New Roman"/>
                <w:iCs/>
                <w:color w:val="auto"/>
                <w:kern w:val="0"/>
                <w:sz w:val="21"/>
                <w:szCs w:val="21"/>
                <w:vertAlign w:val="subscript"/>
              </w:rPr>
              <w:t>2.5</w:t>
            </w:r>
          </w:p>
        </w:tc>
        <w:tc>
          <w:tcPr>
            <w:tcW w:w="442" w:type="pct"/>
            <w:tcBorders>
              <w:tl2br w:val="nil"/>
              <w:tr2bl w:val="nil"/>
            </w:tcBorders>
            <w:vAlign w:val="center"/>
          </w:tcPr>
          <w:p w14:paraId="169D6384">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1.389</w:t>
            </w:r>
          </w:p>
        </w:tc>
      </w:tr>
      <w:tr w14:paraId="664C3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4" w:type="pct"/>
            <w:vMerge w:val="continue"/>
            <w:tcBorders>
              <w:tl2br w:val="nil"/>
              <w:tr2bl w:val="nil"/>
            </w:tcBorders>
            <w:vAlign w:val="center"/>
          </w:tcPr>
          <w:p w14:paraId="5D928338">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621" w:type="pct"/>
            <w:vMerge w:val="continue"/>
            <w:tcBorders>
              <w:tl2br w:val="nil"/>
              <w:tr2bl w:val="nil"/>
            </w:tcBorders>
            <w:vAlign w:val="center"/>
          </w:tcPr>
          <w:p w14:paraId="01F4208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21" w:type="pct"/>
            <w:vMerge w:val="continue"/>
            <w:tcBorders>
              <w:tl2br w:val="nil"/>
              <w:tr2bl w:val="nil"/>
            </w:tcBorders>
            <w:vAlign w:val="center"/>
          </w:tcPr>
          <w:p w14:paraId="0B823B3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37" w:type="pct"/>
            <w:vMerge w:val="continue"/>
            <w:tcBorders>
              <w:tl2br w:val="nil"/>
              <w:tr2bl w:val="nil"/>
            </w:tcBorders>
            <w:vAlign w:val="center"/>
          </w:tcPr>
          <w:p w14:paraId="063FB67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12" w:type="pct"/>
            <w:vMerge w:val="continue"/>
            <w:tcBorders>
              <w:tl2br w:val="nil"/>
              <w:tr2bl w:val="nil"/>
            </w:tcBorders>
            <w:vAlign w:val="center"/>
          </w:tcPr>
          <w:p w14:paraId="07D5D1A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71" w:type="pct"/>
            <w:vMerge w:val="continue"/>
            <w:tcBorders>
              <w:tl2br w:val="nil"/>
              <w:tr2bl w:val="nil"/>
            </w:tcBorders>
            <w:vAlign w:val="center"/>
          </w:tcPr>
          <w:p w14:paraId="1CE96FA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61993C8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2EAD5FA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65" w:type="pct"/>
            <w:vMerge w:val="continue"/>
            <w:tcBorders>
              <w:tl2br w:val="nil"/>
              <w:tr2bl w:val="nil"/>
            </w:tcBorders>
            <w:vAlign w:val="center"/>
          </w:tcPr>
          <w:p w14:paraId="61B171E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52" w:type="pct"/>
            <w:vMerge w:val="continue"/>
            <w:tcBorders>
              <w:tl2br w:val="nil"/>
              <w:tr2bl w:val="nil"/>
            </w:tcBorders>
            <w:vAlign w:val="center"/>
          </w:tcPr>
          <w:p w14:paraId="4B21EBA2">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34BEE621">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99" w:type="pct"/>
            <w:vMerge w:val="continue"/>
            <w:tcBorders>
              <w:tl2br w:val="nil"/>
              <w:tr2bl w:val="nil"/>
            </w:tcBorders>
            <w:vAlign w:val="center"/>
          </w:tcPr>
          <w:p w14:paraId="39EE751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461" w:type="pct"/>
            <w:tcBorders>
              <w:tl2br w:val="nil"/>
              <w:tr2bl w:val="nil"/>
            </w:tcBorders>
            <w:vAlign w:val="center"/>
          </w:tcPr>
          <w:p w14:paraId="45E0B816">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SO</w:t>
            </w:r>
            <w:r>
              <w:rPr>
                <w:rFonts w:ascii="Times New Roman" w:hAnsi="Times New Roman" w:eastAsia="宋体" w:cs="Times New Roman"/>
                <w:color w:val="auto"/>
                <w:kern w:val="0"/>
                <w:sz w:val="21"/>
                <w:szCs w:val="21"/>
                <w:vertAlign w:val="subscript"/>
              </w:rPr>
              <w:t>2</w:t>
            </w:r>
          </w:p>
        </w:tc>
        <w:tc>
          <w:tcPr>
            <w:tcW w:w="442" w:type="pct"/>
            <w:tcBorders>
              <w:tl2br w:val="nil"/>
              <w:tr2bl w:val="nil"/>
            </w:tcBorders>
            <w:vAlign w:val="center"/>
          </w:tcPr>
          <w:p w14:paraId="3D12657F">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18.081</w:t>
            </w:r>
          </w:p>
        </w:tc>
      </w:tr>
      <w:tr w14:paraId="21673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4" w:type="pct"/>
            <w:vMerge w:val="continue"/>
            <w:tcBorders>
              <w:tl2br w:val="nil"/>
              <w:tr2bl w:val="nil"/>
            </w:tcBorders>
            <w:vAlign w:val="center"/>
          </w:tcPr>
          <w:p w14:paraId="2E78DBF3">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621" w:type="pct"/>
            <w:vMerge w:val="continue"/>
            <w:tcBorders>
              <w:tl2br w:val="nil"/>
              <w:tr2bl w:val="nil"/>
            </w:tcBorders>
            <w:vAlign w:val="center"/>
          </w:tcPr>
          <w:p w14:paraId="4E7A543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21" w:type="pct"/>
            <w:vMerge w:val="continue"/>
            <w:tcBorders>
              <w:tl2br w:val="nil"/>
              <w:tr2bl w:val="nil"/>
            </w:tcBorders>
            <w:vAlign w:val="center"/>
          </w:tcPr>
          <w:p w14:paraId="79C702D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37" w:type="pct"/>
            <w:vMerge w:val="continue"/>
            <w:tcBorders>
              <w:tl2br w:val="nil"/>
              <w:tr2bl w:val="nil"/>
            </w:tcBorders>
            <w:vAlign w:val="center"/>
          </w:tcPr>
          <w:p w14:paraId="0E90C01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12" w:type="pct"/>
            <w:vMerge w:val="continue"/>
            <w:tcBorders>
              <w:tl2br w:val="nil"/>
              <w:tr2bl w:val="nil"/>
            </w:tcBorders>
            <w:vAlign w:val="center"/>
          </w:tcPr>
          <w:p w14:paraId="43BF4B9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71" w:type="pct"/>
            <w:vMerge w:val="continue"/>
            <w:tcBorders>
              <w:tl2br w:val="nil"/>
              <w:tr2bl w:val="nil"/>
            </w:tcBorders>
            <w:vAlign w:val="center"/>
          </w:tcPr>
          <w:p w14:paraId="2E6C3BB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03" w:type="pct"/>
            <w:vMerge w:val="continue"/>
            <w:tcBorders>
              <w:tl2br w:val="nil"/>
              <w:tr2bl w:val="nil"/>
            </w:tcBorders>
            <w:vAlign w:val="center"/>
          </w:tcPr>
          <w:p w14:paraId="320FC3B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282" w:type="pct"/>
            <w:vMerge w:val="continue"/>
            <w:tcBorders>
              <w:tl2br w:val="nil"/>
              <w:tr2bl w:val="nil"/>
            </w:tcBorders>
            <w:vAlign w:val="center"/>
          </w:tcPr>
          <w:p w14:paraId="43653BB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65" w:type="pct"/>
            <w:vMerge w:val="continue"/>
            <w:tcBorders>
              <w:tl2br w:val="nil"/>
              <w:tr2bl w:val="nil"/>
            </w:tcBorders>
            <w:vAlign w:val="center"/>
          </w:tcPr>
          <w:p w14:paraId="56EED24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52" w:type="pct"/>
            <w:vMerge w:val="continue"/>
            <w:tcBorders>
              <w:tl2br w:val="nil"/>
              <w:tr2bl w:val="nil"/>
            </w:tcBorders>
            <w:vAlign w:val="center"/>
          </w:tcPr>
          <w:p w14:paraId="4897436E">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11" w:type="pct"/>
            <w:vMerge w:val="continue"/>
            <w:tcBorders>
              <w:tl2br w:val="nil"/>
              <w:tr2bl w:val="nil"/>
            </w:tcBorders>
            <w:vAlign w:val="center"/>
          </w:tcPr>
          <w:p w14:paraId="10D32D95">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399" w:type="pct"/>
            <w:vMerge w:val="continue"/>
            <w:tcBorders>
              <w:tl2br w:val="nil"/>
              <w:tr2bl w:val="nil"/>
            </w:tcBorders>
            <w:vAlign w:val="center"/>
          </w:tcPr>
          <w:p w14:paraId="47E10B8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p>
        </w:tc>
        <w:tc>
          <w:tcPr>
            <w:tcW w:w="461" w:type="pct"/>
            <w:tcBorders>
              <w:tl2br w:val="nil"/>
              <w:tr2bl w:val="nil"/>
            </w:tcBorders>
            <w:shd w:val="clear" w:color="auto" w:fill="auto"/>
            <w:vAlign w:val="center"/>
          </w:tcPr>
          <w:p w14:paraId="411D3633">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lang w:val="en-US" w:eastAsia="zh-CN" w:bidi="ar-SA"/>
              </w:rPr>
            </w:pPr>
            <w:r>
              <w:rPr>
                <w:rFonts w:ascii="Times New Roman" w:hAnsi="Times New Roman" w:eastAsia="宋体" w:cs="Times New Roman"/>
                <w:color w:val="auto"/>
                <w:kern w:val="0"/>
                <w:sz w:val="21"/>
                <w:szCs w:val="21"/>
              </w:rPr>
              <w:t>NO</w:t>
            </w:r>
            <w:r>
              <w:rPr>
                <w:rFonts w:ascii="Times New Roman" w:hAnsi="Times New Roman" w:eastAsia="宋体" w:cs="Times New Roman"/>
                <w:color w:val="auto"/>
                <w:kern w:val="0"/>
                <w:sz w:val="21"/>
                <w:szCs w:val="21"/>
                <w:vertAlign w:val="subscript"/>
              </w:rPr>
              <w:t>x</w:t>
            </w:r>
          </w:p>
        </w:tc>
        <w:tc>
          <w:tcPr>
            <w:tcW w:w="442" w:type="pct"/>
            <w:tcBorders>
              <w:tl2br w:val="nil"/>
              <w:tr2bl w:val="nil"/>
            </w:tcBorders>
            <w:shd w:val="clear" w:color="auto" w:fill="auto"/>
            <w:vAlign w:val="center"/>
          </w:tcPr>
          <w:p w14:paraId="0ABB7CBC">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25.395</w:t>
            </w:r>
          </w:p>
        </w:tc>
      </w:tr>
    </w:tbl>
    <w:p w14:paraId="2D253EFF">
      <w:pPr>
        <w:pStyle w:val="53"/>
        <w:spacing w:line="240" w:lineRule="auto"/>
        <w:ind w:firstLine="0" w:firstLineChars="0"/>
        <w:textAlignment w:val="auto"/>
        <w:rPr>
          <w:rFonts w:ascii="Times New Roman" w:hAnsi="Times New Roman"/>
          <w:color w:val="auto"/>
        </w:rPr>
      </w:pPr>
    </w:p>
    <w:p w14:paraId="3E9B16FA">
      <w:pPr>
        <w:spacing w:line="480" w:lineRule="exact"/>
        <w:ind w:firstLine="480"/>
        <w:rPr>
          <w:rFonts w:ascii="Times New Roman" w:hAnsi="Times New Roman" w:eastAsia="宋体" w:cs="Times New Roman"/>
          <w:color w:val="auto"/>
          <w:kern w:val="0"/>
          <w:szCs w:val="24"/>
        </w:rPr>
        <w:sectPr>
          <w:pgSz w:w="15840" w:h="12240" w:orient="landscape"/>
          <w:pgMar w:top="1803" w:right="1440" w:bottom="1803" w:left="1440" w:header="1191" w:footer="1191" w:gutter="0"/>
          <w:pgBorders>
            <w:top w:val="none" w:sz="0" w:space="0"/>
            <w:left w:val="none" w:sz="0" w:space="0"/>
            <w:bottom w:val="none" w:sz="0" w:space="0"/>
            <w:right w:val="none" w:sz="0" w:space="0"/>
          </w:pgBorders>
          <w:pgNumType w:fmt="decimal"/>
          <w:cols w:space="720" w:num="1"/>
        </w:sectPr>
      </w:pPr>
    </w:p>
    <w:p w14:paraId="567E54A8">
      <w:pPr>
        <w:keepNext w:val="0"/>
        <w:keepLines w:val="0"/>
        <w:pageBreakBefore w:val="0"/>
        <w:widowControl w:val="0"/>
        <w:kinsoku/>
        <w:wordWrap/>
        <w:overflowPunct/>
        <w:topLinePunct w:val="0"/>
        <w:autoSpaceDE w:val="0"/>
        <w:autoSpaceDN w:val="0"/>
        <w:bidi w:val="0"/>
        <w:adjustRightInd/>
        <w:snapToGrid/>
        <w:spacing w:line="500" w:lineRule="exact"/>
        <w:ind w:firstLine="480"/>
        <w:textAlignment w:val="bottom"/>
        <w:rPr>
          <w:rFonts w:ascii="Times New Roman" w:hAnsi="Times New Roman" w:eastAsia="宋体" w:cs="Times New Roman"/>
          <w:color w:val="auto"/>
          <w:kern w:val="0"/>
          <w:szCs w:val="20"/>
        </w:rPr>
      </w:pPr>
      <w:r>
        <w:rPr>
          <w:rFonts w:ascii="Times New Roman" w:hAnsi="Times New Roman" w:eastAsia="宋体" w:cs="Times New Roman"/>
          <w:color w:val="auto"/>
          <w:kern w:val="0"/>
          <w:szCs w:val="20"/>
        </w:rPr>
        <w:t>（9）预测结果与分析</w:t>
      </w:r>
    </w:p>
    <w:p w14:paraId="4FF486DC">
      <w:pPr>
        <w:pStyle w:val="96"/>
        <w:keepNext w:val="0"/>
        <w:keepLines w:val="0"/>
        <w:pageBreakBefore w:val="0"/>
        <w:widowControl w:val="0"/>
        <w:kinsoku/>
        <w:wordWrap/>
        <w:overflowPunct/>
        <w:topLinePunct w:val="0"/>
        <w:bidi w:val="0"/>
        <w:adjustRightInd/>
        <w:snapToGrid/>
        <w:spacing w:line="500" w:lineRule="exact"/>
        <w:ind w:firstLine="480"/>
        <w:rPr>
          <w:rFonts w:eastAsia="宋体" w:cs="Times New Roman"/>
          <w:color w:val="auto"/>
        </w:rPr>
      </w:pPr>
      <w:r>
        <w:rPr>
          <w:rFonts w:eastAsia="宋体" w:cs="Times New Roman"/>
          <w:color w:val="auto"/>
          <w:spacing w:val="0"/>
        </w:rPr>
        <w:t>①本项目正常工况下贡献质量浓度预测分析</w:t>
      </w:r>
    </w:p>
    <w:p w14:paraId="4AF4DF2C">
      <w:pPr>
        <w:pStyle w:val="96"/>
        <w:keepNext w:val="0"/>
        <w:keepLines w:val="0"/>
        <w:pageBreakBefore w:val="0"/>
        <w:widowControl w:val="0"/>
        <w:kinsoku/>
        <w:wordWrap/>
        <w:overflowPunct/>
        <w:topLinePunct w:val="0"/>
        <w:bidi w:val="0"/>
        <w:adjustRightInd/>
        <w:snapToGrid/>
        <w:spacing w:line="500" w:lineRule="exact"/>
        <w:ind w:firstLine="480"/>
        <w:rPr>
          <w:rFonts w:eastAsia="宋体" w:cs="Times New Roman"/>
          <w:color w:val="auto"/>
        </w:rPr>
      </w:pPr>
      <w:r>
        <w:rPr>
          <w:rFonts w:eastAsia="宋体" w:cs="Times New Roman"/>
          <w:color w:val="auto"/>
          <w:spacing w:val="0"/>
        </w:rPr>
        <w:t>本项目正常工况下</w:t>
      </w:r>
      <w:r>
        <w:rPr>
          <w:rFonts w:eastAsia="宋体" w:cs="Times New Roman"/>
          <w:color w:val="auto"/>
          <w:spacing w:val="0"/>
          <w:szCs w:val="24"/>
        </w:rPr>
        <w:t>PM</w:t>
      </w:r>
      <w:r>
        <w:rPr>
          <w:rFonts w:eastAsia="宋体" w:cs="Times New Roman"/>
          <w:color w:val="auto"/>
          <w:spacing w:val="0"/>
          <w:szCs w:val="24"/>
          <w:vertAlign w:val="subscript"/>
        </w:rPr>
        <w:t>10</w:t>
      </w:r>
      <w:r>
        <w:rPr>
          <w:rFonts w:eastAsia="宋体" w:cs="Times New Roman"/>
          <w:color w:val="auto"/>
          <w:spacing w:val="0"/>
          <w:szCs w:val="24"/>
        </w:rPr>
        <w:t>、PM</w:t>
      </w:r>
      <w:r>
        <w:rPr>
          <w:rFonts w:eastAsia="宋体" w:cs="Times New Roman"/>
          <w:color w:val="auto"/>
          <w:spacing w:val="0"/>
          <w:szCs w:val="24"/>
          <w:vertAlign w:val="subscript"/>
        </w:rPr>
        <w:t>2.5</w:t>
      </w:r>
      <w:r>
        <w:rPr>
          <w:rFonts w:eastAsia="宋体" w:cs="Times New Roman"/>
          <w:color w:val="auto"/>
          <w:spacing w:val="0"/>
          <w:szCs w:val="24"/>
        </w:rPr>
        <w:t>、</w:t>
      </w:r>
      <w:r>
        <w:rPr>
          <w:rFonts w:eastAsia="宋体" w:cs="Times New Roman"/>
          <w:color w:val="auto"/>
          <w:spacing w:val="0"/>
        </w:rPr>
        <w:t>SO</w:t>
      </w:r>
      <w:r>
        <w:rPr>
          <w:rFonts w:eastAsia="宋体" w:cs="Times New Roman"/>
          <w:color w:val="auto"/>
          <w:spacing w:val="0"/>
          <w:vertAlign w:val="subscript"/>
        </w:rPr>
        <w:t>2</w:t>
      </w:r>
      <w:r>
        <w:rPr>
          <w:rFonts w:eastAsia="宋体" w:cs="Times New Roman"/>
          <w:color w:val="auto"/>
          <w:spacing w:val="0"/>
        </w:rPr>
        <w:t>、NO</w:t>
      </w:r>
      <w:r>
        <w:rPr>
          <w:rFonts w:eastAsia="宋体" w:cs="Times New Roman"/>
          <w:color w:val="auto"/>
          <w:spacing w:val="0"/>
          <w:vertAlign w:val="subscript"/>
        </w:rPr>
        <w:t>2</w:t>
      </w:r>
      <w:r>
        <w:rPr>
          <w:rFonts w:eastAsia="宋体" w:cs="Times New Roman"/>
          <w:color w:val="auto"/>
          <w:spacing w:val="0"/>
        </w:rPr>
        <w:t>、Hg、TSP</w:t>
      </w:r>
      <w:r>
        <w:rPr>
          <w:rFonts w:eastAsia="宋体" w:cs="Times New Roman"/>
          <w:color w:val="auto"/>
          <w:spacing w:val="0"/>
          <w:szCs w:val="24"/>
        </w:rPr>
        <w:t>贡献质量浓度预测结果见</w:t>
      </w:r>
      <w:r>
        <w:rPr>
          <w:rFonts w:eastAsia="宋体" w:cs="Times New Roman"/>
          <w:color w:val="auto"/>
          <w:spacing w:val="0"/>
        </w:rPr>
        <w:t>表6.2-</w:t>
      </w:r>
      <w:r>
        <w:rPr>
          <w:rFonts w:hint="eastAsia" w:eastAsia="宋体" w:cs="Times New Roman"/>
          <w:color w:val="auto"/>
          <w:spacing w:val="0"/>
        </w:rPr>
        <w:t>1</w:t>
      </w:r>
      <w:r>
        <w:rPr>
          <w:rFonts w:hint="eastAsia" w:eastAsia="宋体" w:cs="Times New Roman"/>
          <w:color w:val="auto"/>
          <w:spacing w:val="0"/>
          <w:lang w:val="en-US" w:eastAsia="zh-CN"/>
        </w:rPr>
        <w:t>3</w:t>
      </w:r>
      <w:r>
        <w:rPr>
          <w:rFonts w:eastAsia="宋体" w:cs="Times New Roman"/>
          <w:color w:val="auto"/>
          <w:spacing w:val="0"/>
        </w:rPr>
        <w:t>~6.2-</w:t>
      </w:r>
      <w:r>
        <w:rPr>
          <w:rFonts w:hint="eastAsia" w:eastAsia="宋体" w:cs="Times New Roman"/>
          <w:color w:val="auto"/>
          <w:spacing w:val="0"/>
          <w:lang w:val="en-US" w:eastAsia="zh-CN"/>
        </w:rPr>
        <w:t>19</w:t>
      </w:r>
      <w:r>
        <w:rPr>
          <w:rFonts w:eastAsia="宋体" w:cs="Times New Roman"/>
          <w:color w:val="auto"/>
          <w:spacing w:val="0"/>
        </w:rPr>
        <w:t>。</w:t>
      </w:r>
      <w:bookmarkEnd w:id="424"/>
      <w:bookmarkEnd w:id="425"/>
    </w:p>
    <w:p w14:paraId="152333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w:t>
      </w:r>
      <w:r>
        <w:rPr>
          <w:rFonts w:hint="eastAsia" w:ascii="Times New Roman" w:hAnsi="Times New Roman" w:eastAsia="宋体" w:cs="Times New Roman"/>
          <w:b/>
          <w:bCs/>
          <w:color w:val="auto"/>
          <w:sz w:val="24"/>
          <w:szCs w:val="24"/>
          <w:lang w:val="en-US" w:eastAsia="zh-CN"/>
        </w:rPr>
        <w:t>13</w:t>
      </w:r>
      <w:r>
        <w:rPr>
          <w:rFonts w:hint="default" w:ascii="Times New Roman" w:hAnsi="Times New Roman" w:eastAsia="宋体" w:cs="Times New Roman"/>
          <w:b/>
          <w:bCs/>
          <w:color w:val="auto"/>
          <w:sz w:val="24"/>
          <w:szCs w:val="24"/>
          <w:lang w:val="en-US" w:eastAsia="zh-CN"/>
        </w:rPr>
        <w:t xml:space="preserve">  本项目PM</w:t>
      </w:r>
      <w:r>
        <w:rPr>
          <w:rFonts w:hint="default" w:ascii="Times New Roman" w:hAnsi="Times New Roman" w:eastAsia="宋体" w:cs="Times New Roman"/>
          <w:b/>
          <w:bCs/>
          <w:color w:val="auto"/>
          <w:sz w:val="24"/>
          <w:szCs w:val="24"/>
          <w:vertAlign w:val="subscript"/>
          <w:lang w:val="en-US" w:eastAsia="zh-CN"/>
        </w:rPr>
        <w:t>10</w:t>
      </w:r>
      <w:r>
        <w:rPr>
          <w:rFonts w:hint="default" w:ascii="Times New Roman" w:hAnsi="Times New Roman" w:eastAsia="宋体" w:cs="Times New Roman"/>
          <w:b/>
          <w:bCs/>
          <w:color w:val="auto"/>
          <w:sz w:val="24"/>
          <w:szCs w:val="24"/>
          <w:lang w:val="en-US" w:eastAsia="zh-CN"/>
        </w:rPr>
        <w:t>贡献质量浓度预测结果表</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91"/>
        <w:gridCol w:w="1602"/>
        <w:gridCol w:w="800"/>
        <w:gridCol w:w="1770"/>
        <w:gridCol w:w="1365"/>
        <w:gridCol w:w="1032"/>
        <w:gridCol w:w="967"/>
      </w:tblGrid>
      <w:tr w14:paraId="4EF9D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tcBorders>
              <w:tl2br w:val="nil"/>
              <w:tr2bl w:val="nil"/>
            </w:tcBorders>
            <w:tcMar>
              <w:top w:w="15" w:type="dxa"/>
              <w:left w:w="15" w:type="dxa"/>
              <w:right w:w="15" w:type="dxa"/>
            </w:tcMar>
            <w:vAlign w:val="center"/>
          </w:tcPr>
          <w:p w14:paraId="1A153DA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961" w:type="pct"/>
            <w:tcBorders>
              <w:tl2br w:val="nil"/>
              <w:tr2bl w:val="nil"/>
            </w:tcBorders>
            <w:tcMar>
              <w:top w:w="15" w:type="dxa"/>
              <w:left w:w="15" w:type="dxa"/>
              <w:right w:w="15" w:type="dxa"/>
            </w:tcMar>
            <w:vAlign w:val="center"/>
          </w:tcPr>
          <w:p w14:paraId="1122C3DC">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预测点</w:t>
            </w:r>
          </w:p>
        </w:tc>
        <w:tc>
          <w:tcPr>
            <w:tcW w:w="480" w:type="pct"/>
            <w:tcBorders>
              <w:tl2br w:val="nil"/>
              <w:tr2bl w:val="nil"/>
            </w:tcBorders>
            <w:tcMar>
              <w:top w:w="15" w:type="dxa"/>
              <w:left w:w="15" w:type="dxa"/>
              <w:right w:w="15" w:type="dxa"/>
            </w:tcMar>
            <w:vAlign w:val="center"/>
          </w:tcPr>
          <w:p w14:paraId="099AC64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平均时段</w:t>
            </w:r>
          </w:p>
        </w:tc>
        <w:tc>
          <w:tcPr>
            <w:tcW w:w="1062" w:type="pct"/>
            <w:tcBorders>
              <w:tl2br w:val="nil"/>
              <w:tr2bl w:val="nil"/>
            </w:tcBorders>
            <w:tcMar>
              <w:top w:w="15" w:type="dxa"/>
              <w:left w:w="15" w:type="dxa"/>
              <w:right w:w="15" w:type="dxa"/>
            </w:tcMar>
            <w:vAlign w:val="center"/>
          </w:tcPr>
          <w:p w14:paraId="5BED230F">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最大贡献值/</w:t>
            </w:r>
            <w:r>
              <w:rPr>
                <w:rStyle w:val="120"/>
                <w:rFonts w:hint="default" w:ascii="Times New Roman" w:hAnsi="Times New Roman" w:cs="Times New Roman"/>
                <w:color w:val="auto"/>
                <w:lang w:bidi="ar"/>
              </w:rPr>
              <w:t>（</w:t>
            </w:r>
            <w:r>
              <w:rPr>
                <w:rFonts w:ascii="Times New Roman" w:hAnsi="Times New Roman" w:eastAsia="宋体" w:cs="Times New Roman"/>
                <w:color w:val="auto"/>
                <w:kern w:val="0"/>
                <w:sz w:val="21"/>
                <w:szCs w:val="21"/>
                <w:lang w:bidi="ar"/>
              </w:rPr>
              <w:t>μg/m</w:t>
            </w:r>
            <w:r>
              <w:rPr>
                <w:rFonts w:ascii="Times New Roman" w:hAnsi="Times New Roman" w:eastAsia="宋体" w:cs="Times New Roman"/>
                <w:color w:val="auto"/>
                <w:kern w:val="0"/>
                <w:sz w:val="21"/>
                <w:szCs w:val="21"/>
                <w:vertAlign w:val="superscript"/>
                <w:lang w:bidi="ar"/>
              </w:rPr>
              <w:t>3</w:t>
            </w:r>
            <w:r>
              <w:rPr>
                <w:rStyle w:val="120"/>
                <w:rFonts w:hint="default" w:ascii="Times New Roman" w:hAnsi="Times New Roman" w:cs="Times New Roman"/>
                <w:color w:val="auto"/>
                <w:lang w:bidi="ar"/>
              </w:rPr>
              <w:t>）</w:t>
            </w:r>
          </w:p>
        </w:tc>
        <w:tc>
          <w:tcPr>
            <w:tcW w:w="819" w:type="pct"/>
            <w:tcBorders>
              <w:tl2br w:val="nil"/>
              <w:tr2bl w:val="nil"/>
            </w:tcBorders>
            <w:tcMar>
              <w:top w:w="15" w:type="dxa"/>
              <w:left w:w="15" w:type="dxa"/>
              <w:right w:w="15" w:type="dxa"/>
            </w:tcMar>
            <w:vAlign w:val="center"/>
          </w:tcPr>
          <w:p w14:paraId="34C19C6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出现时间</w:t>
            </w:r>
          </w:p>
        </w:tc>
        <w:tc>
          <w:tcPr>
            <w:tcW w:w="619" w:type="pct"/>
            <w:tcBorders>
              <w:tl2br w:val="nil"/>
              <w:tr2bl w:val="nil"/>
            </w:tcBorders>
            <w:tcMar>
              <w:top w:w="15" w:type="dxa"/>
              <w:left w:w="15" w:type="dxa"/>
              <w:right w:w="15" w:type="dxa"/>
            </w:tcMar>
            <w:vAlign w:val="center"/>
          </w:tcPr>
          <w:p w14:paraId="6E83DAF2">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r>
              <w:rPr>
                <w:rStyle w:val="120"/>
                <w:rFonts w:hint="default" w:ascii="Times New Roman" w:hAnsi="Times New Roman" w:cs="Times New Roman"/>
                <w:color w:val="auto"/>
                <w:lang w:bidi="ar"/>
              </w:rPr>
              <w:t>（</w:t>
            </w:r>
            <w:r>
              <w:rPr>
                <w:rStyle w:val="121"/>
                <w:rFonts w:eastAsia="宋体"/>
                <w:color w:val="auto"/>
                <w:lang w:bidi="ar"/>
              </w:rPr>
              <w:t>%</w:t>
            </w:r>
            <w:r>
              <w:rPr>
                <w:rStyle w:val="120"/>
                <w:rFonts w:hint="default" w:ascii="Times New Roman" w:hAnsi="Times New Roman" w:cs="Times New Roman"/>
                <w:color w:val="auto"/>
                <w:lang w:bidi="ar"/>
              </w:rPr>
              <w:t>）</w:t>
            </w:r>
          </w:p>
        </w:tc>
        <w:tc>
          <w:tcPr>
            <w:tcW w:w="580" w:type="pct"/>
            <w:tcBorders>
              <w:tl2br w:val="nil"/>
              <w:tr2bl w:val="nil"/>
            </w:tcBorders>
            <w:tcMar>
              <w:top w:w="15" w:type="dxa"/>
              <w:left w:w="15" w:type="dxa"/>
              <w:right w:w="15" w:type="dxa"/>
            </w:tcMar>
            <w:vAlign w:val="center"/>
          </w:tcPr>
          <w:p w14:paraId="025AD39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达标情况</w:t>
            </w:r>
          </w:p>
        </w:tc>
      </w:tr>
      <w:tr w14:paraId="659C51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restart"/>
            <w:tcBorders>
              <w:tl2br w:val="nil"/>
              <w:tr2bl w:val="nil"/>
            </w:tcBorders>
            <w:tcMar>
              <w:top w:w="15" w:type="dxa"/>
              <w:left w:w="15" w:type="dxa"/>
              <w:right w:w="15" w:type="dxa"/>
            </w:tcMar>
            <w:vAlign w:val="center"/>
          </w:tcPr>
          <w:p w14:paraId="3EE0E5D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color w:val="auto"/>
                <w:sz w:val="21"/>
                <w:szCs w:val="21"/>
              </w:rPr>
            </w:pPr>
            <w:r>
              <w:rPr>
                <w:rFonts w:ascii="Times New Roman" w:hAnsi="Times New Roman" w:eastAsia="宋体" w:cs="Times New Roman"/>
                <w:color w:val="auto"/>
                <w:kern w:val="0"/>
                <w:sz w:val="21"/>
                <w:szCs w:val="21"/>
                <w:lang w:bidi="ar"/>
              </w:rPr>
              <w:t>PM</w:t>
            </w:r>
            <w:r>
              <w:rPr>
                <w:rFonts w:ascii="Times New Roman" w:hAnsi="Times New Roman" w:eastAsia="宋体" w:cs="Times New Roman"/>
                <w:color w:val="auto"/>
                <w:kern w:val="0"/>
                <w:sz w:val="21"/>
                <w:szCs w:val="21"/>
                <w:vertAlign w:val="subscript"/>
                <w:lang w:bidi="ar"/>
              </w:rPr>
              <w:t>10</w:t>
            </w:r>
          </w:p>
        </w:tc>
        <w:tc>
          <w:tcPr>
            <w:tcW w:w="961" w:type="pct"/>
            <w:vMerge w:val="restart"/>
            <w:tcBorders>
              <w:tl2br w:val="nil"/>
              <w:tr2bl w:val="nil"/>
            </w:tcBorders>
            <w:tcMar>
              <w:top w:w="15" w:type="dxa"/>
              <w:left w:w="15" w:type="dxa"/>
              <w:right w:w="15" w:type="dxa"/>
            </w:tcMar>
            <w:vAlign w:val="center"/>
          </w:tcPr>
          <w:p w14:paraId="16DA8B8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八五二农场场部</w:t>
            </w:r>
          </w:p>
        </w:tc>
        <w:tc>
          <w:tcPr>
            <w:tcW w:w="480" w:type="pct"/>
            <w:tcBorders>
              <w:tl2br w:val="nil"/>
              <w:tr2bl w:val="nil"/>
            </w:tcBorders>
            <w:tcMar>
              <w:top w:w="15" w:type="dxa"/>
              <w:left w:w="15" w:type="dxa"/>
              <w:right w:w="15" w:type="dxa"/>
            </w:tcMar>
            <w:vAlign w:val="center"/>
          </w:tcPr>
          <w:p w14:paraId="65B70F9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0A150AE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0.17887</w:t>
            </w:r>
          </w:p>
        </w:tc>
        <w:tc>
          <w:tcPr>
            <w:tcW w:w="819" w:type="pct"/>
            <w:tcBorders>
              <w:tl2br w:val="nil"/>
              <w:tr2bl w:val="nil"/>
            </w:tcBorders>
            <w:noWrap/>
            <w:tcMar>
              <w:top w:w="15" w:type="dxa"/>
              <w:left w:w="15" w:type="dxa"/>
              <w:right w:w="15" w:type="dxa"/>
            </w:tcMar>
            <w:vAlign w:val="center"/>
          </w:tcPr>
          <w:p w14:paraId="3C46847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241009</w:t>
            </w:r>
          </w:p>
        </w:tc>
        <w:tc>
          <w:tcPr>
            <w:tcW w:w="619" w:type="pct"/>
            <w:tcBorders>
              <w:tl2br w:val="nil"/>
              <w:tr2bl w:val="nil"/>
            </w:tcBorders>
            <w:noWrap/>
            <w:tcMar>
              <w:top w:w="15" w:type="dxa"/>
              <w:left w:w="15" w:type="dxa"/>
              <w:right w:w="15" w:type="dxa"/>
            </w:tcMar>
            <w:vAlign w:val="center"/>
          </w:tcPr>
          <w:p w14:paraId="7031F92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0.15</w:t>
            </w:r>
          </w:p>
        </w:tc>
        <w:tc>
          <w:tcPr>
            <w:tcW w:w="580" w:type="pct"/>
            <w:tcBorders>
              <w:tl2br w:val="nil"/>
              <w:tr2bl w:val="nil"/>
            </w:tcBorders>
            <w:tcMar>
              <w:top w:w="15" w:type="dxa"/>
              <w:left w:w="15" w:type="dxa"/>
              <w:right w:w="15" w:type="dxa"/>
            </w:tcMar>
            <w:vAlign w:val="center"/>
          </w:tcPr>
          <w:p w14:paraId="7CF81AD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E6684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2B99101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3549DDA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00A3473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6B5EEB0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0.00349</w:t>
            </w:r>
          </w:p>
        </w:tc>
        <w:tc>
          <w:tcPr>
            <w:tcW w:w="819" w:type="pct"/>
            <w:tcBorders>
              <w:tl2br w:val="nil"/>
              <w:tr2bl w:val="nil"/>
            </w:tcBorders>
            <w:noWrap/>
            <w:tcMar>
              <w:top w:w="15" w:type="dxa"/>
              <w:left w:w="15" w:type="dxa"/>
              <w:right w:w="15" w:type="dxa"/>
            </w:tcMar>
            <w:vAlign w:val="center"/>
          </w:tcPr>
          <w:p w14:paraId="6BC602D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1653A2D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80" w:type="pct"/>
            <w:tcBorders>
              <w:tl2br w:val="nil"/>
              <w:tr2bl w:val="nil"/>
            </w:tcBorders>
            <w:tcMar>
              <w:top w:w="15" w:type="dxa"/>
              <w:left w:w="15" w:type="dxa"/>
              <w:right w:w="15" w:type="dxa"/>
            </w:tcMar>
            <w:vAlign w:val="center"/>
          </w:tcPr>
          <w:p w14:paraId="1B06D4F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198A9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237BBDE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3A2277F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和平管理区</w:t>
            </w:r>
          </w:p>
        </w:tc>
        <w:tc>
          <w:tcPr>
            <w:tcW w:w="480" w:type="pct"/>
            <w:tcBorders>
              <w:tl2br w:val="nil"/>
              <w:tr2bl w:val="nil"/>
            </w:tcBorders>
            <w:tcMar>
              <w:top w:w="15" w:type="dxa"/>
              <w:left w:w="15" w:type="dxa"/>
              <w:right w:w="15" w:type="dxa"/>
            </w:tcMar>
            <w:vAlign w:val="center"/>
          </w:tcPr>
          <w:p w14:paraId="5B87BB2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7E1FFF3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0.10455</w:t>
            </w:r>
          </w:p>
        </w:tc>
        <w:tc>
          <w:tcPr>
            <w:tcW w:w="819" w:type="pct"/>
            <w:tcBorders>
              <w:tl2br w:val="nil"/>
              <w:tr2bl w:val="nil"/>
            </w:tcBorders>
            <w:noWrap/>
            <w:tcMar>
              <w:top w:w="15" w:type="dxa"/>
              <w:left w:w="15" w:type="dxa"/>
              <w:right w:w="15" w:type="dxa"/>
            </w:tcMar>
            <w:vAlign w:val="center"/>
          </w:tcPr>
          <w:p w14:paraId="3B433F3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619" w:type="pct"/>
            <w:tcBorders>
              <w:tl2br w:val="nil"/>
              <w:tr2bl w:val="nil"/>
            </w:tcBorders>
            <w:noWrap/>
            <w:tcMar>
              <w:top w:w="15" w:type="dxa"/>
              <w:left w:w="15" w:type="dxa"/>
              <w:right w:w="15" w:type="dxa"/>
            </w:tcMar>
            <w:vAlign w:val="center"/>
          </w:tcPr>
          <w:p w14:paraId="01AAB2F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0.09</w:t>
            </w:r>
          </w:p>
        </w:tc>
        <w:tc>
          <w:tcPr>
            <w:tcW w:w="580" w:type="pct"/>
            <w:tcBorders>
              <w:tl2br w:val="nil"/>
              <w:tr2bl w:val="nil"/>
            </w:tcBorders>
            <w:tcMar>
              <w:top w:w="15" w:type="dxa"/>
              <w:left w:w="15" w:type="dxa"/>
              <w:right w:w="15" w:type="dxa"/>
            </w:tcMar>
            <w:vAlign w:val="center"/>
          </w:tcPr>
          <w:p w14:paraId="3FC512F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9BCDB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0E71826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78AA519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0105EC3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496C5D7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0.0045</w:t>
            </w:r>
          </w:p>
        </w:tc>
        <w:tc>
          <w:tcPr>
            <w:tcW w:w="819" w:type="pct"/>
            <w:tcBorders>
              <w:tl2br w:val="nil"/>
              <w:tr2bl w:val="nil"/>
            </w:tcBorders>
            <w:noWrap/>
            <w:tcMar>
              <w:top w:w="15" w:type="dxa"/>
              <w:left w:w="15" w:type="dxa"/>
              <w:right w:w="15" w:type="dxa"/>
            </w:tcMar>
            <w:vAlign w:val="center"/>
          </w:tcPr>
          <w:p w14:paraId="33E8831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5E35C87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80" w:type="pct"/>
            <w:tcBorders>
              <w:tl2br w:val="nil"/>
              <w:tr2bl w:val="nil"/>
            </w:tcBorders>
            <w:tcMar>
              <w:top w:w="15" w:type="dxa"/>
              <w:left w:w="15" w:type="dxa"/>
              <w:right w:w="15" w:type="dxa"/>
            </w:tcMar>
            <w:vAlign w:val="center"/>
          </w:tcPr>
          <w:p w14:paraId="0F8786E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18C5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23FC492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0F8932E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南林小区</w:t>
            </w:r>
          </w:p>
        </w:tc>
        <w:tc>
          <w:tcPr>
            <w:tcW w:w="480" w:type="pct"/>
            <w:tcBorders>
              <w:tl2br w:val="nil"/>
              <w:tr2bl w:val="nil"/>
            </w:tcBorders>
            <w:tcMar>
              <w:top w:w="15" w:type="dxa"/>
              <w:left w:w="15" w:type="dxa"/>
              <w:right w:w="15" w:type="dxa"/>
            </w:tcMar>
            <w:vAlign w:val="center"/>
          </w:tcPr>
          <w:p w14:paraId="0F4E484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268CAF6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0.08974</w:t>
            </w:r>
          </w:p>
        </w:tc>
        <w:tc>
          <w:tcPr>
            <w:tcW w:w="819" w:type="pct"/>
            <w:tcBorders>
              <w:tl2br w:val="nil"/>
              <w:tr2bl w:val="nil"/>
            </w:tcBorders>
            <w:noWrap/>
            <w:tcMar>
              <w:top w:w="15" w:type="dxa"/>
              <w:left w:w="15" w:type="dxa"/>
              <w:right w:w="15" w:type="dxa"/>
            </w:tcMar>
            <w:vAlign w:val="center"/>
          </w:tcPr>
          <w:p w14:paraId="2FB47D9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240321</w:t>
            </w:r>
          </w:p>
        </w:tc>
        <w:tc>
          <w:tcPr>
            <w:tcW w:w="619" w:type="pct"/>
            <w:tcBorders>
              <w:tl2br w:val="nil"/>
              <w:tr2bl w:val="nil"/>
            </w:tcBorders>
            <w:noWrap/>
            <w:tcMar>
              <w:top w:w="15" w:type="dxa"/>
              <w:left w:w="15" w:type="dxa"/>
              <w:right w:w="15" w:type="dxa"/>
            </w:tcMar>
            <w:vAlign w:val="center"/>
          </w:tcPr>
          <w:p w14:paraId="61291F8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w:t>
            </w:r>
          </w:p>
        </w:tc>
        <w:tc>
          <w:tcPr>
            <w:tcW w:w="580" w:type="pct"/>
            <w:tcBorders>
              <w:tl2br w:val="nil"/>
              <w:tr2bl w:val="nil"/>
            </w:tcBorders>
            <w:tcMar>
              <w:top w:w="15" w:type="dxa"/>
              <w:left w:w="15" w:type="dxa"/>
              <w:right w:w="15" w:type="dxa"/>
            </w:tcMar>
            <w:vAlign w:val="center"/>
          </w:tcPr>
          <w:p w14:paraId="397279C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4673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32FBE06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23C71FD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08D6324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0A06FBE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0.00799</w:t>
            </w:r>
          </w:p>
        </w:tc>
        <w:tc>
          <w:tcPr>
            <w:tcW w:w="819" w:type="pct"/>
            <w:tcBorders>
              <w:tl2br w:val="nil"/>
              <w:tr2bl w:val="nil"/>
            </w:tcBorders>
            <w:noWrap/>
            <w:tcMar>
              <w:top w:w="15" w:type="dxa"/>
              <w:left w:w="15" w:type="dxa"/>
              <w:right w:w="15" w:type="dxa"/>
            </w:tcMar>
            <w:vAlign w:val="center"/>
          </w:tcPr>
          <w:p w14:paraId="610B1B7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1837524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80" w:type="pct"/>
            <w:tcBorders>
              <w:tl2br w:val="nil"/>
              <w:tr2bl w:val="nil"/>
            </w:tcBorders>
            <w:tcMar>
              <w:top w:w="15" w:type="dxa"/>
              <w:left w:w="15" w:type="dxa"/>
              <w:right w:w="15" w:type="dxa"/>
            </w:tcMar>
            <w:vAlign w:val="center"/>
          </w:tcPr>
          <w:p w14:paraId="2F277C8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9AB5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1659CB2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0668D65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八五二农场四分场</w:t>
            </w:r>
          </w:p>
        </w:tc>
        <w:tc>
          <w:tcPr>
            <w:tcW w:w="480" w:type="pct"/>
            <w:tcBorders>
              <w:tl2br w:val="nil"/>
              <w:tr2bl w:val="nil"/>
            </w:tcBorders>
            <w:tcMar>
              <w:top w:w="15" w:type="dxa"/>
              <w:left w:w="15" w:type="dxa"/>
              <w:right w:w="15" w:type="dxa"/>
            </w:tcMar>
            <w:vAlign w:val="center"/>
          </w:tcPr>
          <w:p w14:paraId="085B159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374036A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0.04909</w:t>
            </w:r>
          </w:p>
        </w:tc>
        <w:tc>
          <w:tcPr>
            <w:tcW w:w="819" w:type="pct"/>
            <w:tcBorders>
              <w:tl2br w:val="nil"/>
              <w:tr2bl w:val="nil"/>
            </w:tcBorders>
            <w:noWrap/>
            <w:tcMar>
              <w:top w:w="15" w:type="dxa"/>
              <w:left w:w="15" w:type="dxa"/>
              <w:right w:w="15" w:type="dxa"/>
            </w:tcMar>
            <w:vAlign w:val="center"/>
          </w:tcPr>
          <w:p w14:paraId="6137E0C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240212</w:t>
            </w:r>
          </w:p>
        </w:tc>
        <w:tc>
          <w:tcPr>
            <w:tcW w:w="619" w:type="pct"/>
            <w:tcBorders>
              <w:tl2br w:val="nil"/>
              <w:tr2bl w:val="nil"/>
            </w:tcBorders>
            <w:noWrap/>
            <w:tcMar>
              <w:top w:w="15" w:type="dxa"/>
              <w:left w:w="15" w:type="dxa"/>
              <w:right w:w="15" w:type="dxa"/>
            </w:tcMar>
            <w:vAlign w:val="center"/>
          </w:tcPr>
          <w:p w14:paraId="1146D3F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w:t>
            </w:r>
          </w:p>
        </w:tc>
        <w:tc>
          <w:tcPr>
            <w:tcW w:w="580" w:type="pct"/>
            <w:tcBorders>
              <w:tl2br w:val="nil"/>
              <w:tr2bl w:val="nil"/>
            </w:tcBorders>
            <w:tcMar>
              <w:top w:w="15" w:type="dxa"/>
              <w:left w:w="15" w:type="dxa"/>
              <w:right w:w="15" w:type="dxa"/>
            </w:tcMar>
            <w:vAlign w:val="center"/>
          </w:tcPr>
          <w:p w14:paraId="1FE8C26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9F4A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491099C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3685FC5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7ACF531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42A62AA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0.00225</w:t>
            </w:r>
          </w:p>
        </w:tc>
        <w:tc>
          <w:tcPr>
            <w:tcW w:w="819" w:type="pct"/>
            <w:tcBorders>
              <w:tl2br w:val="nil"/>
              <w:tr2bl w:val="nil"/>
            </w:tcBorders>
            <w:noWrap/>
            <w:tcMar>
              <w:top w:w="15" w:type="dxa"/>
              <w:left w:w="15" w:type="dxa"/>
              <w:right w:w="15" w:type="dxa"/>
            </w:tcMar>
            <w:vAlign w:val="center"/>
          </w:tcPr>
          <w:p w14:paraId="36C67DD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61D7C2C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80" w:type="pct"/>
            <w:tcBorders>
              <w:tl2br w:val="nil"/>
              <w:tr2bl w:val="nil"/>
            </w:tcBorders>
            <w:tcMar>
              <w:top w:w="15" w:type="dxa"/>
              <w:left w:w="15" w:type="dxa"/>
              <w:right w:w="15" w:type="dxa"/>
            </w:tcMar>
            <w:vAlign w:val="center"/>
          </w:tcPr>
          <w:p w14:paraId="129EC6D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F5903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63F11BF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2C67C37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八五二农场副业队</w:t>
            </w:r>
          </w:p>
        </w:tc>
        <w:tc>
          <w:tcPr>
            <w:tcW w:w="480" w:type="pct"/>
            <w:tcBorders>
              <w:tl2br w:val="nil"/>
              <w:tr2bl w:val="nil"/>
            </w:tcBorders>
            <w:tcMar>
              <w:top w:w="15" w:type="dxa"/>
              <w:left w:w="15" w:type="dxa"/>
              <w:right w:w="15" w:type="dxa"/>
            </w:tcMar>
            <w:vAlign w:val="center"/>
          </w:tcPr>
          <w:p w14:paraId="341AEEC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594B950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0.06102</w:t>
            </w:r>
          </w:p>
        </w:tc>
        <w:tc>
          <w:tcPr>
            <w:tcW w:w="819" w:type="pct"/>
            <w:tcBorders>
              <w:tl2br w:val="nil"/>
              <w:tr2bl w:val="nil"/>
            </w:tcBorders>
            <w:noWrap/>
            <w:tcMar>
              <w:top w:w="15" w:type="dxa"/>
              <w:left w:w="15" w:type="dxa"/>
              <w:right w:w="15" w:type="dxa"/>
            </w:tcMar>
            <w:vAlign w:val="center"/>
          </w:tcPr>
          <w:p w14:paraId="09E7E03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w:t>
            </w:r>
          </w:p>
        </w:tc>
        <w:tc>
          <w:tcPr>
            <w:tcW w:w="619" w:type="pct"/>
            <w:tcBorders>
              <w:tl2br w:val="nil"/>
              <w:tr2bl w:val="nil"/>
            </w:tcBorders>
            <w:noWrap/>
            <w:tcMar>
              <w:top w:w="15" w:type="dxa"/>
              <w:left w:w="15" w:type="dxa"/>
              <w:right w:w="15" w:type="dxa"/>
            </w:tcMar>
            <w:vAlign w:val="center"/>
          </w:tcPr>
          <w:p w14:paraId="0A78607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580" w:type="pct"/>
            <w:tcBorders>
              <w:tl2br w:val="nil"/>
              <w:tr2bl w:val="nil"/>
            </w:tcBorders>
            <w:tcMar>
              <w:top w:w="15" w:type="dxa"/>
              <w:left w:w="15" w:type="dxa"/>
              <w:right w:w="15" w:type="dxa"/>
            </w:tcMar>
            <w:vAlign w:val="center"/>
          </w:tcPr>
          <w:p w14:paraId="5711C5D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478C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02EBAC8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1852578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2C009A5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055FAFF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0.0028</w:t>
            </w:r>
          </w:p>
        </w:tc>
        <w:tc>
          <w:tcPr>
            <w:tcW w:w="819" w:type="pct"/>
            <w:tcBorders>
              <w:tl2br w:val="nil"/>
              <w:tr2bl w:val="nil"/>
            </w:tcBorders>
            <w:noWrap/>
            <w:tcMar>
              <w:top w:w="15" w:type="dxa"/>
              <w:left w:w="15" w:type="dxa"/>
              <w:right w:w="15" w:type="dxa"/>
            </w:tcMar>
            <w:vAlign w:val="center"/>
          </w:tcPr>
          <w:p w14:paraId="0114F1A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66D83BC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80" w:type="pct"/>
            <w:tcBorders>
              <w:tl2br w:val="nil"/>
              <w:tr2bl w:val="nil"/>
            </w:tcBorders>
            <w:tcMar>
              <w:top w:w="15" w:type="dxa"/>
              <w:left w:w="15" w:type="dxa"/>
              <w:right w:w="15" w:type="dxa"/>
            </w:tcMar>
            <w:vAlign w:val="center"/>
          </w:tcPr>
          <w:p w14:paraId="22C92FD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985C6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178DDB74">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1D7DF2C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八五二农场种畜站</w:t>
            </w:r>
          </w:p>
        </w:tc>
        <w:tc>
          <w:tcPr>
            <w:tcW w:w="480" w:type="pct"/>
            <w:tcBorders>
              <w:tl2br w:val="nil"/>
              <w:tr2bl w:val="nil"/>
            </w:tcBorders>
            <w:tcMar>
              <w:top w:w="15" w:type="dxa"/>
              <w:left w:w="15" w:type="dxa"/>
              <w:right w:w="15" w:type="dxa"/>
            </w:tcMar>
            <w:vAlign w:val="center"/>
          </w:tcPr>
          <w:p w14:paraId="7023901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2DC0761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0.05724</w:t>
            </w:r>
          </w:p>
        </w:tc>
        <w:tc>
          <w:tcPr>
            <w:tcW w:w="819" w:type="pct"/>
            <w:tcBorders>
              <w:tl2br w:val="nil"/>
              <w:tr2bl w:val="nil"/>
            </w:tcBorders>
            <w:noWrap/>
            <w:tcMar>
              <w:top w:w="15" w:type="dxa"/>
              <w:left w:w="15" w:type="dxa"/>
              <w:right w:w="15" w:type="dxa"/>
            </w:tcMar>
            <w:vAlign w:val="center"/>
          </w:tcPr>
          <w:p w14:paraId="5DDDE44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619" w:type="pct"/>
            <w:tcBorders>
              <w:tl2br w:val="nil"/>
              <w:tr2bl w:val="nil"/>
            </w:tcBorders>
            <w:noWrap/>
            <w:tcMar>
              <w:top w:w="15" w:type="dxa"/>
              <w:left w:w="15" w:type="dxa"/>
              <w:right w:w="15" w:type="dxa"/>
            </w:tcMar>
            <w:vAlign w:val="center"/>
          </w:tcPr>
          <w:p w14:paraId="5EC4EE6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580" w:type="pct"/>
            <w:tcBorders>
              <w:tl2br w:val="nil"/>
              <w:tr2bl w:val="nil"/>
            </w:tcBorders>
            <w:tcMar>
              <w:top w:w="15" w:type="dxa"/>
              <w:left w:w="15" w:type="dxa"/>
              <w:right w:w="15" w:type="dxa"/>
            </w:tcMar>
            <w:vAlign w:val="center"/>
          </w:tcPr>
          <w:p w14:paraId="7844E16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C82E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1A8FB774">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4479044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4C35C64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02C7D09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0.00396</w:t>
            </w:r>
          </w:p>
        </w:tc>
        <w:tc>
          <w:tcPr>
            <w:tcW w:w="819" w:type="pct"/>
            <w:tcBorders>
              <w:tl2br w:val="nil"/>
              <w:tr2bl w:val="nil"/>
            </w:tcBorders>
            <w:noWrap/>
            <w:tcMar>
              <w:top w:w="15" w:type="dxa"/>
              <w:left w:w="15" w:type="dxa"/>
              <w:right w:w="15" w:type="dxa"/>
            </w:tcMar>
            <w:vAlign w:val="center"/>
          </w:tcPr>
          <w:p w14:paraId="2E9AE92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2BEB4B6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80" w:type="pct"/>
            <w:tcBorders>
              <w:tl2br w:val="nil"/>
              <w:tr2bl w:val="nil"/>
            </w:tcBorders>
            <w:tcMar>
              <w:top w:w="15" w:type="dxa"/>
              <w:left w:w="15" w:type="dxa"/>
              <w:right w:w="15" w:type="dxa"/>
            </w:tcMar>
            <w:vAlign w:val="center"/>
          </w:tcPr>
          <w:p w14:paraId="7E8A872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38875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762AEA57">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564DF53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迎春林业局光明林场</w:t>
            </w:r>
          </w:p>
        </w:tc>
        <w:tc>
          <w:tcPr>
            <w:tcW w:w="480" w:type="pct"/>
            <w:tcBorders>
              <w:tl2br w:val="nil"/>
              <w:tr2bl w:val="nil"/>
            </w:tcBorders>
            <w:tcMar>
              <w:top w:w="15" w:type="dxa"/>
              <w:left w:w="15" w:type="dxa"/>
              <w:right w:w="15" w:type="dxa"/>
            </w:tcMar>
            <w:vAlign w:val="center"/>
          </w:tcPr>
          <w:p w14:paraId="52B1A33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2A8930B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0.04399</w:t>
            </w:r>
          </w:p>
        </w:tc>
        <w:tc>
          <w:tcPr>
            <w:tcW w:w="819" w:type="pct"/>
            <w:tcBorders>
              <w:tl2br w:val="nil"/>
              <w:tr2bl w:val="nil"/>
            </w:tcBorders>
            <w:noWrap/>
            <w:tcMar>
              <w:top w:w="15" w:type="dxa"/>
              <w:left w:w="15" w:type="dxa"/>
              <w:right w:w="15" w:type="dxa"/>
            </w:tcMar>
            <w:vAlign w:val="center"/>
          </w:tcPr>
          <w:p w14:paraId="61DDB3B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241203</w:t>
            </w:r>
          </w:p>
        </w:tc>
        <w:tc>
          <w:tcPr>
            <w:tcW w:w="619" w:type="pct"/>
            <w:tcBorders>
              <w:tl2br w:val="nil"/>
              <w:tr2bl w:val="nil"/>
            </w:tcBorders>
            <w:noWrap/>
            <w:tcMar>
              <w:top w:w="15" w:type="dxa"/>
              <w:left w:w="15" w:type="dxa"/>
              <w:right w:w="15" w:type="dxa"/>
            </w:tcMar>
            <w:vAlign w:val="center"/>
          </w:tcPr>
          <w:p w14:paraId="5B6A948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w:t>
            </w:r>
          </w:p>
        </w:tc>
        <w:tc>
          <w:tcPr>
            <w:tcW w:w="580" w:type="pct"/>
            <w:tcBorders>
              <w:tl2br w:val="nil"/>
              <w:tr2bl w:val="nil"/>
            </w:tcBorders>
            <w:tcMar>
              <w:top w:w="15" w:type="dxa"/>
              <w:left w:w="15" w:type="dxa"/>
              <w:right w:w="15" w:type="dxa"/>
            </w:tcMar>
            <w:vAlign w:val="center"/>
          </w:tcPr>
          <w:p w14:paraId="4CFA20D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0B291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10A3CE6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4BE6F2F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38D3E19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38C5E08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0.00245</w:t>
            </w:r>
          </w:p>
        </w:tc>
        <w:tc>
          <w:tcPr>
            <w:tcW w:w="819" w:type="pct"/>
            <w:tcBorders>
              <w:tl2br w:val="nil"/>
              <w:tr2bl w:val="nil"/>
            </w:tcBorders>
            <w:noWrap/>
            <w:tcMar>
              <w:top w:w="15" w:type="dxa"/>
              <w:left w:w="15" w:type="dxa"/>
              <w:right w:w="15" w:type="dxa"/>
            </w:tcMar>
            <w:vAlign w:val="center"/>
          </w:tcPr>
          <w:p w14:paraId="50824D4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17E5C76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80" w:type="pct"/>
            <w:tcBorders>
              <w:tl2br w:val="nil"/>
              <w:tr2bl w:val="nil"/>
            </w:tcBorders>
            <w:tcMar>
              <w:top w:w="15" w:type="dxa"/>
              <w:left w:w="15" w:type="dxa"/>
              <w:right w:w="15" w:type="dxa"/>
            </w:tcMar>
            <w:vAlign w:val="center"/>
          </w:tcPr>
          <w:p w14:paraId="6043606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5235E4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7601C22F">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257FCAF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虎宝工厂南林工段</w:t>
            </w:r>
          </w:p>
        </w:tc>
        <w:tc>
          <w:tcPr>
            <w:tcW w:w="480" w:type="pct"/>
            <w:tcBorders>
              <w:tl2br w:val="nil"/>
              <w:tr2bl w:val="nil"/>
            </w:tcBorders>
            <w:tcMar>
              <w:top w:w="15" w:type="dxa"/>
              <w:left w:w="15" w:type="dxa"/>
              <w:right w:w="15" w:type="dxa"/>
            </w:tcMar>
            <w:vAlign w:val="center"/>
          </w:tcPr>
          <w:p w14:paraId="6736BEF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7C24658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0.12776</w:t>
            </w:r>
          </w:p>
        </w:tc>
        <w:tc>
          <w:tcPr>
            <w:tcW w:w="819" w:type="pct"/>
            <w:tcBorders>
              <w:tl2br w:val="nil"/>
              <w:tr2bl w:val="nil"/>
            </w:tcBorders>
            <w:noWrap/>
            <w:tcMar>
              <w:top w:w="15" w:type="dxa"/>
              <w:left w:w="15" w:type="dxa"/>
              <w:right w:w="15" w:type="dxa"/>
            </w:tcMar>
            <w:vAlign w:val="center"/>
          </w:tcPr>
          <w:p w14:paraId="4B6D640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241122</w:t>
            </w:r>
          </w:p>
        </w:tc>
        <w:tc>
          <w:tcPr>
            <w:tcW w:w="619" w:type="pct"/>
            <w:tcBorders>
              <w:tl2br w:val="nil"/>
              <w:tr2bl w:val="nil"/>
            </w:tcBorders>
            <w:noWrap/>
            <w:tcMar>
              <w:top w:w="15" w:type="dxa"/>
              <w:left w:w="15" w:type="dxa"/>
              <w:right w:w="15" w:type="dxa"/>
            </w:tcMar>
            <w:vAlign w:val="center"/>
          </w:tcPr>
          <w:p w14:paraId="06E2471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0.11</w:t>
            </w:r>
          </w:p>
        </w:tc>
        <w:tc>
          <w:tcPr>
            <w:tcW w:w="580" w:type="pct"/>
            <w:tcBorders>
              <w:tl2br w:val="nil"/>
              <w:tr2bl w:val="nil"/>
            </w:tcBorders>
            <w:tcMar>
              <w:top w:w="15" w:type="dxa"/>
              <w:left w:w="15" w:type="dxa"/>
              <w:right w:w="15" w:type="dxa"/>
            </w:tcMar>
            <w:vAlign w:val="center"/>
          </w:tcPr>
          <w:p w14:paraId="65108D1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7A848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42CC23A8">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09B8FC9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6A15E2F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4D8D38E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0.00786</w:t>
            </w:r>
          </w:p>
        </w:tc>
        <w:tc>
          <w:tcPr>
            <w:tcW w:w="819" w:type="pct"/>
            <w:tcBorders>
              <w:tl2br w:val="nil"/>
              <w:tr2bl w:val="nil"/>
            </w:tcBorders>
            <w:noWrap/>
            <w:tcMar>
              <w:top w:w="15" w:type="dxa"/>
              <w:left w:w="15" w:type="dxa"/>
              <w:right w:w="15" w:type="dxa"/>
            </w:tcMar>
            <w:vAlign w:val="center"/>
          </w:tcPr>
          <w:p w14:paraId="5673673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5B16A8D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80" w:type="pct"/>
            <w:tcBorders>
              <w:tl2br w:val="nil"/>
              <w:tr2bl w:val="nil"/>
            </w:tcBorders>
            <w:tcMar>
              <w:top w:w="15" w:type="dxa"/>
              <w:left w:w="15" w:type="dxa"/>
              <w:right w:w="15" w:type="dxa"/>
            </w:tcMar>
            <w:vAlign w:val="center"/>
          </w:tcPr>
          <w:p w14:paraId="0BF26EF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78F2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232415EF">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63E95AE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虎宝村</w:t>
            </w:r>
          </w:p>
        </w:tc>
        <w:tc>
          <w:tcPr>
            <w:tcW w:w="480" w:type="pct"/>
            <w:tcBorders>
              <w:tl2br w:val="nil"/>
              <w:tr2bl w:val="nil"/>
            </w:tcBorders>
            <w:tcMar>
              <w:top w:w="15" w:type="dxa"/>
              <w:left w:w="15" w:type="dxa"/>
              <w:right w:w="15" w:type="dxa"/>
            </w:tcMar>
            <w:vAlign w:val="center"/>
          </w:tcPr>
          <w:p w14:paraId="2E05963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576B185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0.06176</w:t>
            </w:r>
          </w:p>
        </w:tc>
        <w:tc>
          <w:tcPr>
            <w:tcW w:w="819" w:type="pct"/>
            <w:tcBorders>
              <w:tl2br w:val="nil"/>
              <w:tr2bl w:val="nil"/>
            </w:tcBorders>
            <w:noWrap/>
            <w:tcMar>
              <w:top w:w="15" w:type="dxa"/>
              <w:left w:w="15" w:type="dxa"/>
              <w:right w:w="15" w:type="dxa"/>
            </w:tcMar>
            <w:vAlign w:val="center"/>
          </w:tcPr>
          <w:p w14:paraId="519A5FD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240121</w:t>
            </w:r>
          </w:p>
        </w:tc>
        <w:tc>
          <w:tcPr>
            <w:tcW w:w="619" w:type="pct"/>
            <w:tcBorders>
              <w:tl2br w:val="nil"/>
              <w:tr2bl w:val="nil"/>
            </w:tcBorders>
            <w:noWrap/>
            <w:tcMar>
              <w:top w:w="15" w:type="dxa"/>
              <w:left w:w="15" w:type="dxa"/>
              <w:right w:w="15" w:type="dxa"/>
            </w:tcMar>
            <w:vAlign w:val="center"/>
          </w:tcPr>
          <w:p w14:paraId="6C7B91F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580" w:type="pct"/>
            <w:tcBorders>
              <w:tl2br w:val="nil"/>
              <w:tr2bl w:val="nil"/>
            </w:tcBorders>
            <w:tcMar>
              <w:top w:w="15" w:type="dxa"/>
              <w:left w:w="15" w:type="dxa"/>
              <w:right w:w="15" w:type="dxa"/>
            </w:tcMar>
            <w:vAlign w:val="center"/>
          </w:tcPr>
          <w:p w14:paraId="094CCCD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74AE0D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5C3B805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0E40E8B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0C93A43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023519C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0.00432</w:t>
            </w:r>
          </w:p>
        </w:tc>
        <w:tc>
          <w:tcPr>
            <w:tcW w:w="819" w:type="pct"/>
            <w:tcBorders>
              <w:tl2br w:val="nil"/>
              <w:tr2bl w:val="nil"/>
            </w:tcBorders>
            <w:noWrap/>
            <w:tcMar>
              <w:top w:w="15" w:type="dxa"/>
              <w:left w:w="15" w:type="dxa"/>
              <w:right w:w="15" w:type="dxa"/>
            </w:tcMar>
            <w:vAlign w:val="center"/>
          </w:tcPr>
          <w:p w14:paraId="05BE838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6604749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80" w:type="pct"/>
            <w:tcBorders>
              <w:tl2br w:val="nil"/>
              <w:tr2bl w:val="nil"/>
            </w:tcBorders>
            <w:tcMar>
              <w:top w:w="15" w:type="dxa"/>
              <w:left w:w="15" w:type="dxa"/>
              <w:right w:w="15" w:type="dxa"/>
            </w:tcMar>
            <w:vAlign w:val="center"/>
          </w:tcPr>
          <w:p w14:paraId="2D74659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C08AE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414E5C0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restart"/>
            <w:tcBorders>
              <w:tl2br w:val="nil"/>
              <w:tr2bl w:val="nil"/>
            </w:tcBorders>
            <w:tcMar>
              <w:top w:w="15" w:type="dxa"/>
              <w:left w:w="15" w:type="dxa"/>
              <w:right w:w="15" w:type="dxa"/>
            </w:tcMar>
            <w:vAlign w:val="center"/>
          </w:tcPr>
          <w:p w14:paraId="3E3AE4D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区域最大落地浓度</w:t>
            </w:r>
          </w:p>
        </w:tc>
        <w:tc>
          <w:tcPr>
            <w:tcW w:w="480" w:type="pct"/>
            <w:tcBorders>
              <w:tl2br w:val="nil"/>
              <w:tr2bl w:val="nil"/>
            </w:tcBorders>
            <w:tcMar>
              <w:top w:w="15" w:type="dxa"/>
              <w:left w:w="15" w:type="dxa"/>
              <w:right w:w="15" w:type="dxa"/>
            </w:tcMar>
            <w:vAlign w:val="center"/>
          </w:tcPr>
          <w:p w14:paraId="3DF895D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1062" w:type="pct"/>
            <w:tcBorders>
              <w:tl2br w:val="nil"/>
              <w:tr2bl w:val="nil"/>
            </w:tcBorders>
            <w:noWrap/>
            <w:tcMar>
              <w:top w:w="15" w:type="dxa"/>
              <w:left w:w="15" w:type="dxa"/>
              <w:right w:w="15" w:type="dxa"/>
            </w:tcMar>
            <w:vAlign w:val="center"/>
          </w:tcPr>
          <w:p w14:paraId="47E5263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0.37445</w:t>
            </w:r>
          </w:p>
        </w:tc>
        <w:tc>
          <w:tcPr>
            <w:tcW w:w="819" w:type="pct"/>
            <w:tcBorders>
              <w:tl2br w:val="nil"/>
              <w:tr2bl w:val="nil"/>
            </w:tcBorders>
            <w:noWrap/>
            <w:tcMar>
              <w:top w:w="15" w:type="dxa"/>
              <w:left w:w="15" w:type="dxa"/>
              <w:right w:w="15" w:type="dxa"/>
            </w:tcMar>
            <w:vAlign w:val="center"/>
          </w:tcPr>
          <w:p w14:paraId="1930CCF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241014</w:t>
            </w:r>
          </w:p>
        </w:tc>
        <w:tc>
          <w:tcPr>
            <w:tcW w:w="619" w:type="pct"/>
            <w:tcBorders>
              <w:tl2br w:val="nil"/>
              <w:tr2bl w:val="nil"/>
            </w:tcBorders>
            <w:noWrap/>
            <w:tcMar>
              <w:top w:w="15" w:type="dxa"/>
              <w:left w:w="15" w:type="dxa"/>
              <w:right w:w="15" w:type="dxa"/>
            </w:tcMar>
            <w:vAlign w:val="center"/>
          </w:tcPr>
          <w:p w14:paraId="0753408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0.31</w:t>
            </w:r>
          </w:p>
        </w:tc>
        <w:tc>
          <w:tcPr>
            <w:tcW w:w="580" w:type="pct"/>
            <w:tcBorders>
              <w:tl2br w:val="nil"/>
              <w:tr2bl w:val="nil"/>
            </w:tcBorders>
            <w:tcMar>
              <w:top w:w="15" w:type="dxa"/>
              <w:left w:w="15" w:type="dxa"/>
              <w:right w:w="15" w:type="dxa"/>
            </w:tcMar>
            <w:vAlign w:val="center"/>
          </w:tcPr>
          <w:p w14:paraId="0CBA4D1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32400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5" w:type="pct"/>
            <w:vMerge w:val="continue"/>
            <w:tcBorders>
              <w:tl2br w:val="nil"/>
              <w:tr2bl w:val="nil"/>
            </w:tcBorders>
            <w:tcMar>
              <w:top w:w="15" w:type="dxa"/>
              <w:left w:w="15" w:type="dxa"/>
              <w:right w:w="15" w:type="dxa"/>
            </w:tcMar>
            <w:vAlign w:val="center"/>
          </w:tcPr>
          <w:p w14:paraId="2130E0A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1" w:type="pct"/>
            <w:vMerge w:val="continue"/>
            <w:tcBorders>
              <w:tl2br w:val="nil"/>
              <w:tr2bl w:val="nil"/>
            </w:tcBorders>
            <w:tcMar>
              <w:top w:w="15" w:type="dxa"/>
              <w:left w:w="15" w:type="dxa"/>
              <w:right w:w="15" w:type="dxa"/>
            </w:tcMar>
            <w:vAlign w:val="center"/>
          </w:tcPr>
          <w:p w14:paraId="05AA1F5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p>
        </w:tc>
        <w:tc>
          <w:tcPr>
            <w:tcW w:w="480" w:type="pct"/>
            <w:tcBorders>
              <w:tl2br w:val="nil"/>
              <w:tr2bl w:val="nil"/>
            </w:tcBorders>
            <w:tcMar>
              <w:top w:w="15" w:type="dxa"/>
              <w:left w:w="15" w:type="dxa"/>
              <w:right w:w="15" w:type="dxa"/>
            </w:tcMar>
            <w:vAlign w:val="center"/>
          </w:tcPr>
          <w:p w14:paraId="15D501B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1062" w:type="pct"/>
            <w:tcBorders>
              <w:tl2br w:val="nil"/>
              <w:tr2bl w:val="nil"/>
            </w:tcBorders>
            <w:noWrap/>
            <w:tcMar>
              <w:top w:w="15" w:type="dxa"/>
              <w:left w:w="15" w:type="dxa"/>
              <w:right w:w="15" w:type="dxa"/>
            </w:tcMar>
            <w:vAlign w:val="center"/>
          </w:tcPr>
          <w:p w14:paraId="0686F1B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0.03331</w:t>
            </w:r>
          </w:p>
        </w:tc>
        <w:tc>
          <w:tcPr>
            <w:tcW w:w="819" w:type="pct"/>
            <w:tcBorders>
              <w:tl2br w:val="nil"/>
              <w:tr2bl w:val="nil"/>
            </w:tcBorders>
            <w:noWrap/>
            <w:tcMar>
              <w:top w:w="15" w:type="dxa"/>
              <w:left w:w="15" w:type="dxa"/>
              <w:right w:w="15" w:type="dxa"/>
            </w:tcMar>
            <w:vAlign w:val="center"/>
          </w:tcPr>
          <w:p w14:paraId="04C9A0E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19" w:type="pct"/>
            <w:tcBorders>
              <w:tl2br w:val="nil"/>
              <w:tr2bl w:val="nil"/>
            </w:tcBorders>
            <w:noWrap/>
            <w:tcMar>
              <w:top w:w="15" w:type="dxa"/>
              <w:left w:w="15" w:type="dxa"/>
              <w:right w:w="15" w:type="dxa"/>
            </w:tcMar>
            <w:vAlign w:val="center"/>
          </w:tcPr>
          <w:p w14:paraId="2D5971C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w:t>
            </w:r>
          </w:p>
        </w:tc>
        <w:tc>
          <w:tcPr>
            <w:tcW w:w="580" w:type="pct"/>
            <w:tcBorders>
              <w:tl2br w:val="nil"/>
              <w:tr2bl w:val="nil"/>
            </w:tcBorders>
            <w:tcMar>
              <w:top w:w="15" w:type="dxa"/>
              <w:left w:w="15" w:type="dxa"/>
              <w:right w:w="15" w:type="dxa"/>
            </w:tcMar>
            <w:vAlign w:val="center"/>
          </w:tcPr>
          <w:p w14:paraId="3D22DB7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bl>
    <w:p w14:paraId="3B9742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w:t>
      </w:r>
      <w:r>
        <w:rPr>
          <w:rFonts w:hint="eastAsia" w:ascii="Times New Roman" w:hAnsi="Times New Roman" w:eastAsia="宋体" w:cs="Times New Roman"/>
          <w:b/>
          <w:bCs/>
          <w:color w:val="auto"/>
          <w:sz w:val="24"/>
          <w:szCs w:val="24"/>
          <w:lang w:val="en-US" w:eastAsia="zh-CN"/>
        </w:rPr>
        <w:t>14</w:t>
      </w:r>
      <w:r>
        <w:rPr>
          <w:rFonts w:hint="default" w:ascii="Times New Roman" w:hAnsi="Times New Roman" w:eastAsia="宋体" w:cs="Times New Roman"/>
          <w:b/>
          <w:bCs/>
          <w:color w:val="auto"/>
          <w:sz w:val="24"/>
          <w:szCs w:val="24"/>
          <w:lang w:val="en-US" w:eastAsia="zh-CN"/>
        </w:rPr>
        <w:t xml:space="preserve">  本项目PM</w:t>
      </w:r>
      <w:r>
        <w:rPr>
          <w:rFonts w:hint="default" w:ascii="Times New Roman" w:hAnsi="Times New Roman" w:eastAsia="宋体" w:cs="Times New Roman"/>
          <w:b/>
          <w:bCs/>
          <w:color w:val="auto"/>
          <w:sz w:val="24"/>
          <w:szCs w:val="24"/>
          <w:vertAlign w:val="subscript"/>
          <w:lang w:val="en-US" w:eastAsia="zh-CN"/>
        </w:rPr>
        <w:t>2.5</w:t>
      </w:r>
      <w:r>
        <w:rPr>
          <w:rFonts w:hint="default" w:ascii="Times New Roman" w:hAnsi="Times New Roman" w:eastAsia="宋体" w:cs="Times New Roman"/>
          <w:b/>
          <w:bCs/>
          <w:color w:val="auto"/>
          <w:sz w:val="24"/>
          <w:szCs w:val="24"/>
          <w:lang w:val="en-US" w:eastAsia="zh-CN"/>
        </w:rPr>
        <w:t>贡献质量浓度预测结果表</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32"/>
        <w:gridCol w:w="1648"/>
        <w:gridCol w:w="845"/>
        <w:gridCol w:w="1813"/>
        <w:gridCol w:w="966"/>
        <w:gridCol w:w="1213"/>
        <w:gridCol w:w="1008"/>
      </w:tblGrid>
      <w:tr w14:paraId="065812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tcBorders>
              <w:tl2br w:val="nil"/>
              <w:tr2bl w:val="nil"/>
            </w:tcBorders>
            <w:tcMar>
              <w:top w:w="15" w:type="dxa"/>
              <w:left w:w="15" w:type="dxa"/>
              <w:right w:w="15" w:type="dxa"/>
            </w:tcMar>
            <w:vAlign w:val="center"/>
          </w:tcPr>
          <w:p w14:paraId="7825D72B">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989" w:type="pct"/>
            <w:tcBorders>
              <w:tl2br w:val="nil"/>
              <w:tr2bl w:val="nil"/>
            </w:tcBorders>
            <w:tcMar>
              <w:top w:w="15" w:type="dxa"/>
              <w:left w:w="15" w:type="dxa"/>
              <w:right w:w="15" w:type="dxa"/>
            </w:tcMar>
            <w:vAlign w:val="center"/>
          </w:tcPr>
          <w:p w14:paraId="759BC676">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预测点</w:t>
            </w:r>
          </w:p>
        </w:tc>
        <w:tc>
          <w:tcPr>
            <w:tcW w:w="507" w:type="pct"/>
            <w:tcBorders>
              <w:tl2br w:val="nil"/>
              <w:tr2bl w:val="nil"/>
            </w:tcBorders>
            <w:tcMar>
              <w:top w:w="15" w:type="dxa"/>
              <w:left w:w="15" w:type="dxa"/>
              <w:right w:w="15" w:type="dxa"/>
            </w:tcMar>
            <w:vAlign w:val="center"/>
          </w:tcPr>
          <w:p w14:paraId="34B841F6">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平均时段</w:t>
            </w:r>
          </w:p>
        </w:tc>
        <w:tc>
          <w:tcPr>
            <w:tcW w:w="1088" w:type="pct"/>
            <w:tcBorders>
              <w:tl2br w:val="nil"/>
              <w:tr2bl w:val="nil"/>
            </w:tcBorders>
            <w:tcMar>
              <w:top w:w="15" w:type="dxa"/>
              <w:left w:w="15" w:type="dxa"/>
              <w:right w:w="15" w:type="dxa"/>
            </w:tcMar>
            <w:vAlign w:val="center"/>
          </w:tcPr>
          <w:p w14:paraId="47723027">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最大贡献值/</w:t>
            </w:r>
            <w:r>
              <w:rPr>
                <w:rStyle w:val="120"/>
                <w:rFonts w:hint="default" w:ascii="Times New Roman" w:hAnsi="Times New Roman" w:cs="Times New Roman"/>
                <w:color w:val="auto"/>
                <w:lang w:bidi="ar"/>
              </w:rPr>
              <w:t>（μ</w:t>
            </w:r>
            <w:r>
              <w:rPr>
                <w:rFonts w:ascii="Times New Roman" w:hAnsi="Times New Roman" w:eastAsia="宋体" w:cs="Times New Roman"/>
                <w:color w:val="auto"/>
                <w:kern w:val="0"/>
                <w:sz w:val="21"/>
                <w:szCs w:val="21"/>
                <w:lang w:bidi="ar"/>
              </w:rPr>
              <w:t>g/m</w:t>
            </w:r>
            <w:r>
              <w:rPr>
                <w:rFonts w:ascii="Times New Roman" w:hAnsi="Times New Roman" w:eastAsia="宋体" w:cs="Times New Roman"/>
                <w:color w:val="auto"/>
                <w:kern w:val="0"/>
                <w:sz w:val="21"/>
                <w:szCs w:val="21"/>
                <w:vertAlign w:val="superscript"/>
                <w:lang w:bidi="ar"/>
              </w:rPr>
              <w:t>3</w:t>
            </w:r>
            <w:r>
              <w:rPr>
                <w:rStyle w:val="120"/>
                <w:rFonts w:hint="default" w:ascii="Times New Roman" w:hAnsi="Times New Roman" w:cs="Times New Roman"/>
                <w:color w:val="auto"/>
                <w:lang w:bidi="ar"/>
              </w:rPr>
              <w:t>）</w:t>
            </w:r>
          </w:p>
        </w:tc>
        <w:tc>
          <w:tcPr>
            <w:tcW w:w="580" w:type="pct"/>
            <w:tcBorders>
              <w:tl2br w:val="nil"/>
              <w:tr2bl w:val="nil"/>
            </w:tcBorders>
            <w:tcMar>
              <w:top w:w="15" w:type="dxa"/>
              <w:left w:w="15" w:type="dxa"/>
              <w:right w:w="15" w:type="dxa"/>
            </w:tcMar>
            <w:vAlign w:val="center"/>
          </w:tcPr>
          <w:p w14:paraId="1984FB59">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出现时间</w:t>
            </w:r>
          </w:p>
        </w:tc>
        <w:tc>
          <w:tcPr>
            <w:tcW w:w="728" w:type="pct"/>
            <w:tcBorders>
              <w:tl2br w:val="nil"/>
              <w:tr2bl w:val="nil"/>
            </w:tcBorders>
            <w:tcMar>
              <w:top w:w="15" w:type="dxa"/>
              <w:left w:w="15" w:type="dxa"/>
              <w:right w:w="15" w:type="dxa"/>
            </w:tcMar>
            <w:vAlign w:val="center"/>
          </w:tcPr>
          <w:p w14:paraId="501980EB">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r>
              <w:rPr>
                <w:rStyle w:val="120"/>
                <w:rFonts w:hint="default" w:ascii="Times New Roman" w:hAnsi="Times New Roman" w:cs="Times New Roman"/>
                <w:color w:val="auto"/>
                <w:lang w:bidi="ar"/>
              </w:rPr>
              <w:t>（</w:t>
            </w:r>
            <w:r>
              <w:rPr>
                <w:rStyle w:val="121"/>
                <w:rFonts w:eastAsia="宋体"/>
                <w:color w:val="auto"/>
                <w:lang w:bidi="ar"/>
              </w:rPr>
              <w:t>%</w:t>
            </w:r>
            <w:r>
              <w:rPr>
                <w:rStyle w:val="120"/>
                <w:rFonts w:hint="default" w:ascii="Times New Roman" w:hAnsi="Times New Roman" w:cs="Times New Roman"/>
                <w:color w:val="auto"/>
                <w:lang w:bidi="ar"/>
              </w:rPr>
              <w:t>）</w:t>
            </w:r>
          </w:p>
        </w:tc>
        <w:tc>
          <w:tcPr>
            <w:tcW w:w="605" w:type="pct"/>
            <w:tcBorders>
              <w:tl2br w:val="nil"/>
              <w:tr2bl w:val="nil"/>
            </w:tcBorders>
            <w:tcMar>
              <w:top w:w="15" w:type="dxa"/>
              <w:left w:w="15" w:type="dxa"/>
              <w:right w:w="15" w:type="dxa"/>
            </w:tcMar>
            <w:vAlign w:val="center"/>
          </w:tcPr>
          <w:p w14:paraId="586B95F5">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达标情况</w:t>
            </w:r>
          </w:p>
        </w:tc>
      </w:tr>
      <w:tr w14:paraId="19DA94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restart"/>
            <w:tcBorders>
              <w:tl2br w:val="nil"/>
              <w:tr2bl w:val="nil"/>
            </w:tcBorders>
            <w:tcMar>
              <w:top w:w="15" w:type="dxa"/>
              <w:left w:w="15" w:type="dxa"/>
              <w:right w:w="15" w:type="dxa"/>
            </w:tcMar>
            <w:vAlign w:val="center"/>
          </w:tcPr>
          <w:p w14:paraId="5E4EB5D3">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hint="eastAsia" w:ascii="Times New Roman" w:hAnsi="Times New Roman" w:eastAsia="宋体"/>
                <w:color w:val="auto"/>
                <w:sz w:val="21"/>
                <w:szCs w:val="21"/>
                <w:lang w:eastAsia="zh-CN"/>
              </w:rPr>
            </w:pPr>
            <w:r>
              <w:rPr>
                <w:rFonts w:ascii="Times New Roman" w:hAnsi="Times New Roman" w:eastAsia="宋体" w:cs="Times New Roman"/>
                <w:color w:val="auto"/>
                <w:kern w:val="0"/>
                <w:sz w:val="21"/>
                <w:szCs w:val="21"/>
                <w:lang w:bidi="ar"/>
              </w:rPr>
              <w:t>PM</w:t>
            </w:r>
            <w:r>
              <w:rPr>
                <w:rFonts w:ascii="Times New Roman" w:hAnsi="Times New Roman" w:eastAsia="宋体" w:cs="Times New Roman"/>
                <w:color w:val="auto"/>
                <w:kern w:val="0"/>
                <w:sz w:val="21"/>
                <w:szCs w:val="21"/>
                <w:vertAlign w:val="subscript"/>
                <w:lang w:bidi="ar"/>
              </w:rPr>
              <w:t>2.5</w:t>
            </w:r>
          </w:p>
        </w:tc>
        <w:tc>
          <w:tcPr>
            <w:tcW w:w="989" w:type="pct"/>
            <w:vMerge w:val="restart"/>
            <w:tcBorders>
              <w:tl2br w:val="nil"/>
              <w:tr2bl w:val="nil"/>
            </w:tcBorders>
            <w:tcMar>
              <w:top w:w="15" w:type="dxa"/>
              <w:left w:w="15" w:type="dxa"/>
              <w:right w:w="15" w:type="dxa"/>
            </w:tcMar>
            <w:vAlign w:val="center"/>
          </w:tcPr>
          <w:p w14:paraId="4D3BFA7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八五二农场场部</w:t>
            </w:r>
          </w:p>
        </w:tc>
        <w:tc>
          <w:tcPr>
            <w:tcW w:w="507" w:type="pct"/>
            <w:tcBorders>
              <w:tl2br w:val="nil"/>
              <w:tr2bl w:val="nil"/>
            </w:tcBorders>
            <w:tcMar>
              <w:top w:w="15" w:type="dxa"/>
              <w:left w:w="15" w:type="dxa"/>
              <w:right w:w="15" w:type="dxa"/>
            </w:tcMar>
            <w:vAlign w:val="center"/>
          </w:tcPr>
          <w:p w14:paraId="68F5CC2A">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27AD519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0.1163</w:t>
            </w:r>
          </w:p>
        </w:tc>
        <w:tc>
          <w:tcPr>
            <w:tcW w:w="580" w:type="pct"/>
            <w:tcBorders>
              <w:tl2br w:val="nil"/>
              <w:tr2bl w:val="nil"/>
            </w:tcBorders>
            <w:noWrap/>
            <w:tcMar>
              <w:top w:w="15" w:type="dxa"/>
              <w:left w:w="15" w:type="dxa"/>
              <w:right w:w="15" w:type="dxa"/>
            </w:tcMar>
            <w:vAlign w:val="center"/>
          </w:tcPr>
          <w:p w14:paraId="094E32A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241009</w:t>
            </w:r>
          </w:p>
        </w:tc>
        <w:tc>
          <w:tcPr>
            <w:tcW w:w="728" w:type="pct"/>
            <w:tcBorders>
              <w:tl2br w:val="nil"/>
              <w:tr2bl w:val="nil"/>
            </w:tcBorders>
            <w:noWrap/>
            <w:tcMar>
              <w:top w:w="15" w:type="dxa"/>
              <w:left w:w="15" w:type="dxa"/>
              <w:right w:w="15" w:type="dxa"/>
            </w:tcMar>
            <w:vAlign w:val="center"/>
          </w:tcPr>
          <w:p w14:paraId="271E715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0.19</w:t>
            </w:r>
          </w:p>
        </w:tc>
        <w:tc>
          <w:tcPr>
            <w:tcW w:w="605" w:type="pct"/>
            <w:tcBorders>
              <w:tl2br w:val="nil"/>
              <w:tr2bl w:val="nil"/>
            </w:tcBorders>
            <w:tcMar>
              <w:top w:w="15" w:type="dxa"/>
              <w:left w:w="15" w:type="dxa"/>
              <w:right w:w="15" w:type="dxa"/>
            </w:tcMar>
            <w:vAlign w:val="center"/>
          </w:tcPr>
          <w:p w14:paraId="7FD0D00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38A8C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BBABF5E">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17E3CE2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64C0F4CE">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3B0B8E8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0.00227</w:t>
            </w:r>
          </w:p>
        </w:tc>
        <w:tc>
          <w:tcPr>
            <w:tcW w:w="580" w:type="pct"/>
            <w:tcBorders>
              <w:tl2br w:val="nil"/>
              <w:tr2bl w:val="nil"/>
            </w:tcBorders>
            <w:noWrap/>
            <w:tcMar>
              <w:top w:w="15" w:type="dxa"/>
              <w:left w:w="15" w:type="dxa"/>
              <w:right w:w="15" w:type="dxa"/>
            </w:tcMar>
            <w:vAlign w:val="center"/>
          </w:tcPr>
          <w:p w14:paraId="1EF1568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56A5A5D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605" w:type="pct"/>
            <w:tcBorders>
              <w:tl2br w:val="nil"/>
              <w:tr2bl w:val="nil"/>
            </w:tcBorders>
            <w:tcMar>
              <w:top w:w="15" w:type="dxa"/>
              <w:left w:w="15" w:type="dxa"/>
              <w:right w:w="15" w:type="dxa"/>
            </w:tcMar>
            <w:vAlign w:val="center"/>
          </w:tcPr>
          <w:p w14:paraId="7A41E065">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AECCD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2FCB0B8">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0D73447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和平管理区</w:t>
            </w:r>
          </w:p>
        </w:tc>
        <w:tc>
          <w:tcPr>
            <w:tcW w:w="507" w:type="pct"/>
            <w:tcBorders>
              <w:tl2br w:val="nil"/>
              <w:tr2bl w:val="nil"/>
            </w:tcBorders>
            <w:tcMar>
              <w:top w:w="15" w:type="dxa"/>
              <w:left w:w="15" w:type="dxa"/>
              <w:right w:w="15" w:type="dxa"/>
            </w:tcMar>
            <w:vAlign w:val="center"/>
          </w:tcPr>
          <w:p w14:paraId="467F3A7F">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4154D21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0.06798</w:t>
            </w:r>
          </w:p>
        </w:tc>
        <w:tc>
          <w:tcPr>
            <w:tcW w:w="580" w:type="pct"/>
            <w:tcBorders>
              <w:tl2br w:val="nil"/>
              <w:tr2bl w:val="nil"/>
            </w:tcBorders>
            <w:noWrap/>
            <w:tcMar>
              <w:top w:w="15" w:type="dxa"/>
              <w:left w:w="15" w:type="dxa"/>
              <w:right w:w="15" w:type="dxa"/>
            </w:tcMar>
            <w:vAlign w:val="center"/>
          </w:tcPr>
          <w:p w14:paraId="41D9203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728" w:type="pct"/>
            <w:tcBorders>
              <w:tl2br w:val="nil"/>
              <w:tr2bl w:val="nil"/>
            </w:tcBorders>
            <w:noWrap/>
            <w:tcMar>
              <w:top w:w="15" w:type="dxa"/>
              <w:left w:w="15" w:type="dxa"/>
              <w:right w:w="15" w:type="dxa"/>
            </w:tcMar>
            <w:vAlign w:val="center"/>
          </w:tcPr>
          <w:p w14:paraId="2381692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0.11</w:t>
            </w:r>
          </w:p>
        </w:tc>
        <w:tc>
          <w:tcPr>
            <w:tcW w:w="605" w:type="pct"/>
            <w:tcBorders>
              <w:tl2br w:val="nil"/>
              <w:tr2bl w:val="nil"/>
            </w:tcBorders>
            <w:tcMar>
              <w:top w:w="15" w:type="dxa"/>
              <w:left w:w="15" w:type="dxa"/>
              <w:right w:w="15" w:type="dxa"/>
            </w:tcMar>
            <w:vAlign w:val="center"/>
          </w:tcPr>
          <w:p w14:paraId="484F639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D6181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03C94D0">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534F8EB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23D51CE1">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71D2926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0.00292</w:t>
            </w:r>
          </w:p>
        </w:tc>
        <w:tc>
          <w:tcPr>
            <w:tcW w:w="580" w:type="pct"/>
            <w:tcBorders>
              <w:tl2br w:val="nil"/>
              <w:tr2bl w:val="nil"/>
            </w:tcBorders>
            <w:noWrap/>
            <w:tcMar>
              <w:top w:w="15" w:type="dxa"/>
              <w:left w:w="15" w:type="dxa"/>
              <w:right w:w="15" w:type="dxa"/>
            </w:tcMar>
            <w:vAlign w:val="center"/>
          </w:tcPr>
          <w:p w14:paraId="28B1603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06F8BE4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605" w:type="pct"/>
            <w:tcBorders>
              <w:tl2br w:val="nil"/>
              <w:tr2bl w:val="nil"/>
            </w:tcBorders>
            <w:tcMar>
              <w:top w:w="15" w:type="dxa"/>
              <w:left w:w="15" w:type="dxa"/>
              <w:right w:w="15" w:type="dxa"/>
            </w:tcMar>
            <w:vAlign w:val="center"/>
          </w:tcPr>
          <w:p w14:paraId="1CDB406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DBC76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2DC2335D">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0F283B6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南林小区</w:t>
            </w:r>
          </w:p>
        </w:tc>
        <w:tc>
          <w:tcPr>
            <w:tcW w:w="507" w:type="pct"/>
            <w:tcBorders>
              <w:tl2br w:val="nil"/>
              <w:tr2bl w:val="nil"/>
            </w:tcBorders>
            <w:tcMar>
              <w:top w:w="15" w:type="dxa"/>
              <w:left w:w="15" w:type="dxa"/>
              <w:right w:w="15" w:type="dxa"/>
            </w:tcMar>
            <w:vAlign w:val="center"/>
          </w:tcPr>
          <w:p w14:paraId="12530AB9">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504709D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0.05835</w:t>
            </w:r>
          </w:p>
        </w:tc>
        <w:tc>
          <w:tcPr>
            <w:tcW w:w="580" w:type="pct"/>
            <w:tcBorders>
              <w:tl2br w:val="nil"/>
              <w:tr2bl w:val="nil"/>
            </w:tcBorders>
            <w:noWrap/>
            <w:tcMar>
              <w:top w:w="15" w:type="dxa"/>
              <w:left w:w="15" w:type="dxa"/>
              <w:right w:w="15" w:type="dxa"/>
            </w:tcMar>
            <w:vAlign w:val="center"/>
          </w:tcPr>
          <w:p w14:paraId="3E83A76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240321</w:t>
            </w:r>
          </w:p>
        </w:tc>
        <w:tc>
          <w:tcPr>
            <w:tcW w:w="728" w:type="pct"/>
            <w:tcBorders>
              <w:tl2br w:val="nil"/>
              <w:tr2bl w:val="nil"/>
            </w:tcBorders>
            <w:noWrap/>
            <w:tcMar>
              <w:top w:w="15" w:type="dxa"/>
              <w:left w:w="15" w:type="dxa"/>
              <w:right w:w="15" w:type="dxa"/>
            </w:tcMar>
            <w:vAlign w:val="center"/>
          </w:tcPr>
          <w:p w14:paraId="1A0CFBF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0.10</w:t>
            </w:r>
          </w:p>
        </w:tc>
        <w:tc>
          <w:tcPr>
            <w:tcW w:w="605" w:type="pct"/>
            <w:tcBorders>
              <w:tl2br w:val="nil"/>
              <w:tr2bl w:val="nil"/>
            </w:tcBorders>
            <w:tcMar>
              <w:top w:w="15" w:type="dxa"/>
              <w:left w:w="15" w:type="dxa"/>
              <w:right w:w="15" w:type="dxa"/>
            </w:tcMar>
            <w:vAlign w:val="center"/>
          </w:tcPr>
          <w:p w14:paraId="77E6C6E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72E1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A6DC543">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578F77B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2BEE027C">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486CB55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0.0052</w:t>
            </w:r>
          </w:p>
        </w:tc>
        <w:tc>
          <w:tcPr>
            <w:tcW w:w="580" w:type="pct"/>
            <w:tcBorders>
              <w:tl2br w:val="nil"/>
              <w:tr2bl w:val="nil"/>
            </w:tcBorders>
            <w:noWrap/>
            <w:tcMar>
              <w:top w:w="15" w:type="dxa"/>
              <w:left w:w="15" w:type="dxa"/>
              <w:right w:w="15" w:type="dxa"/>
            </w:tcMar>
            <w:vAlign w:val="center"/>
          </w:tcPr>
          <w:p w14:paraId="6D4766A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034EA6C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w:t>
            </w:r>
          </w:p>
        </w:tc>
        <w:tc>
          <w:tcPr>
            <w:tcW w:w="605" w:type="pct"/>
            <w:tcBorders>
              <w:tl2br w:val="nil"/>
              <w:tr2bl w:val="nil"/>
            </w:tcBorders>
            <w:tcMar>
              <w:top w:w="15" w:type="dxa"/>
              <w:left w:w="15" w:type="dxa"/>
              <w:right w:w="15" w:type="dxa"/>
            </w:tcMar>
            <w:vAlign w:val="center"/>
          </w:tcPr>
          <w:p w14:paraId="55BEA57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CAFB2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2E9961FD">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3AE93F8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八五二农场四分场</w:t>
            </w:r>
          </w:p>
        </w:tc>
        <w:tc>
          <w:tcPr>
            <w:tcW w:w="507" w:type="pct"/>
            <w:tcBorders>
              <w:tl2br w:val="nil"/>
              <w:tr2bl w:val="nil"/>
            </w:tcBorders>
            <w:tcMar>
              <w:top w:w="15" w:type="dxa"/>
              <w:left w:w="15" w:type="dxa"/>
              <w:right w:w="15" w:type="dxa"/>
            </w:tcMar>
            <w:vAlign w:val="center"/>
          </w:tcPr>
          <w:p w14:paraId="601E7780">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58F2C33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0.03192</w:t>
            </w:r>
          </w:p>
        </w:tc>
        <w:tc>
          <w:tcPr>
            <w:tcW w:w="580" w:type="pct"/>
            <w:tcBorders>
              <w:tl2br w:val="nil"/>
              <w:tr2bl w:val="nil"/>
            </w:tcBorders>
            <w:noWrap/>
            <w:tcMar>
              <w:top w:w="15" w:type="dxa"/>
              <w:left w:w="15" w:type="dxa"/>
              <w:right w:w="15" w:type="dxa"/>
            </w:tcMar>
            <w:vAlign w:val="center"/>
          </w:tcPr>
          <w:p w14:paraId="4084F09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240212</w:t>
            </w:r>
          </w:p>
        </w:tc>
        <w:tc>
          <w:tcPr>
            <w:tcW w:w="728" w:type="pct"/>
            <w:tcBorders>
              <w:tl2br w:val="nil"/>
              <w:tr2bl w:val="nil"/>
            </w:tcBorders>
            <w:noWrap/>
            <w:tcMar>
              <w:top w:w="15" w:type="dxa"/>
              <w:left w:w="15" w:type="dxa"/>
              <w:right w:w="15" w:type="dxa"/>
            </w:tcMar>
            <w:vAlign w:val="center"/>
          </w:tcPr>
          <w:p w14:paraId="17E8DF2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605" w:type="pct"/>
            <w:tcBorders>
              <w:tl2br w:val="nil"/>
              <w:tr2bl w:val="nil"/>
            </w:tcBorders>
            <w:tcMar>
              <w:top w:w="15" w:type="dxa"/>
              <w:left w:w="15" w:type="dxa"/>
              <w:right w:w="15" w:type="dxa"/>
            </w:tcMar>
            <w:vAlign w:val="center"/>
          </w:tcPr>
          <w:p w14:paraId="69735CB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EEB0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9BA45CB">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244573F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5E16BE06">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30BB814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0.00146</w:t>
            </w:r>
          </w:p>
        </w:tc>
        <w:tc>
          <w:tcPr>
            <w:tcW w:w="580" w:type="pct"/>
            <w:tcBorders>
              <w:tl2br w:val="nil"/>
              <w:tr2bl w:val="nil"/>
            </w:tcBorders>
            <w:noWrap/>
            <w:tcMar>
              <w:top w:w="15" w:type="dxa"/>
              <w:left w:w="15" w:type="dxa"/>
              <w:right w:w="15" w:type="dxa"/>
            </w:tcMar>
            <w:vAlign w:val="center"/>
          </w:tcPr>
          <w:p w14:paraId="342ACD2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00DFC33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605" w:type="pct"/>
            <w:tcBorders>
              <w:tl2br w:val="nil"/>
              <w:tr2bl w:val="nil"/>
            </w:tcBorders>
            <w:tcMar>
              <w:top w:w="15" w:type="dxa"/>
              <w:left w:w="15" w:type="dxa"/>
              <w:right w:w="15" w:type="dxa"/>
            </w:tcMar>
            <w:vAlign w:val="center"/>
          </w:tcPr>
          <w:p w14:paraId="7E86813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95986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3D70E2DF">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4501796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八五二农场副业队</w:t>
            </w:r>
          </w:p>
        </w:tc>
        <w:tc>
          <w:tcPr>
            <w:tcW w:w="507" w:type="pct"/>
            <w:tcBorders>
              <w:tl2br w:val="nil"/>
              <w:tr2bl w:val="nil"/>
            </w:tcBorders>
            <w:tcMar>
              <w:top w:w="15" w:type="dxa"/>
              <w:left w:w="15" w:type="dxa"/>
              <w:right w:w="15" w:type="dxa"/>
            </w:tcMar>
            <w:vAlign w:val="center"/>
          </w:tcPr>
          <w:p w14:paraId="477B72E8">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4B95B6C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0.03968</w:t>
            </w:r>
          </w:p>
        </w:tc>
        <w:tc>
          <w:tcPr>
            <w:tcW w:w="580" w:type="pct"/>
            <w:tcBorders>
              <w:tl2br w:val="nil"/>
              <w:tr2bl w:val="nil"/>
            </w:tcBorders>
            <w:noWrap/>
            <w:tcMar>
              <w:top w:w="15" w:type="dxa"/>
              <w:left w:w="15" w:type="dxa"/>
              <w:right w:w="15" w:type="dxa"/>
            </w:tcMar>
            <w:vAlign w:val="center"/>
          </w:tcPr>
          <w:p w14:paraId="616F957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w:t>
            </w:r>
          </w:p>
        </w:tc>
        <w:tc>
          <w:tcPr>
            <w:tcW w:w="728" w:type="pct"/>
            <w:tcBorders>
              <w:tl2br w:val="nil"/>
              <w:tr2bl w:val="nil"/>
            </w:tcBorders>
            <w:noWrap/>
            <w:tcMar>
              <w:top w:w="15" w:type="dxa"/>
              <w:left w:w="15" w:type="dxa"/>
              <w:right w:w="15" w:type="dxa"/>
            </w:tcMar>
            <w:vAlign w:val="center"/>
          </w:tcPr>
          <w:p w14:paraId="4DE4BB3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w:t>
            </w:r>
          </w:p>
        </w:tc>
        <w:tc>
          <w:tcPr>
            <w:tcW w:w="605" w:type="pct"/>
            <w:tcBorders>
              <w:tl2br w:val="nil"/>
              <w:tr2bl w:val="nil"/>
            </w:tcBorders>
            <w:tcMar>
              <w:top w:w="15" w:type="dxa"/>
              <w:left w:w="15" w:type="dxa"/>
              <w:right w:w="15" w:type="dxa"/>
            </w:tcMar>
            <w:vAlign w:val="center"/>
          </w:tcPr>
          <w:p w14:paraId="20714FF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E864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8870DD9">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2A516A1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1122AF36">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4575B56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0.00182</w:t>
            </w:r>
          </w:p>
        </w:tc>
        <w:tc>
          <w:tcPr>
            <w:tcW w:w="580" w:type="pct"/>
            <w:tcBorders>
              <w:tl2br w:val="nil"/>
              <w:tr2bl w:val="nil"/>
            </w:tcBorders>
            <w:noWrap/>
            <w:tcMar>
              <w:top w:w="15" w:type="dxa"/>
              <w:left w:w="15" w:type="dxa"/>
              <w:right w:w="15" w:type="dxa"/>
            </w:tcMar>
            <w:vAlign w:val="center"/>
          </w:tcPr>
          <w:p w14:paraId="4C03CE3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07D305D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605" w:type="pct"/>
            <w:tcBorders>
              <w:tl2br w:val="nil"/>
              <w:tr2bl w:val="nil"/>
            </w:tcBorders>
            <w:tcMar>
              <w:top w:w="15" w:type="dxa"/>
              <w:left w:w="15" w:type="dxa"/>
              <w:right w:w="15" w:type="dxa"/>
            </w:tcMar>
            <w:vAlign w:val="center"/>
          </w:tcPr>
          <w:p w14:paraId="09A5987C">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0A544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8E75291">
            <w:pPr>
              <w:pStyle w:val="34"/>
              <w:keepNext w:val="0"/>
              <w:keepLines w:val="0"/>
              <w:pageBreakBefore w:val="0"/>
              <w:kinsoku/>
              <w:wordWrap/>
              <w:overflowPunct/>
              <w:topLinePunct w:val="0"/>
              <w:bidi w:val="0"/>
              <w:adjustRightInd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381B913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八五二农场种畜站</w:t>
            </w:r>
          </w:p>
        </w:tc>
        <w:tc>
          <w:tcPr>
            <w:tcW w:w="507" w:type="pct"/>
            <w:tcBorders>
              <w:tl2br w:val="nil"/>
              <w:tr2bl w:val="nil"/>
            </w:tcBorders>
            <w:tcMar>
              <w:top w:w="15" w:type="dxa"/>
              <w:left w:w="15" w:type="dxa"/>
              <w:right w:w="15" w:type="dxa"/>
            </w:tcMar>
            <w:vAlign w:val="center"/>
          </w:tcPr>
          <w:p w14:paraId="1C715DEE">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656FB7D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0.03722</w:t>
            </w:r>
          </w:p>
        </w:tc>
        <w:tc>
          <w:tcPr>
            <w:tcW w:w="580" w:type="pct"/>
            <w:tcBorders>
              <w:tl2br w:val="nil"/>
              <w:tr2bl w:val="nil"/>
            </w:tcBorders>
            <w:noWrap/>
            <w:tcMar>
              <w:top w:w="15" w:type="dxa"/>
              <w:left w:w="15" w:type="dxa"/>
              <w:right w:w="15" w:type="dxa"/>
            </w:tcMar>
            <w:vAlign w:val="center"/>
          </w:tcPr>
          <w:p w14:paraId="0A21034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728" w:type="pct"/>
            <w:tcBorders>
              <w:tl2br w:val="nil"/>
              <w:tr2bl w:val="nil"/>
            </w:tcBorders>
            <w:noWrap/>
            <w:tcMar>
              <w:top w:w="15" w:type="dxa"/>
              <w:left w:w="15" w:type="dxa"/>
              <w:right w:w="15" w:type="dxa"/>
            </w:tcMar>
            <w:vAlign w:val="center"/>
          </w:tcPr>
          <w:p w14:paraId="79B7DC7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w:t>
            </w:r>
          </w:p>
        </w:tc>
        <w:tc>
          <w:tcPr>
            <w:tcW w:w="605" w:type="pct"/>
            <w:tcBorders>
              <w:tl2br w:val="nil"/>
              <w:tr2bl w:val="nil"/>
            </w:tcBorders>
            <w:tcMar>
              <w:top w:w="15" w:type="dxa"/>
              <w:left w:w="15" w:type="dxa"/>
              <w:right w:w="15" w:type="dxa"/>
            </w:tcMar>
            <w:vAlign w:val="center"/>
          </w:tcPr>
          <w:p w14:paraId="32DA6DBF">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3FD8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115EFF14">
            <w:pPr>
              <w:pStyle w:val="34"/>
              <w:keepNext w:val="0"/>
              <w:keepLines w:val="0"/>
              <w:pageBreakBefore w:val="0"/>
              <w:kinsoku/>
              <w:wordWrap/>
              <w:overflowPunct/>
              <w:topLinePunct w:val="0"/>
              <w:bidi w:val="0"/>
              <w:adjustRightInd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47DABF5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1F8C8048">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2AB81AB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0.00258</w:t>
            </w:r>
          </w:p>
        </w:tc>
        <w:tc>
          <w:tcPr>
            <w:tcW w:w="580" w:type="pct"/>
            <w:tcBorders>
              <w:tl2br w:val="nil"/>
              <w:tr2bl w:val="nil"/>
            </w:tcBorders>
            <w:noWrap/>
            <w:tcMar>
              <w:top w:w="15" w:type="dxa"/>
              <w:left w:w="15" w:type="dxa"/>
              <w:right w:w="15" w:type="dxa"/>
            </w:tcMar>
            <w:vAlign w:val="center"/>
          </w:tcPr>
          <w:p w14:paraId="784454F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3EA9834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605" w:type="pct"/>
            <w:tcBorders>
              <w:tl2br w:val="nil"/>
              <w:tr2bl w:val="nil"/>
            </w:tcBorders>
            <w:tcMar>
              <w:top w:w="15" w:type="dxa"/>
              <w:left w:w="15" w:type="dxa"/>
              <w:right w:w="15" w:type="dxa"/>
            </w:tcMar>
            <w:vAlign w:val="center"/>
          </w:tcPr>
          <w:p w14:paraId="0DD6EB7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EB22C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42BA5031">
            <w:pPr>
              <w:pStyle w:val="34"/>
              <w:keepNext w:val="0"/>
              <w:keepLines w:val="0"/>
              <w:pageBreakBefore w:val="0"/>
              <w:kinsoku/>
              <w:wordWrap/>
              <w:overflowPunct/>
              <w:topLinePunct w:val="0"/>
              <w:bidi w:val="0"/>
              <w:adjustRightInd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387DDC7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迎春林业局光明林场</w:t>
            </w:r>
          </w:p>
        </w:tc>
        <w:tc>
          <w:tcPr>
            <w:tcW w:w="507" w:type="pct"/>
            <w:tcBorders>
              <w:tl2br w:val="nil"/>
              <w:tr2bl w:val="nil"/>
            </w:tcBorders>
            <w:tcMar>
              <w:top w:w="15" w:type="dxa"/>
              <w:left w:w="15" w:type="dxa"/>
              <w:right w:w="15" w:type="dxa"/>
            </w:tcMar>
            <w:vAlign w:val="center"/>
          </w:tcPr>
          <w:p w14:paraId="03472AD7">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4BFF5FB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0.0286</w:t>
            </w:r>
          </w:p>
        </w:tc>
        <w:tc>
          <w:tcPr>
            <w:tcW w:w="580" w:type="pct"/>
            <w:tcBorders>
              <w:tl2br w:val="nil"/>
              <w:tr2bl w:val="nil"/>
            </w:tcBorders>
            <w:noWrap/>
            <w:tcMar>
              <w:top w:w="15" w:type="dxa"/>
              <w:left w:w="15" w:type="dxa"/>
              <w:right w:w="15" w:type="dxa"/>
            </w:tcMar>
            <w:vAlign w:val="center"/>
          </w:tcPr>
          <w:p w14:paraId="5B6E535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241203</w:t>
            </w:r>
          </w:p>
        </w:tc>
        <w:tc>
          <w:tcPr>
            <w:tcW w:w="728" w:type="pct"/>
            <w:tcBorders>
              <w:tl2br w:val="nil"/>
              <w:tr2bl w:val="nil"/>
            </w:tcBorders>
            <w:noWrap/>
            <w:tcMar>
              <w:top w:w="15" w:type="dxa"/>
              <w:left w:w="15" w:type="dxa"/>
              <w:right w:w="15" w:type="dxa"/>
            </w:tcMar>
            <w:vAlign w:val="center"/>
          </w:tcPr>
          <w:p w14:paraId="7DA02C6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605" w:type="pct"/>
            <w:tcBorders>
              <w:tl2br w:val="nil"/>
              <w:tr2bl w:val="nil"/>
            </w:tcBorders>
            <w:tcMar>
              <w:top w:w="15" w:type="dxa"/>
              <w:left w:w="15" w:type="dxa"/>
              <w:right w:w="15" w:type="dxa"/>
            </w:tcMar>
            <w:vAlign w:val="center"/>
          </w:tcPr>
          <w:p w14:paraId="48AB0547">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48B4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1B1C8B17">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1728343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2BA5E272">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58C7078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0.0016</w:t>
            </w:r>
          </w:p>
        </w:tc>
        <w:tc>
          <w:tcPr>
            <w:tcW w:w="580" w:type="pct"/>
            <w:tcBorders>
              <w:tl2br w:val="nil"/>
              <w:tr2bl w:val="nil"/>
            </w:tcBorders>
            <w:noWrap/>
            <w:tcMar>
              <w:top w:w="15" w:type="dxa"/>
              <w:left w:w="15" w:type="dxa"/>
              <w:right w:w="15" w:type="dxa"/>
            </w:tcMar>
            <w:vAlign w:val="center"/>
          </w:tcPr>
          <w:p w14:paraId="2B6F6E1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6AD9A22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605" w:type="pct"/>
            <w:tcBorders>
              <w:tl2br w:val="nil"/>
              <w:tr2bl w:val="nil"/>
            </w:tcBorders>
            <w:tcMar>
              <w:top w:w="15" w:type="dxa"/>
              <w:left w:w="15" w:type="dxa"/>
              <w:right w:w="15" w:type="dxa"/>
            </w:tcMar>
            <w:vAlign w:val="center"/>
          </w:tcPr>
          <w:p w14:paraId="0707B30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FB37A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39F9DC74">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27AAC8F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虎宝工厂南林工段</w:t>
            </w:r>
          </w:p>
        </w:tc>
        <w:tc>
          <w:tcPr>
            <w:tcW w:w="507" w:type="pct"/>
            <w:tcBorders>
              <w:tl2br w:val="nil"/>
              <w:tr2bl w:val="nil"/>
            </w:tcBorders>
            <w:tcMar>
              <w:top w:w="15" w:type="dxa"/>
              <w:left w:w="15" w:type="dxa"/>
              <w:right w:w="15" w:type="dxa"/>
            </w:tcMar>
            <w:vAlign w:val="center"/>
          </w:tcPr>
          <w:p w14:paraId="11121993">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078CAA1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0.08307</w:t>
            </w:r>
          </w:p>
        </w:tc>
        <w:tc>
          <w:tcPr>
            <w:tcW w:w="580" w:type="pct"/>
            <w:tcBorders>
              <w:tl2br w:val="nil"/>
              <w:tr2bl w:val="nil"/>
            </w:tcBorders>
            <w:noWrap/>
            <w:tcMar>
              <w:top w:w="15" w:type="dxa"/>
              <w:left w:w="15" w:type="dxa"/>
              <w:right w:w="15" w:type="dxa"/>
            </w:tcMar>
            <w:vAlign w:val="center"/>
          </w:tcPr>
          <w:p w14:paraId="04A27BE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241122</w:t>
            </w:r>
          </w:p>
        </w:tc>
        <w:tc>
          <w:tcPr>
            <w:tcW w:w="728" w:type="pct"/>
            <w:tcBorders>
              <w:tl2br w:val="nil"/>
              <w:tr2bl w:val="nil"/>
            </w:tcBorders>
            <w:noWrap/>
            <w:tcMar>
              <w:top w:w="15" w:type="dxa"/>
              <w:left w:w="15" w:type="dxa"/>
              <w:right w:w="15" w:type="dxa"/>
            </w:tcMar>
            <w:vAlign w:val="center"/>
          </w:tcPr>
          <w:p w14:paraId="1C1DE33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0.14</w:t>
            </w:r>
          </w:p>
        </w:tc>
        <w:tc>
          <w:tcPr>
            <w:tcW w:w="605" w:type="pct"/>
            <w:tcBorders>
              <w:tl2br w:val="nil"/>
              <w:tr2bl w:val="nil"/>
            </w:tcBorders>
            <w:tcMar>
              <w:top w:w="15" w:type="dxa"/>
              <w:left w:w="15" w:type="dxa"/>
              <w:right w:w="15" w:type="dxa"/>
            </w:tcMar>
            <w:vAlign w:val="center"/>
          </w:tcPr>
          <w:p w14:paraId="0B5FAAD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95A2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4159A62B">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6605B6D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0DFD49F9">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6F82882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0.00511</w:t>
            </w:r>
          </w:p>
        </w:tc>
        <w:tc>
          <w:tcPr>
            <w:tcW w:w="580" w:type="pct"/>
            <w:tcBorders>
              <w:tl2br w:val="nil"/>
              <w:tr2bl w:val="nil"/>
            </w:tcBorders>
            <w:noWrap/>
            <w:tcMar>
              <w:top w:w="15" w:type="dxa"/>
              <w:left w:w="15" w:type="dxa"/>
              <w:right w:w="15" w:type="dxa"/>
            </w:tcMar>
            <w:vAlign w:val="center"/>
          </w:tcPr>
          <w:p w14:paraId="280A872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55DFE7F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w:t>
            </w:r>
          </w:p>
        </w:tc>
        <w:tc>
          <w:tcPr>
            <w:tcW w:w="605" w:type="pct"/>
            <w:tcBorders>
              <w:tl2br w:val="nil"/>
              <w:tr2bl w:val="nil"/>
            </w:tcBorders>
            <w:tcMar>
              <w:top w:w="15" w:type="dxa"/>
              <w:left w:w="15" w:type="dxa"/>
              <w:right w:w="15" w:type="dxa"/>
            </w:tcMar>
            <w:vAlign w:val="center"/>
          </w:tcPr>
          <w:p w14:paraId="66566670">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B23C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15847C23">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7801742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虎宝村</w:t>
            </w:r>
          </w:p>
        </w:tc>
        <w:tc>
          <w:tcPr>
            <w:tcW w:w="507" w:type="pct"/>
            <w:tcBorders>
              <w:tl2br w:val="nil"/>
              <w:tr2bl w:val="nil"/>
            </w:tcBorders>
            <w:tcMar>
              <w:top w:w="15" w:type="dxa"/>
              <w:left w:w="15" w:type="dxa"/>
              <w:right w:w="15" w:type="dxa"/>
            </w:tcMar>
            <w:vAlign w:val="center"/>
          </w:tcPr>
          <w:p w14:paraId="43092225">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3DD3FA1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0.04015</w:t>
            </w:r>
          </w:p>
        </w:tc>
        <w:tc>
          <w:tcPr>
            <w:tcW w:w="580" w:type="pct"/>
            <w:tcBorders>
              <w:tl2br w:val="nil"/>
              <w:tr2bl w:val="nil"/>
            </w:tcBorders>
            <w:noWrap/>
            <w:tcMar>
              <w:top w:w="15" w:type="dxa"/>
              <w:left w:w="15" w:type="dxa"/>
              <w:right w:w="15" w:type="dxa"/>
            </w:tcMar>
            <w:vAlign w:val="center"/>
          </w:tcPr>
          <w:p w14:paraId="2B4EC71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240121</w:t>
            </w:r>
          </w:p>
        </w:tc>
        <w:tc>
          <w:tcPr>
            <w:tcW w:w="728" w:type="pct"/>
            <w:tcBorders>
              <w:tl2br w:val="nil"/>
              <w:tr2bl w:val="nil"/>
            </w:tcBorders>
            <w:noWrap/>
            <w:tcMar>
              <w:top w:w="15" w:type="dxa"/>
              <w:left w:w="15" w:type="dxa"/>
              <w:right w:w="15" w:type="dxa"/>
            </w:tcMar>
            <w:vAlign w:val="center"/>
          </w:tcPr>
          <w:p w14:paraId="65C714B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w:t>
            </w:r>
          </w:p>
        </w:tc>
        <w:tc>
          <w:tcPr>
            <w:tcW w:w="605" w:type="pct"/>
            <w:tcBorders>
              <w:tl2br w:val="nil"/>
              <w:tr2bl w:val="nil"/>
            </w:tcBorders>
            <w:tcMar>
              <w:top w:w="15" w:type="dxa"/>
              <w:left w:w="15" w:type="dxa"/>
              <w:right w:w="15" w:type="dxa"/>
            </w:tcMar>
            <w:vAlign w:val="center"/>
          </w:tcPr>
          <w:p w14:paraId="1D12C683">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362F6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0E1D23E">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37A7176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507" w:type="pct"/>
            <w:tcBorders>
              <w:tl2br w:val="nil"/>
              <w:tr2bl w:val="nil"/>
            </w:tcBorders>
            <w:tcMar>
              <w:top w:w="15" w:type="dxa"/>
              <w:left w:w="15" w:type="dxa"/>
              <w:right w:w="15" w:type="dxa"/>
            </w:tcMar>
            <w:vAlign w:val="center"/>
          </w:tcPr>
          <w:p w14:paraId="210909C0">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7F74C15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0.00281</w:t>
            </w:r>
          </w:p>
        </w:tc>
        <w:tc>
          <w:tcPr>
            <w:tcW w:w="580" w:type="pct"/>
            <w:tcBorders>
              <w:tl2br w:val="nil"/>
              <w:tr2bl w:val="nil"/>
            </w:tcBorders>
            <w:noWrap/>
            <w:tcMar>
              <w:top w:w="15" w:type="dxa"/>
              <w:left w:w="15" w:type="dxa"/>
              <w:right w:w="15" w:type="dxa"/>
            </w:tcMar>
            <w:vAlign w:val="center"/>
          </w:tcPr>
          <w:p w14:paraId="3E07AFD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6B32E9C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605" w:type="pct"/>
            <w:tcBorders>
              <w:tl2br w:val="nil"/>
              <w:tr2bl w:val="nil"/>
            </w:tcBorders>
            <w:tcMar>
              <w:top w:w="15" w:type="dxa"/>
              <w:left w:w="15" w:type="dxa"/>
              <w:right w:w="15" w:type="dxa"/>
            </w:tcMar>
            <w:vAlign w:val="center"/>
          </w:tcPr>
          <w:p w14:paraId="7F180C1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90CC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16801EA1">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restart"/>
            <w:tcBorders>
              <w:tl2br w:val="nil"/>
              <w:tr2bl w:val="nil"/>
            </w:tcBorders>
            <w:tcMar>
              <w:top w:w="15" w:type="dxa"/>
              <w:left w:w="15" w:type="dxa"/>
              <w:right w:w="15" w:type="dxa"/>
            </w:tcMar>
            <w:vAlign w:val="center"/>
          </w:tcPr>
          <w:p w14:paraId="231557F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区域最大落地浓度</w:t>
            </w:r>
          </w:p>
        </w:tc>
        <w:tc>
          <w:tcPr>
            <w:tcW w:w="507" w:type="pct"/>
            <w:tcBorders>
              <w:tl2br w:val="nil"/>
              <w:tr2bl w:val="nil"/>
            </w:tcBorders>
            <w:tcMar>
              <w:top w:w="15" w:type="dxa"/>
              <w:left w:w="15" w:type="dxa"/>
              <w:right w:w="15" w:type="dxa"/>
            </w:tcMar>
            <w:vAlign w:val="center"/>
          </w:tcPr>
          <w:p w14:paraId="27F46B50">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88" w:type="pct"/>
            <w:tcBorders>
              <w:tl2br w:val="nil"/>
              <w:tr2bl w:val="nil"/>
            </w:tcBorders>
            <w:noWrap/>
            <w:tcMar>
              <w:top w:w="15" w:type="dxa"/>
              <w:left w:w="15" w:type="dxa"/>
              <w:right w:w="15" w:type="dxa"/>
            </w:tcMar>
            <w:vAlign w:val="center"/>
          </w:tcPr>
          <w:p w14:paraId="461635E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0.24347</w:t>
            </w:r>
          </w:p>
        </w:tc>
        <w:tc>
          <w:tcPr>
            <w:tcW w:w="580" w:type="pct"/>
            <w:tcBorders>
              <w:tl2br w:val="nil"/>
              <w:tr2bl w:val="nil"/>
            </w:tcBorders>
            <w:noWrap/>
            <w:tcMar>
              <w:top w:w="15" w:type="dxa"/>
              <w:left w:w="15" w:type="dxa"/>
              <w:right w:w="15" w:type="dxa"/>
            </w:tcMar>
            <w:vAlign w:val="center"/>
          </w:tcPr>
          <w:p w14:paraId="286A9C8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241014</w:t>
            </w:r>
          </w:p>
        </w:tc>
        <w:tc>
          <w:tcPr>
            <w:tcW w:w="728" w:type="pct"/>
            <w:tcBorders>
              <w:tl2br w:val="nil"/>
              <w:tr2bl w:val="nil"/>
            </w:tcBorders>
            <w:noWrap/>
            <w:tcMar>
              <w:top w:w="15" w:type="dxa"/>
              <w:left w:w="15" w:type="dxa"/>
              <w:right w:w="15" w:type="dxa"/>
            </w:tcMar>
            <w:vAlign w:val="center"/>
          </w:tcPr>
          <w:p w14:paraId="30E36CF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0.41</w:t>
            </w:r>
          </w:p>
        </w:tc>
        <w:tc>
          <w:tcPr>
            <w:tcW w:w="605" w:type="pct"/>
            <w:tcBorders>
              <w:tl2br w:val="nil"/>
              <w:tr2bl w:val="nil"/>
            </w:tcBorders>
            <w:tcMar>
              <w:top w:w="15" w:type="dxa"/>
              <w:left w:w="15" w:type="dxa"/>
              <w:right w:w="15" w:type="dxa"/>
            </w:tcMar>
            <w:vAlign w:val="center"/>
          </w:tcPr>
          <w:p w14:paraId="75224B4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699CD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36B9B357">
            <w:pPr>
              <w:keepNext w:val="0"/>
              <w:keepLines w:val="0"/>
              <w:pageBreakBefore w:val="0"/>
              <w:kinsoku/>
              <w:wordWrap/>
              <w:overflowPunct/>
              <w:topLinePunct w:val="0"/>
              <w:bidi w:val="0"/>
              <w:adjustRightInd w:val="0"/>
              <w:snapToGrid/>
              <w:spacing w:line="320" w:lineRule="exact"/>
              <w:ind w:firstLine="0" w:firstLineChars="0"/>
              <w:jc w:val="center"/>
              <w:rPr>
                <w:rFonts w:ascii="Times New Roman" w:hAnsi="Times New Roman" w:eastAsia="宋体" w:cs="Times New Roman"/>
                <w:color w:val="auto"/>
                <w:sz w:val="21"/>
                <w:szCs w:val="21"/>
              </w:rPr>
            </w:pPr>
          </w:p>
        </w:tc>
        <w:tc>
          <w:tcPr>
            <w:tcW w:w="989" w:type="pct"/>
            <w:vMerge w:val="continue"/>
            <w:tcBorders>
              <w:tl2br w:val="nil"/>
              <w:tr2bl w:val="nil"/>
            </w:tcBorders>
            <w:tcMar>
              <w:top w:w="15" w:type="dxa"/>
              <w:left w:w="15" w:type="dxa"/>
              <w:right w:w="15" w:type="dxa"/>
            </w:tcMar>
            <w:vAlign w:val="center"/>
          </w:tcPr>
          <w:p w14:paraId="7C83F6AF">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507" w:type="pct"/>
            <w:tcBorders>
              <w:tl2br w:val="nil"/>
              <w:tr2bl w:val="nil"/>
            </w:tcBorders>
            <w:tcMar>
              <w:top w:w="15" w:type="dxa"/>
              <w:left w:w="15" w:type="dxa"/>
              <w:right w:w="15" w:type="dxa"/>
            </w:tcMar>
            <w:vAlign w:val="center"/>
          </w:tcPr>
          <w:p w14:paraId="62CF8552">
            <w:pPr>
              <w:keepNext w:val="0"/>
              <w:keepLines w:val="0"/>
              <w:pageBreakBefore w:val="0"/>
              <w:widowControl/>
              <w:kinsoku/>
              <w:wordWrap/>
              <w:overflowPunct/>
              <w:topLinePunct w:val="0"/>
              <w:bidi w:val="0"/>
              <w:adjustRightInd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88" w:type="pct"/>
            <w:tcBorders>
              <w:tl2br w:val="nil"/>
              <w:tr2bl w:val="nil"/>
            </w:tcBorders>
            <w:noWrap/>
            <w:tcMar>
              <w:top w:w="15" w:type="dxa"/>
              <w:left w:w="15" w:type="dxa"/>
              <w:right w:w="15" w:type="dxa"/>
            </w:tcMar>
            <w:vAlign w:val="center"/>
          </w:tcPr>
          <w:p w14:paraId="0B67FAB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0.02166</w:t>
            </w:r>
          </w:p>
        </w:tc>
        <w:tc>
          <w:tcPr>
            <w:tcW w:w="580" w:type="pct"/>
            <w:tcBorders>
              <w:tl2br w:val="nil"/>
              <w:tr2bl w:val="nil"/>
            </w:tcBorders>
            <w:noWrap/>
            <w:tcMar>
              <w:top w:w="15" w:type="dxa"/>
              <w:left w:w="15" w:type="dxa"/>
              <w:right w:w="15" w:type="dxa"/>
            </w:tcMar>
            <w:vAlign w:val="center"/>
          </w:tcPr>
          <w:p w14:paraId="6A62E5F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8" w:type="pct"/>
            <w:tcBorders>
              <w:tl2br w:val="nil"/>
              <w:tr2bl w:val="nil"/>
            </w:tcBorders>
            <w:noWrap/>
            <w:tcMar>
              <w:top w:w="15" w:type="dxa"/>
              <w:left w:w="15" w:type="dxa"/>
              <w:right w:w="15" w:type="dxa"/>
            </w:tcMar>
            <w:vAlign w:val="center"/>
          </w:tcPr>
          <w:p w14:paraId="6789717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w:t>
            </w:r>
          </w:p>
        </w:tc>
        <w:tc>
          <w:tcPr>
            <w:tcW w:w="605" w:type="pct"/>
            <w:tcBorders>
              <w:tl2br w:val="nil"/>
              <w:tr2bl w:val="nil"/>
            </w:tcBorders>
            <w:tcMar>
              <w:top w:w="15" w:type="dxa"/>
              <w:left w:w="15" w:type="dxa"/>
              <w:right w:w="15" w:type="dxa"/>
            </w:tcMar>
            <w:vAlign w:val="center"/>
          </w:tcPr>
          <w:p w14:paraId="215B864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bl>
    <w:p w14:paraId="17F62B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表6.2-1</w:t>
      </w:r>
      <w:r>
        <w:rPr>
          <w:rFonts w:hint="eastAsia" w:ascii="Times New Roman" w:hAnsi="Times New Roman" w:eastAsia="宋体" w:cs="Times New Roman"/>
          <w:b/>
          <w:bCs/>
          <w:color w:val="auto"/>
          <w:sz w:val="24"/>
          <w:szCs w:val="24"/>
          <w:lang w:val="en-US" w:eastAsia="zh-CN"/>
        </w:rPr>
        <w:t>5</w:t>
      </w:r>
      <w:r>
        <w:rPr>
          <w:rFonts w:hint="default" w:ascii="Times New Roman" w:hAnsi="Times New Roman" w:eastAsia="宋体" w:cs="Times New Roman"/>
          <w:b/>
          <w:bCs/>
          <w:color w:val="auto"/>
          <w:sz w:val="24"/>
          <w:szCs w:val="24"/>
          <w:lang w:val="en-US" w:eastAsia="zh-CN"/>
        </w:rPr>
        <w:t xml:space="preserve">  本项目SO</w:t>
      </w:r>
      <w:r>
        <w:rPr>
          <w:rFonts w:hint="default" w:ascii="Times New Roman" w:hAnsi="Times New Roman" w:eastAsia="宋体" w:cs="Times New Roman"/>
          <w:b/>
          <w:bCs/>
          <w:color w:val="auto"/>
          <w:sz w:val="24"/>
          <w:szCs w:val="24"/>
          <w:vertAlign w:val="subscript"/>
          <w:lang w:val="en-US" w:eastAsia="zh-CN"/>
        </w:rPr>
        <w:t>2</w:t>
      </w:r>
      <w:r>
        <w:rPr>
          <w:rFonts w:hint="default" w:ascii="Times New Roman" w:hAnsi="Times New Roman" w:eastAsia="宋体" w:cs="Times New Roman"/>
          <w:b/>
          <w:bCs/>
          <w:color w:val="auto"/>
          <w:sz w:val="24"/>
          <w:szCs w:val="24"/>
          <w:lang w:val="en-US" w:eastAsia="zh-CN"/>
        </w:rPr>
        <w:t>贡献质量浓度预测结果表</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63"/>
        <w:gridCol w:w="1578"/>
        <w:gridCol w:w="1001"/>
        <w:gridCol w:w="1521"/>
        <w:gridCol w:w="1379"/>
        <w:gridCol w:w="1143"/>
        <w:gridCol w:w="940"/>
      </w:tblGrid>
      <w:tr w14:paraId="74C6C9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tcBorders>
              <w:tl2br w:val="nil"/>
              <w:tr2bl w:val="nil"/>
            </w:tcBorders>
            <w:tcMar>
              <w:top w:w="15" w:type="dxa"/>
              <w:left w:w="15" w:type="dxa"/>
              <w:right w:w="15" w:type="dxa"/>
            </w:tcMar>
            <w:vAlign w:val="center"/>
          </w:tcPr>
          <w:p w14:paraId="32B9D66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947" w:type="pct"/>
            <w:tcBorders>
              <w:tl2br w:val="nil"/>
              <w:tr2bl w:val="nil"/>
            </w:tcBorders>
            <w:tcMar>
              <w:top w:w="15" w:type="dxa"/>
              <w:left w:w="15" w:type="dxa"/>
              <w:right w:w="15" w:type="dxa"/>
            </w:tcMar>
            <w:vAlign w:val="center"/>
          </w:tcPr>
          <w:p w14:paraId="166F34C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预测点</w:t>
            </w:r>
          </w:p>
        </w:tc>
        <w:tc>
          <w:tcPr>
            <w:tcW w:w="601" w:type="pct"/>
            <w:tcBorders>
              <w:tl2br w:val="nil"/>
              <w:tr2bl w:val="nil"/>
            </w:tcBorders>
            <w:tcMar>
              <w:top w:w="15" w:type="dxa"/>
              <w:left w:w="15" w:type="dxa"/>
              <w:right w:w="15" w:type="dxa"/>
            </w:tcMar>
            <w:vAlign w:val="center"/>
          </w:tcPr>
          <w:p w14:paraId="29EF7850">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平均时段</w:t>
            </w:r>
          </w:p>
        </w:tc>
        <w:tc>
          <w:tcPr>
            <w:tcW w:w="913" w:type="pct"/>
            <w:tcBorders>
              <w:tl2br w:val="nil"/>
              <w:tr2bl w:val="nil"/>
            </w:tcBorders>
            <w:tcMar>
              <w:top w:w="15" w:type="dxa"/>
              <w:left w:w="15" w:type="dxa"/>
              <w:right w:w="15" w:type="dxa"/>
            </w:tcMar>
            <w:vAlign w:val="center"/>
          </w:tcPr>
          <w:p w14:paraId="60E7B33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最大贡献值/</w:t>
            </w:r>
            <w:r>
              <w:rPr>
                <w:rStyle w:val="120"/>
                <w:rFonts w:hint="default" w:ascii="Times New Roman" w:hAnsi="Times New Roman" w:cs="Times New Roman"/>
                <w:color w:val="auto"/>
                <w:lang w:bidi="ar"/>
              </w:rPr>
              <w:t>（μ</w:t>
            </w:r>
            <w:r>
              <w:rPr>
                <w:rFonts w:ascii="Times New Roman" w:hAnsi="Times New Roman" w:eastAsia="宋体" w:cs="Times New Roman"/>
                <w:color w:val="auto"/>
                <w:kern w:val="0"/>
                <w:sz w:val="21"/>
                <w:szCs w:val="21"/>
                <w:lang w:bidi="ar"/>
              </w:rPr>
              <w:t>g/m</w:t>
            </w:r>
            <w:r>
              <w:rPr>
                <w:rFonts w:ascii="Times New Roman" w:hAnsi="Times New Roman" w:eastAsia="宋体" w:cs="Times New Roman"/>
                <w:color w:val="auto"/>
                <w:kern w:val="0"/>
                <w:sz w:val="21"/>
                <w:szCs w:val="21"/>
                <w:vertAlign w:val="superscript"/>
                <w:lang w:bidi="ar"/>
              </w:rPr>
              <w:t>3</w:t>
            </w:r>
            <w:r>
              <w:rPr>
                <w:rStyle w:val="120"/>
                <w:rFonts w:hint="default" w:ascii="Times New Roman" w:hAnsi="Times New Roman" w:cs="Times New Roman"/>
                <w:color w:val="auto"/>
                <w:lang w:bidi="ar"/>
              </w:rPr>
              <w:t>）</w:t>
            </w:r>
          </w:p>
        </w:tc>
        <w:tc>
          <w:tcPr>
            <w:tcW w:w="828" w:type="pct"/>
            <w:tcBorders>
              <w:tl2br w:val="nil"/>
              <w:tr2bl w:val="nil"/>
            </w:tcBorders>
            <w:tcMar>
              <w:top w:w="15" w:type="dxa"/>
              <w:left w:w="15" w:type="dxa"/>
              <w:right w:w="15" w:type="dxa"/>
            </w:tcMar>
            <w:vAlign w:val="center"/>
          </w:tcPr>
          <w:p w14:paraId="2168942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出现时间</w:t>
            </w:r>
          </w:p>
        </w:tc>
        <w:tc>
          <w:tcPr>
            <w:tcW w:w="686" w:type="pct"/>
            <w:tcBorders>
              <w:tl2br w:val="nil"/>
              <w:tr2bl w:val="nil"/>
            </w:tcBorders>
            <w:tcMar>
              <w:top w:w="15" w:type="dxa"/>
              <w:left w:w="15" w:type="dxa"/>
              <w:right w:w="15" w:type="dxa"/>
            </w:tcMar>
            <w:vAlign w:val="center"/>
          </w:tcPr>
          <w:p w14:paraId="0B4A26BF">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r>
              <w:rPr>
                <w:rStyle w:val="120"/>
                <w:rFonts w:hint="default" w:ascii="Times New Roman" w:hAnsi="Times New Roman" w:cs="Times New Roman"/>
                <w:color w:val="auto"/>
                <w:lang w:bidi="ar"/>
              </w:rPr>
              <w:t>（</w:t>
            </w:r>
            <w:r>
              <w:rPr>
                <w:rStyle w:val="121"/>
                <w:rFonts w:eastAsia="宋体"/>
                <w:color w:val="auto"/>
                <w:lang w:bidi="ar"/>
              </w:rPr>
              <w:t>%</w:t>
            </w:r>
            <w:r>
              <w:rPr>
                <w:rStyle w:val="120"/>
                <w:rFonts w:hint="default" w:ascii="Times New Roman" w:hAnsi="Times New Roman" w:cs="Times New Roman"/>
                <w:color w:val="auto"/>
                <w:lang w:bidi="ar"/>
              </w:rPr>
              <w:t>）</w:t>
            </w:r>
          </w:p>
        </w:tc>
        <w:tc>
          <w:tcPr>
            <w:tcW w:w="564" w:type="pct"/>
            <w:tcBorders>
              <w:tl2br w:val="nil"/>
              <w:tr2bl w:val="nil"/>
            </w:tcBorders>
            <w:tcMar>
              <w:top w:w="15" w:type="dxa"/>
              <w:left w:w="15" w:type="dxa"/>
              <w:right w:w="15" w:type="dxa"/>
            </w:tcMar>
            <w:vAlign w:val="center"/>
          </w:tcPr>
          <w:p w14:paraId="4A75E60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达标情况</w:t>
            </w:r>
          </w:p>
        </w:tc>
      </w:tr>
      <w:tr w14:paraId="7BA8A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restart"/>
            <w:tcBorders>
              <w:tl2br w:val="nil"/>
              <w:tr2bl w:val="nil"/>
            </w:tcBorders>
            <w:tcMar>
              <w:top w:w="15" w:type="dxa"/>
              <w:left w:w="15" w:type="dxa"/>
              <w:right w:w="15" w:type="dxa"/>
            </w:tcMar>
            <w:vAlign w:val="center"/>
          </w:tcPr>
          <w:p w14:paraId="694B6C90">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color w:val="auto"/>
                <w:sz w:val="21"/>
                <w:szCs w:val="21"/>
              </w:rPr>
            </w:pPr>
            <w:r>
              <w:rPr>
                <w:rFonts w:ascii="Times New Roman" w:hAnsi="Times New Roman" w:eastAsia="宋体" w:cs="Times New Roman"/>
                <w:color w:val="auto"/>
                <w:kern w:val="0"/>
                <w:sz w:val="21"/>
                <w:szCs w:val="21"/>
                <w:lang w:bidi="ar"/>
              </w:rPr>
              <w:t>SO</w:t>
            </w:r>
            <w:r>
              <w:rPr>
                <w:rFonts w:ascii="Times New Roman" w:hAnsi="Times New Roman" w:eastAsia="宋体" w:cs="Times New Roman"/>
                <w:color w:val="auto"/>
                <w:kern w:val="0"/>
                <w:sz w:val="21"/>
                <w:szCs w:val="21"/>
                <w:vertAlign w:val="subscript"/>
                <w:lang w:bidi="ar"/>
              </w:rPr>
              <w:t>2</w:t>
            </w:r>
          </w:p>
        </w:tc>
        <w:tc>
          <w:tcPr>
            <w:tcW w:w="947" w:type="pct"/>
            <w:vMerge w:val="restart"/>
            <w:tcBorders>
              <w:tl2br w:val="nil"/>
              <w:tr2bl w:val="nil"/>
            </w:tcBorders>
            <w:tcMar>
              <w:top w:w="15" w:type="dxa"/>
              <w:left w:w="15" w:type="dxa"/>
              <w:right w:w="15" w:type="dxa"/>
            </w:tcMar>
            <w:vAlign w:val="center"/>
          </w:tcPr>
          <w:p w14:paraId="2D6A93D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八五二农场场部</w:t>
            </w:r>
          </w:p>
        </w:tc>
        <w:tc>
          <w:tcPr>
            <w:tcW w:w="601" w:type="pct"/>
            <w:tcBorders>
              <w:tl2br w:val="nil"/>
              <w:tr2bl w:val="nil"/>
            </w:tcBorders>
            <w:tcMar>
              <w:top w:w="15" w:type="dxa"/>
              <w:left w:w="15" w:type="dxa"/>
              <w:right w:w="15" w:type="dxa"/>
            </w:tcMar>
            <w:vAlign w:val="center"/>
          </w:tcPr>
          <w:p w14:paraId="0C8E02C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34768AA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1.83359</w:t>
            </w:r>
          </w:p>
        </w:tc>
        <w:tc>
          <w:tcPr>
            <w:tcW w:w="828" w:type="pct"/>
            <w:tcBorders>
              <w:tl2br w:val="nil"/>
              <w:tr2bl w:val="nil"/>
            </w:tcBorders>
            <w:noWrap/>
            <w:tcMar>
              <w:top w:w="15" w:type="dxa"/>
              <w:left w:w="15" w:type="dxa"/>
              <w:right w:w="15" w:type="dxa"/>
            </w:tcMar>
            <w:vAlign w:val="center"/>
          </w:tcPr>
          <w:p w14:paraId="7AD456A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24103012</w:t>
            </w:r>
          </w:p>
        </w:tc>
        <w:tc>
          <w:tcPr>
            <w:tcW w:w="686" w:type="pct"/>
            <w:tcBorders>
              <w:tl2br w:val="nil"/>
              <w:tr2bl w:val="nil"/>
            </w:tcBorders>
            <w:noWrap/>
            <w:tcMar>
              <w:top w:w="15" w:type="dxa"/>
              <w:left w:w="15" w:type="dxa"/>
              <w:right w:w="15" w:type="dxa"/>
            </w:tcMar>
            <w:vAlign w:val="center"/>
          </w:tcPr>
          <w:p w14:paraId="34DA031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0.37</w:t>
            </w:r>
          </w:p>
        </w:tc>
        <w:tc>
          <w:tcPr>
            <w:tcW w:w="564" w:type="pct"/>
            <w:tcBorders>
              <w:tl2br w:val="nil"/>
              <w:tr2bl w:val="nil"/>
            </w:tcBorders>
            <w:tcMar>
              <w:top w:w="15" w:type="dxa"/>
              <w:left w:w="15" w:type="dxa"/>
              <w:right w:w="15" w:type="dxa"/>
            </w:tcMar>
            <w:vAlign w:val="center"/>
          </w:tcPr>
          <w:p w14:paraId="31E2699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564E7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7AE952B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947" w:type="pct"/>
            <w:vMerge w:val="continue"/>
            <w:tcBorders>
              <w:tl2br w:val="nil"/>
              <w:tr2bl w:val="nil"/>
            </w:tcBorders>
            <w:tcMar>
              <w:top w:w="15" w:type="dxa"/>
              <w:left w:w="15" w:type="dxa"/>
              <w:right w:w="15" w:type="dxa"/>
            </w:tcMar>
            <w:vAlign w:val="center"/>
          </w:tcPr>
          <w:p w14:paraId="1BD6D27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3C94198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08AB5EE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0.29141</w:t>
            </w:r>
          </w:p>
        </w:tc>
        <w:tc>
          <w:tcPr>
            <w:tcW w:w="828" w:type="pct"/>
            <w:tcBorders>
              <w:tl2br w:val="nil"/>
              <w:tr2bl w:val="nil"/>
            </w:tcBorders>
            <w:noWrap/>
            <w:tcMar>
              <w:top w:w="15" w:type="dxa"/>
              <w:left w:w="15" w:type="dxa"/>
              <w:right w:w="15" w:type="dxa"/>
            </w:tcMar>
            <w:vAlign w:val="center"/>
          </w:tcPr>
          <w:p w14:paraId="33B9D68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241009</w:t>
            </w:r>
          </w:p>
        </w:tc>
        <w:tc>
          <w:tcPr>
            <w:tcW w:w="686" w:type="pct"/>
            <w:tcBorders>
              <w:tl2br w:val="nil"/>
              <w:tr2bl w:val="nil"/>
            </w:tcBorders>
            <w:noWrap/>
            <w:tcMar>
              <w:top w:w="15" w:type="dxa"/>
              <w:left w:w="15" w:type="dxa"/>
              <w:right w:w="15" w:type="dxa"/>
            </w:tcMar>
            <w:vAlign w:val="center"/>
          </w:tcPr>
          <w:p w14:paraId="028D3DD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0.19</w:t>
            </w:r>
          </w:p>
        </w:tc>
        <w:tc>
          <w:tcPr>
            <w:tcW w:w="564" w:type="pct"/>
            <w:tcBorders>
              <w:tl2br w:val="nil"/>
              <w:tr2bl w:val="nil"/>
            </w:tcBorders>
            <w:tcMar>
              <w:top w:w="15" w:type="dxa"/>
              <w:left w:w="15" w:type="dxa"/>
              <w:right w:w="15" w:type="dxa"/>
            </w:tcMar>
            <w:vAlign w:val="center"/>
          </w:tcPr>
          <w:p w14:paraId="3EF49D1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86F2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4B48635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183F8C5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5080727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6BF3FAD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0.00569</w:t>
            </w:r>
          </w:p>
        </w:tc>
        <w:tc>
          <w:tcPr>
            <w:tcW w:w="828" w:type="pct"/>
            <w:tcBorders>
              <w:tl2br w:val="nil"/>
              <w:tr2bl w:val="nil"/>
            </w:tcBorders>
            <w:noWrap/>
            <w:tcMar>
              <w:top w:w="15" w:type="dxa"/>
              <w:left w:w="15" w:type="dxa"/>
              <w:right w:w="15" w:type="dxa"/>
            </w:tcMar>
            <w:vAlign w:val="center"/>
          </w:tcPr>
          <w:p w14:paraId="746EC51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17F7A3F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64" w:type="pct"/>
            <w:tcBorders>
              <w:tl2br w:val="nil"/>
              <w:tr2bl w:val="nil"/>
            </w:tcBorders>
            <w:tcMar>
              <w:top w:w="15" w:type="dxa"/>
              <w:left w:w="15" w:type="dxa"/>
              <w:right w:w="15" w:type="dxa"/>
            </w:tcMar>
            <w:vAlign w:val="center"/>
          </w:tcPr>
          <w:p w14:paraId="7E667B7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6EED9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3454242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50DFB6D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和平管理区</w:t>
            </w:r>
          </w:p>
        </w:tc>
        <w:tc>
          <w:tcPr>
            <w:tcW w:w="601" w:type="pct"/>
            <w:tcBorders>
              <w:tl2br w:val="nil"/>
              <w:tr2bl w:val="nil"/>
            </w:tcBorders>
            <w:tcMar>
              <w:top w:w="15" w:type="dxa"/>
              <w:left w:w="15" w:type="dxa"/>
              <w:right w:w="15" w:type="dxa"/>
            </w:tcMar>
            <w:vAlign w:val="center"/>
          </w:tcPr>
          <w:p w14:paraId="1FFFDD7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06B3C90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2.14213</w:t>
            </w:r>
          </w:p>
        </w:tc>
        <w:tc>
          <w:tcPr>
            <w:tcW w:w="828" w:type="pct"/>
            <w:tcBorders>
              <w:tl2br w:val="nil"/>
              <w:tr2bl w:val="nil"/>
            </w:tcBorders>
            <w:noWrap/>
            <w:tcMar>
              <w:top w:w="15" w:type="dxa"/>
              <w:left w:w="15" w:type="dxa"/>
              <w:right w:w="15" w:type="dxa"/>
            </w:tcMar>
            <w:vAlign w:val="center"/>
          </w:tcPr>
          <w:p w14:paraId="4F8B76A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24123111</w:t>
            </w:r>
          </w:p>
        </w:tc>
        <w:tc>
          <w:tcPr>
            <w:tcW w:w="686" w:type="pct"/>
            <w:tcBorders>
              <w:tl2br w:val="nil"/>
              <w:tr2bl w:val="nil"/>
            </w:tcBorders>
            <w:noWrap/>
            <w:tcMar>
              <w:top w:w="15" w:type="dxa"/>
              <w:left w:w="15" w:type="dxa"/>
              <w:right w:w="15" w:type="dxa"/>
            </w:tcMar>
            <w:vAlign w:val="center"/>
          </w:tcPr>
          <w:p w14:paraId="4FF53B9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0.43</w:t>
            </w:r>
          </w:p>
        </w:tc>
        <w:tc>
          <w:tcPr>
            <w:tcW w:w="564" w:type="pct"/>
            <w:tcBorders>
              <w:tl2br w:val="nil"/>
              <w:tr2bl w:val="nil"/>
            </w:tcBorders>
            <w:tcMar>
              <w:top w:w="15" w:type="dxa"/>
              <w:left w:w="15" w:type="dxa"/>
              <w:right w:w="15" w:type="dxa"/>
            </w:tcMar>
            <w:vAlign w:val="center"/>
          </w:tcPr>
          <w:p w14:paraId="51215C9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74815B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74A6321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54D9DD2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2B18E27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041669F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0.17034</w:t>
            </w:r>
          </w:p>
        </w:tc>
        <w:tc>
          <w:tcPr>
            <w:tcW w:w="828" w:type="pct"/>
            <w:tcBorders>
              <w:tl2br w:val="nil"/>
              <w:tr2bl w:val="nil"/>
            </w:tcBorders>
            <w:noWrap/>
            <w:tcMar>
              <w:top w:w="15" w:type="dxa"/>
              <w:left w:w="15" w:type="dxa"/>
              <w:right w:w="15" w:type="dxa"/>
            </w:tcMar>
            <w:vAlign w:val="center"/>
          </w:tcPr>
          <w:p w14:paraId="76B12ED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686" w:type="pct"/>
            <w:tcBorders>
              <w:tl2br w:val="nil"/>
              <w:tr2bl w:val="nil"/>
            </w:tcBorders>
            <w:noWrap/>
            <w:tcMar>
              <w:top w:w="15" w:type="dxa"/>
              <w:left w:w="15" w:type="dxa"/>
              <w:right w:w="15" w:type="dxa"/>
            </w:tcMar>
            <w:vAlign w:val="center"/>
          </w:tcPr>
          <w:p w14:paraId="3ABB6BC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0.11</w:t>
            </w:r>
          </w:p>
        </w:tc>
        <w:tc>
          <w:tcPr>
            <w:tcW w:w="564" w:type="pct"/>
            <w:tcBorders>
              <w:tl2br w:val="nil"/>
              <w:tr2bl w:val="nil"/>
            </w:tcBorders>
            <w:tcMar>
              <w:top w:w="15" w:type="dxa"/>
              <w:left w:w="15" w:type="dxa"/>
              <w:right w:w="15" w:type="dxa"/>
            </w:tcMar>
            <w:vAlign w:val="center"/>
          </w:tcPr>
          <w:p w14:paraId="694EB52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83150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121ADCC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126251F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7AC9ABB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5927955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0.00732</w:t>
            </w:r>
          </w:p>
        </w:tc>
        <w:tc>
          <w:tcPr>
            <w:tcW w:w="828" w:type="pct"/>
            <w:tcBorders>
              <w:tl2br w:val="nil"/>
              <w:tr2bl w:val="nil"/>
            </w:tcBorders>
            <w:noWrap/>
            <w:tcMar>
              <w:top w:w="15" w:type="dxa"/>
              <w:left w:w="15" w:type="dxa"/>
              <w:right w:w="15" w:type="dxa"/>
            </w:tcMar>
            <w:vAlign w:val="center"/>
          </w:tcPr>
          <w:p w14:paraId="0E20DA3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40CF6A6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64" w:type="pct"/>
            <w:tcBorders>
              <w:tl2br w:val="nil"/>
              <w:tr2bl w:val="nil"/>
            </w:tcBorders>
            <w:tcMar>
              <w:top w:w="15" w:type="dxa"/>
              <w:left w:w="15" w:type="dxa"/>
              <w:right w:w="15" w:type="dxa"/>
            </w:tcMar>
            <w:vAlign w:val="center"/>
          </w:tcPr>
          <w:p w14:paraId="6384D16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35452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4DA3FEF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47A36E8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南林小区</w:t>
            </w:r>
          </w:p>
        </w:tc>
        <w:tc>
          <w:tcPr>
            <w:tcW w:w="601" w:type="pct"/>
            <w:tcBorders>
              <w:tl2br w:val="nil"/>
              <w:tr2bl w:val="nil"/>
            </w:tcBorders>
            <w:tcMar>
              <w:top w:w="15" w:type="dxa"/>
              <w:left w:w="15" w:type="dxa"/>
              <w:right w:w="15" w:type="dxa"/>
            </w:tcMar>
            <w:vAlign w:val="center"/>
          </w:tcPr>
          <w:p w14:paraId="7598DFC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4B97A51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1.52873</w:t>
            </w:r>
          </w:p>
        </w:tc>
        <w:tc>
          <w:tcPr>
            <w:tcW w:w="828" w:type="pct"/>
            <w:tcBorders>
              <w:tl2br w:val="nil"/>
              <w:tr2bl w:val="nil"/>
            </w:tcBorders>
            <w:noWrap/>
            <w:tcMar>
              <w:top w:w="15" w:type="dxa"/>
              <w:left w:w="15" w:type="dxa"/>
              <w:right w:w="15" w:type="dxa"/>
            </w:tcMar>
            <w:vAlign w:val="center"/>
          </w:tcPr>
          <w:p w14:paraId="06BC1FA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24100709</w:t>
            </w:r>
          </w:p>
        </w:tc>
        <w:tc>
          <w:tcPr>
            <w:tcW w:w="686" w:type="pct"/>
            <w:tcBorders>
              <w:tl2br w:val="nil"/>
              <w:tr2bl w:val="nil"/>
            </w:tcBorders>
            <w:noWrap/>
            <w:tcMar>
              <w:top w:w="15" w:type="dxa"/>
              <w:left w:w="15" w:type="dxa"/>
              <w:right w:w="15" w:type="dxa"/>
            </w:tcMar>
            <w:vAlign w:val="center"/>
          </w:tcPr>
          <w:p w14:paraId="114C4BD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0.31</w:t>
            </w:r>
          </w:p>
        </w:tc>
        <w:tc>
          <w:tcPr>
            <w:tcW w:w="564" w:type="pct"/>
            <w:tcBorders>
              <w:tl2br w:val="nil"/>
              <w:tr2bl w:val="nil"/>
            </w:tcBorders>
            <w:tcMar>
              <w:top w:w="15" w:type="dxa"/>
              <w:left w:w="15" w:type="dxa"/>
              <w:right w:w="15" w:type="dxa"/>
            </w:tcMar>
            <w:vAlign w:val="center"/>
          </w:tcPr>
          <w:p w14:paraId="14EC7D3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711E0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10FECD3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2AD8EBE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5EED1D6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42630BF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0.1462</w:t>
            </w:r>
          </w:p>
        </w:tc>
        <w:tc>
          <w:tcPr>
            <w:tcW w:w="828" w:type="pct"/>
            <w:tcBorders>
              <w:tl2br w:val="nil"/>
              <w:tr2bl w:val="nil"/>
            </w:tcBorders>
            <w:noWrap/>
            <w:tcMar>
              <w:top w:w="15" w:type="dxa"/>
              <w:left w:w="15" w:type="dxa"/>
              <w:right w:w="15" w:type="dxa"/>
            </w:tcMar>
            <w:vAlign w:val="center"/>
          </w:tcPr>
          <w:p w14:paraId="09C9EDB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240321</w:t>
            </w:r>
          </w:p>
        </w:tc>
        <w:tc>
          <w:tcPr>
            <w:tcW w:w="686" w:type="pct"/>
            <w:tcBorders>
              <w:tl2br w:val="nil"/>
              <w:tr2bl w:val="nil"/>
            </w:tcBorders>
            <w:noWrap/>
            <w:tcMar>
              <w:top w:w="15" w:type="dxa"/>
              <w:left w:w="15" w:type="dxa"/>
              <w:right w:w="15" w:type="dxa"/>
            </w:tcMar>
            <w:vAlign w:val="center"/>
          </w:tcPr>
          <w:p w14:paraId="381CA4B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0.10</w:t>
            </w:r>
          </w:p>
        </w:tc>
        <w:tc>
          <w:tcPr>
            <w:tcW w:w="564" w:type="pct"/>
            <w:tcBorders>
              <w:tl2br w:val="nil"/>
              <w:tr2bl w:val="nil"/>
            </w:tcBorders>
            <w:tcMar>
              <w:top w:w="15" w:type="dxa"/>
              <w:left w:w="15" w:type="dxa"/>
              <w:right w:w="15" w:type="dxa"/>
            </w:tcMar>
            <w:vAlign w:val="center"/>
          </w:tcPr>
          <w:p w14:paraId="2C1789C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EEFFE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3A5A92E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5BFD2D47">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1E721A9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1F979EA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0.01302</w:t>
            </w:r>
          </w:p>
        </w:tc>
        <w:tc>
          <w:tcPr>
            <w:tcW w:w="828" w:type="pct"/>
            <w:tcBorders>
              <w:tl2br w:val="nil"/>
              <w:tr2bl w:val="nil"/>
            </w:tcBorders>
            <w:noWrap/>
            <w:tcMar>
              <w:top w:w="15" w:type="dxa"/>
              <w:left w:w="15" w:type="dxa"/>
              <w:right w:w="15" w:type="dxa"/>
            </w:tcMar>
            <w:vAlign w:val="center"/>
          </w:tcPr>
          <w:p w14:paraId="68DA96B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5E079DA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w:t>
            </w:r>
          </w:p>
        </w:tc>
        <w:tc>
          <w:tcPr>
            <w:tcW w:w="564" w:type="pct"/>
            <w:tcBorders>
              <w:tl2br w:val="nil"/>
              <w:tr2bl w:val="nil"/>
            </w:tcBorders>
            <w:tcMar>
              <w:top w:w="15" w:type="dxa"/>
              <w:left w:w="15" w:type="dxa"/>
              <w:right w:w="15" w:type="dxa"/>
            </w:tcMar>
            <w:vAlign w:val="center"/>
          </w:tcPr>
          <w:p w14:paraId="2E3A311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1AF1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5469347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63408BF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八五二农场四分场</w:t>
            </w:r>
          </w:p>
        </w:tc>
        <w:tc>
          <w:tcPr>
            <w:tcW w:w="601" w:type="pct"/>
            <w:tcBorders>
              <w:tl2br w:val="nil"/>
              <w:tr2bl w:val="nil"/>
            </w:tcBorders>
            <w:tcMar>
              <w:top w:w="15" w:type="dxa"/>
              <w:left w:w="15" w:type="dxa"/>
              <w:right w:w="15" w:type="dxa"/>
            </w:tcMar>
            <w:vAlign w:val="center"/>
          </w:tcPr>
          <w:p w14:paraId="4FA0CF2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4489DD4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0.93089</w:t>
            </w:r>
          </w:p>
        </w:tc>
        <w:tc>
          <w:tcPr>
            <w:tcW w:w="828" w:type="pct"/>
            <w:tcBorders>
              <w:tl2br w:val="nil"/>
              <w:tr2bl w:val="nil"/>
            </w:tcBorders>
            <w:noWrap/>
            <w:tcMar>
              <w:top w:w="15" w:type="dxa"/>
              <w:left w:w="15" w:type="dxa"/>
              <w:right w:w="15" w:type="dxa"/>
            </w:tcMar>
            <w:vAlign w:val="center"/>
          </w:tcPr>
          <w:p w14:paraId="0026BF2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24123111</w:t>
            </w:r>
          </w:p>
        </w:tc>
        <w:tc>
          <w:tcPr>
            <w:tcW w:w="686" w:type="pct"/>
            <w:tcBorders>
              <w:tl2br w:val="nil"/>
              <w:tr2bl w:val="nil"/>
            </w:tcBorders>
            <w:noWrap/>
            <w:tcMar>
              <w:top w:w="15" w:type="dxa"/>
              <w:left w:w="15" w:type="dxa"/>
              <w:right w:w="15" w:type="dxa"/>
            </w:tcMar>
            <w:vAlign w:val="center"/>
          </w:tcPr>
          <w:p w14:paraId="558689D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0.19</w:t>
            </w:r>
          </w:p>
        </w:tc>
        <w:tc>
          <w:tcPr>
            <w:tcW w:w="564" w:type="pct"/>
            <w:tcBorders>
              <w:tl2br w:val="nil"/>
              <w:tr2bl w:val="nil"/>
            </w:tcBorders>
            <w:tcMar>
              <w:top w:w="15" w:type="dxa"/>
              <w:left w:w="15" w:type="dxa"/>
              <w:right w:w="15" w:type="dxa"/>
            </w:tcMar>
            <w:vAlign w:val="center"/>
          </w:tcPr>
          <w:p w14:paraId="58A35B6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E59FD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6EA7646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5F4B625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28CA778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37E552D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0.07998</w:t>
            </w:r>
          </w:p>
        </w:tc>
        <w:tc>
          <w:tcPr>
            <w:tcW w:w="828" w:type="pct"/>
            <w:tcBorders>
              <w:tl2br w:val="nil"/>
              <w:tr2bl w:val="nil"/>
            </w:tcBorders>
            <w:noWrap/>
            <w:tcMar>
              <w:top w:w="15" w:type="dxa"/>
              <w:left w:w="15" w:type="dxa"/>
              <w:right w:w="15" w:type="dxa"/>
            </w:tcMar>
            <w:vAlign w:val="center"/>
          </w:tcPr>
          <w:p w14:paraId="7AA2F9C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240212</w:t>
            </w:r>
          </w:p>
        </w:tc>
        <w:tc>
          <w:tcPr>
            <w:tcW w:w="686" w:type="pct"/>
            <w:tcBorders>
              <w:tl2br w:val="nil"/>
              <w:tr2bl w:val="nil"/>
            </w:tcBorders>
            <w:noWrap/>
            <w:tcMar>
              <w:top w:w="15" w:type="dxa"/>
              <w:left w:w="15" w:type="dxa"/>
              <w:right w:w="15" w:type="dxa"/>
            </w:tcMar>
            <w:vAlign w:val="center"/>
          </w:tcPr>
          <w:p w14:paraId="6B9BFDB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564" w:type="pct"/>
            <w:tcBorders>
              <w:tl2br w:val="nil"/>
              <w:tr2bl w:val="nil"/>
            </w:tcBorders>
            <w:tcMar>
              <w:top w:w="15" w:type="dxa"/>
              <w:left w:w="15" w:type="dxa"/>
              <w:right w:w="15" w:type="dxa"/>
            </w:tcMar>
            <w:vAlign w:val="center"/>
          </w:tcPr>
          <w:p w14:paraId="409AF24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249F0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4E7910B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64FFB12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253BCEE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502A243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0.00367</w:t>
            </w:r>
          </w:p>
        </w:tc>
        <w:tc>
          <w:tcPr>
            <w:tcW w:w="828" w:type="pct"/>
            <w:tcBorders>
              <w:tl2br w:val="nil"/>
              <w:tr2bl w:val="nil"/>
            </w:tcBorders>
            <w:noWrap/>
            <w:tcMar>
              <w:top w:w="15" w:type="dxa"/>
              <w:left w:w="15" w:type="dxa"/>
              <w:right w:w="15" w:type="dxa"/>
            </w:tcMar>
            <w:vAlign w:val="center"/>
          </w:tcPr>
          <w:p w14:paraId="15A5FC0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22088C0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64" w:type="pct"/>
            <w:tcBorders>
              <w:tl2br w:val="nil"/>
              <w:tr2bl w:val="nil"/>
            </w:tcBorders>
            <w:tcMar>
              <w:top w:w="15" w:type="dxa"/>
              <w:left w:w="15" w:type="dxa"/>
              <w:right w:w="15" w:type="dxa"/>
            </w:tcMar>
            <w:vAlign w:val="center"/>
          </w:tcPr>
          <w:p w14:paraId="6ED0A12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6C203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1273EFA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402697C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八五二农场副业队</w:t>
            </w:r>
          </w:p>
        </w:tc>
        <w:tc>
          <w:tcPr>
            <w:tcW w:w="601" w:type="pct"/>
            <w:tcBorders>
              <w:tl2br w:val="nil"/>
              <w:tr2bl w:val="nil"/>
            </w:tcBorders>
            <w:tcMar>
              <w:top w:w="15" w:type="dxa"/>
              <w:left w:w="15" w:type="dxa"/>
              <w:right w:w="15" w:type="dxa"/>
            </w:tcMar>
            <w:vAlign w:val="center"/>
          </w:tcPr>
          <w:p w14:paraId="2A82E47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2F132CD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1.4159</w:t>
            </w:r>
          </w:p>
        </w:tc>
        <w:tc>
          <w:tcPr>
            <w:tcW w:w="828" w:type="pct"/>
            <w:tcBorders>
              <w:tl2br w:val="nil"/>
              <w:tr2bl w:val="nil"/>
            </w:tcBorders>
            <w:noWrap/>
            <w:tcMar>
              <w:top w:w="15" w:type="dxa"/>
              <w:left w:w="15" w:type="dxa"/>
              <w:right w:w="15" w:type="dxa"/>
            </w:tcMar>
            <w:vAlign w:val="center"/>
          </w:tcPr>
          <w:p w14:paraId="54F6A72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24123111</w:t>
            </w:r>
          </w:p>
        </w:tc>
        <w:tc>
          <w:tcPr>
            <w:tcW w:w="686" w:type="pct"/>
            <w:tcBorders>
              <w:tl2br w:val="nil"/>
              <w:tr2bl w:val="nil"/>
            </w:tcBorders>
            <w:noWrap/>
            <w:tcMar>
              <w:top w:w="15" w:type="dxa"/>
              <w:left w:w="15" w:type="dxa"/>
              <w:right w:w="15" w:type="dxa"/>
            </w:tcMar>
            <w:vAlign w:val="center"/>
          </w:tcPr>
          <w:p w14:paraId="3B7595F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0.28</w:t>
            </w:r>
          </w:p>
        </w:tc>
        <w:tc>
          <w:tcPr>
            <w:tcW w:w="564" w:type="pct"/>
            <w:tcBorders>
              <w:tl2br w:val="nil"/>
              <w:tr2bl w:val="nil"/>
            </w:tcBorders>
            <w:tcMar>
              <w:top w:w="15" w:type="dxa"/>
              <w:left w:w="15" w:type="dxa"/>
              <w:right w:w="15" w:type="dxa"/>
            </w:tcMar>
            <w:vAlign w:val="center"/>
          </w:tcPr>
          <w:p w14:paraId="11EB18D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1BCBF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7BE180E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296C920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4007F27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6A5543B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0.09942</w:t>
            </w:r>
          </w:p>
        </w:tc>
        <w:tc>
          <w:tcPr>
            <w:tcW w:w="828" w:type="pct"/>
            <w:tcBorders>
              <w:tl2br w:val="nil"/>
              <w:tr2bl w:val="nil"/>
            </w:tcBorders>
            <w:noWrap/>
            <w:tcMar>
              <w:top w:w="15" w:type="dxa"/>
              <w:left w:w="15" w:type="dxa"/>
              <w:right w:w="15" w:type="dxa"/>
            </w:tcMar>
            <w:vAlign w:val="center"/>
          </w:tcPr>
          <w:p w14:paraId="2ED7EF5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w:t>
            </w:r>
          </w:p>
        </w:tc>
        <w:tc>
          <w:tcPr>
            <w:tcW w:w="686" w:type="pct"/>
            <w:tcBorders>
              <w:tl2br w:val="nil"/>
              <w:tr2bl w:val="nil"/>
            </w:tcBorders>
            <w:noWrap/>
            <w:tcMar>
              <w:top w:w="15" w:type="dxa"/>
              <w:left w:w="15" w:type="dxa"/>
              <w:right w:w="15" w:type="dxa"/>
            </w:tcMar>
            <w:vAlign w:val="center"/>
          </w:tcPr>
          <w:p w14:paraId="0DD152A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w:t>
            </w:r>
          </w:p>
        </w:tc>
        <w:tc>
          <w:tcPr>
            <w:tcW w:w="564" w:type="pct"/>
            <w:tcBorders>
              <w:tl2br w:val="nil"/>
              <w:tr2bl w:val="nil"/>
            </w:tcBorders>
            <w:tcMar>
              <w:top w:w="15" w:type="dxa"/>
              <w:left w:w="15" w:type="dxa"/>
              <w:right w:w="15" w:type="dxa"/>
            </w:tcMar>
            <w:vAlign w:val="center"/>
          </w:tcPr>
          <w:p w14:paraId="0106EEE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D795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409B0D7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56A1C5C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3A63B81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509C65A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0.00456</w:t>
            </w:r>
          </w:p>
        </w:tc>
        <w:tc>
          <w:tcPr>
            <w:tcW w:w="828" w:type="pct"/>
            <w:tcBorders>
              <w:tl2br w:val="nil"/>
              <w:tr2bl w:val="nil"/>
            </w:tcBorders>
            <w:noWrap/>
            <w:tcMar>
              <w:top w:w="15" w:type="dxa"/>
              <w:left w:w="15" w:type="dxa"/>
              <w:right w:w="15" w:type="dxa"/>
            </w:tcMar>
            <w:vAlign w:val="center"/>
          </w:tcPr>
          <w:p w14:paraId="0AF679C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2A86F09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64" w:type="pct"/>
            <w:tcBorders>
              <w:tl2br w:val="nil"/>
              <w:tr2bl w:val="nil"/>
            </w:tcBorders>
            <w:tcMar>
              <w:top w:w="15" w:type="dxa"/>
              <w:left w:w="15" w:type="dxa"/>
              <w:right w:w="15" w:type="dxa"/>
            </w:tcMar>
            <w:vAlign w:val="center"/>
          </w:tcPr>
          <w:p w14:paraId="54819E3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589A49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495F924F">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3246D42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八五二农场种畜站</w:t>
            </w:r>
          </w:p>
        </w:tc>
        <w:tc>
          <w:tcPr>
            <w:tcW w:w="601" w:type="pct"/>
            <w:tcBorders>
              <w:tl2br w:val="nil"/>
              <w:tr2bl w:val="nil"/>
            </w:tcBorders>
            <w:tcMar>
              <w:top w:w="15" w:type="dxa"/>
              <w:left w:w="15" w:type="dxa"/>
              <w:right w:w="15" w:type="dxa"/>
            </w:tcMar>
            <w:vAlign w:val="center"/>
          </w:tcPr>
          <w:p w14:paraId="4D025B0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0976869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0.85561</w:t>
            </w:r>
          </w:p>
        </w:tc>
        <w:tc>
          <w:tcPr>
            <w:tcW w:w="828" w:type="pct"/>
            <w:tcBorders>
              <w:tl2br w:val="nil"/>
              <w:tr2bl w:val="nil"/>
            </w:tcBorders>
            <w:noWrap/>
            <w:tcMar>
              <w:top w:w="15" w:type="dxa"/>
              <w:left w:w="15" w:type="dxa"/>
              <w:right w:w="15" w:type="dxa"/>
            </w:tcMar>
            <w:vAlign w:val="center"/>
          </w:tcPr>
          <w:p w14:paraId="76074BB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24032108</w:t>
            </w:r>
          </w:p>
        </w:tc>
        <w:tc>
          <w:tcPr>
            <w:tcW w:w="686" w:type="pct"/>
            <w:tcBorders>
              <w:tl2br w:val="nil"/>
              <w:tr2bl w:val="nil"/>
            </w:tcBorders>
            <w:noWrap/>
            <w:tcMar>
              <w:top w:w="15" w:type="dxa"/>
              <w:left w:w="15" w:type="dxa"/>
              <w:right w:w="15" w:type="dxa"/>
            </w:tcMar>
            <w:vAlign w:val="center"/>
          </w:tcPr>
          <w:p w14:paraId="7DE88F0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0.17</w:t>
            </w:r>
          </w:p>
        </w:tc>
        <w:tc>
          <w:tcPr>
            <w:tcW w:w="564" w:type="pct"/>
            <w:tcBorders>
              <w:tl2br w:val="nil"/>
              <w:tr2bl w:val="nil"/>
            </w:tcBorders>
            <w:tcMar>
              <w:top w:w="15" w:type="dxa"/>
              <w:left w:w="15" w:type="dxa"/>
              <w:right w:w="15" w:type="dxa"/>
            </w:tcMar>
            <w:vAlign w:val="center"/>
          </w:tcPr>
          <w:p w14:paraId="5FE3055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ECDE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6E3200BD">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73E7A8D5">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38D1BA5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08B8903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0.09325</w:t>
            </w:r>
          </w:p>
        </w:tc>
        <w:tc>
          <w:tcPr>
            <w:tcW w:w="828" w:type="pct"/>
            <w:tcBorders>
              <w:tl2br w:val="nil"/>
              <w:tr2bl w:val="nil"/>
            </w:tcBorders>
            <w:noWrap/>
            <w:tcMar>
              <w:top w:w="15" w:type="dxa"/>
              <w:left w:w="15" w:type="dxa"/>
              <w:right w:w="15" w:type="dxa"/>
            </w:tcMar>
            <w:vAlign w:val="center"/>
          </w:tcPr>
          <w:p w14:paraId="50B53BD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686" w:type="pct"/>
            <w:tcBorders>
              <w:tl2br w:val="nil"/>
              <w:tr2bl w:val="nil"/>
            </w:tcBorders>
            <w:noWrap/>
            <w:tcMar>
              <w:top w:w="15" w:type="dxa"/>
              <w:left w:w="15" w:type="dxa"/>
              <w:right w:w="15" w:type="dxa"/>
            </w:tcMar>
            <w:vAlign w:val="center"/>
          </w:tcPr>
          <w:p w14:paraId="0ADD8B5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w:t>
            </w:r>
          </w:p>
        </w:tc>
        <w:tc>
          <w:tcPr>
            <w:tcW w:w="564" w:type="pct"/>
            <w:tcBorders>
              <w:tl2br w:val="nil"/>
              <w:tr2bl w:val="nil"/>
            </w:tcBorders>
            <w:tcMar>
              <w:top w:w="15" w:type="dxa"/>
              <w:left w:w="15" w:type="dxa"/>
              <w:right w:w="15" w:type="dxa"/>
            </w:tcMar>
            <w:vAlign w:val="center"/>
          </w:tcPr>
          <w:p w14:paraId="3513A5D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3ADE1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5122C7B4">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07E89CF6">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680BA51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2A5C1A7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0.00646</w:t>
            </w:r>
          </w:p>
        </w:tc>
        <w:tc>
          <w:tcPr>
            <w:tcW w:w="828" w:type="pct"/>
            <w:tcBorders>
              <w:tl2br w:val="nil"/>
              <w:tr2bl w:val="nil"/>
            </w:tcBorders>
            <w:noWrap/>
            <w:tcMar>
              <w:top w:w="15" w:type="dxa"/>
              <w:left w:w="15" w:type="dxa"/>
              <w:right w:w="15" w:type="dxa"/>
            </w:tcMar>
            <w:vAlign w:val="center"/>
          </w:tcPr>
          <w:p w14:paraId="319BAF5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0F4F5BF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64" w:type="pct"/>
            <w:tcBorders>
              <w:tl2br w:val="nil"/>
              <w:tr2bl w:val="nil"/>
            </w:tcBorders>
            <w:tcMar>
              <w:top w:w="15" w:type="dxa"/>
              <w:left w:w="15" w:type="dxa"/>
              <w:right w:w="15" w:type="dxa"/>
            </w:tcMar>
            <w:vAlign w:val="center"/>
          </w:tcPr>
          <w:p w14:paraId="26950A9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3D4105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3C744A7B">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5359DA5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迎春林业局光明林场</w:t>
            </w:r>
          </w:p>
        </w:tc>
        <w:tc>
          <w:tcPr>
            <w:tcW w:w="601" w:type="pct"/>
            <w:tcBorders>
              <w:tl2br w:val="nil"/>
              <w:tr2bl w:val="nil"/>
            </w:tcBorders>
            <w:tcMar>
              <w:top w:w="15" w:type="dxa"/>
              <w:left w:w="15" w:type="dxa"/>
              <w:right w:w="15" w:type="dxa"/>
            </w:tcMar>
            <w:vAlign w:val="center"/>
          </w:tcPr>
          <w:p w14:paraId="46E82FA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6BBE4F5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0.79482</w:t>
            </w:r>
          </w:p>
        </w:tc>
        <w:tc>
          <w:tcPr>
            <w:tcW w:w="828" w:type="pct"/>
            <w:tcBorders>
              <w:tl2br w:val="nil"/>
              <w:tr2bl w:val="nil"/>
            </w:tcBorders>
            <w:noWrap/>
            <w:tcMar>
              <w:top w:w="15" w:type="dxa"/>
              <w:left w:w="15" w:type="dxa"/>
              <w:right w:w="15" w:type="dxa"/>
            </w:tcMar>
            <w:vAlign w:val="center"/>
          </w:tcPr>
          <w:p w14:paraId="1FA96A0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24112910</w:t>
            </w:r>
          </w:p>
        </w:tc>
        <w:tc>
          <w:tcPr>
            <w:tcW w:w="686" w:type="pct"/>
            <w:tcBorders>
              <w:tl2br w:val="nil"/>
              <w:tr2bl w:val="nil"/>
            </w:tcBorders>
            <w:noWrap/>
            <w:tcMar>
              <w:top w:w="15" w:type="dxa"/>
              <w:left w:w="15" w:type="dxa"/>
              <w:right w:w="15" w:type="dxa"/>
            </w:tcMar>
            <w:vAlign w:val="center"/>
          </w:tcPr>
          <w:p w14:paraId="4AC3887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0.16</w:t>
            </w:r>
          </w:p>
        </w:tc>
        <w:tc>
          <w:tcPr>
            <w:tcW w:w="564" w:type="pct"/>
            <w:tcBorders>
              <w:tl2br w:val="nil"/>
              <w:tr2bl w:val="nil"/>
            </w:tcBorders>
            <w:tcMar>
              <w:top w:w="15" w:type="dxa"/>
              <w:left w:w="15" w:type="dxa"/>
              <w:right w:w="15" w:type="dxa"/>
            </w:tcMar>
            <w:vAlign w:val="center"/>
          </w:tcPr>
          <w:p w14:paraId="5558B12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D5B1E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1D2581BB">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3FC5777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2834977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69E9BA0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0.07167</w:t>
            </w:r>
          </w:p>
        </w:tc>
        <w:tc>
          <w:tcPr>
            <w:tcW w:w="828" w:type="pct"/>
            <w:tcBorders>
              <w:tl2br w:val="nil"/>
              <w:tr2bl w:val="nil"/>
            </w:tcBorders>
            <w:noWrap/>
            <w:tcMar>
              <w:top w:w="15" w:type="dxa"/>
              <w:left w:w="15" w:type="dxa"/>
              <w:right w:w="15" w:type="dxa"/>
            </w:tcMar>
            <w:vAlign w:val="center"/>
          </w:tcPr>
          <w:p w14:paraId="792DC4A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241203</w:t>
            </w:r>
          </w:p>
        </w:tc>
        <w:tc>
          <w:tcPr>
            <w:tcW w:w="686" w:type="pct"/>
            <w:tcBorders>
              <w:tl2br w:val="nil"/>
              <w:tr2bl w:val="nil"/>
            </w:tcBorders>
            <w:noWrap/>
            <w:tcMar>
              <w:top w:w="15" w:type="dxa"/>
              <w:left w:w="15" w:type="dxa"/>
              <w:right w:w="15" w:type="dxa"/>
            </w:tcMar>
            <w:vAlign w:val="center"/>
          </w:tcPr>
          <w:p w14:paraId="4C6D0F8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564" w:type="pct"/>
            <w:tcBorders>
              <w:tl2br w:val="nil"/>
              <w:tr2bl w:val="nil"/>
            </w:tcBorders>
            <w:tcMar>
              <w:top w:w="15" w:type="dxa"/>
              <w:left w:w="15" w:type="dxa"/>
              <w:right w:w="15" w:type="dxa"/>
            </w:tcMar>
            <w:vAlign w:val="center"/>
          </w:tcPr>
          <w:p w14:paraId="5F3EE26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06696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1FF0C57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5A18AF8F">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45F7F3F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4E24269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0.004</w:t>
            </w:r>
          </w:p>
        </w:tc>
        <w:tc>
          <w:tcPr>
            <w:tcW w:w="828" w:type="pct"/>
            <w:tcBorders>
              <w:tl2br w:val="nil"/>
              <w:tr2bl w:val="nil"/>
            </w:tcBorders>
            <w:noWrap/>
            <w:tcMar>
              <w:top w:w="15" w:type="dxa"/>
              <w:left w:w="15" w:type="dxa"/>
              <w:right w:w="15" w:type="dxa"/>
            </w:tcMar>
            <w:vAlign w:val="center"/>
          </w:tcPr>
          <w:p w14:paraId="2B5DD9A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449B2C1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64" w:type="pct"/>
            <w:tcBorders>
              <w:tl2br w:val="nil"/>
              <w:tr2bl w:val="nil"/>
            </w:tcBorders>
            <w:tcMar>
              <w:top w:w="15" w:type="dxa"/>
              <w:left w:w="15" w:type="dxa"/>
              <w:right w:w="15" w:type="dxa"/>
            </w:tcMar>
            <w:vAlign w:val="center"/>
          </w:tcPr>
          <w:p w14:paraId="2AAB536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82248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20671087">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5E29986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虎宝工厂南林工段</w:t>
            </w:r>
          </w:p>
        </w:tc>
        <w:tc>
          <w:tcPr>
            <w:tcW w:w="601" w:type="pct"/>
            <w:tcBorders>
              <w:tl2br w:val="nil"/>
              <w:tr2bl w:val="nil"/>
            </w:tcBorders>
            <w:tcMar>
              <w:top w:w="15" w:type="dxa"/>
              <w:left w:w="15" w:type="dxa"/>
              <w:right w:w="15" w:type="dxa"/>
            </w:tcMar>
            <w:vAlign w:val="center"/>
          </w:tcPr>
          <w:p w14:paraId="7D12200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6DF5BDA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0.77386</w:t>
            </w:r>
          </w:p>
        </w:tc>
        <w:tc>
          <w:tcPr>
            <w:tcW w:w="828" w:type="pct"/>
            <w:tcBorders>
              <w:tl2br w:val="nil"/>
              <w:tr2bl w:val="nil"/>
            </w:tcBorders>
            <w:noWrap/>
            <w:tcMar>
              <w:top w:w="15" w:type="dxa"/>
              <w:left w:w="15" w:type="dxa"/>
              <w:right w:w="15" w:type="dxa"/>
            </w:tcMar>
            <w:vAlign w:val="center"/>
          </w:tcPr>
          <w:p w14:paraId="6272521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24112913</w:t>
            </w:r>
          </w:p>
        </w:tc>
        <w:tc>
          <w:tcPr>
            <w:tcW w:w="686" w:type="pct"/>
            <w:tcBorders>
              <w:tl2br w:val="nil"/>
              <w:tr2bl w:val="nil"/>
            </w:tcBorders>
            <w:noWrap/>
            <w:tcMar>
              <w:top w:w="15" w:type="dxa"/>
              <w:left w:w="15" w:type="dxa"/>
              <w:right w:w="15" w:type="dxa"/>
            </w:tcMar>
            <w:vAlign w:val="center"/>
          </w:tcPr>
          <w:p w14:paraId="55734B8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0.15</w:t>
            </w:r>
          </w:p>
        </w:tc>
        <w:tc>
          <w:tcPr>
            <w:tcW w:w="564" w:type="pct"/>
            <w:tcBorders>
              <w:tl2br w:val="nil"/>
              <w:tr2bl w:val="nil"/>
            </w:tcBorders>
            <w:tcMar>
              <w:top w:w="15" w:type="dxa"/>
              <w:left w:w="15" w:type="dxa"/>
              <w:right w:w="15" w:type="dxa"/>
            </w:tcMar>
            <w:vAlign w:val="center"/>
          </w:tcPr>
          <w:p w14:paraId="36C5E09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79A9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4B85D8CD">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3E81FE2C">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6A6D93A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7B87C69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0.20814</w:t>
            </w:r>
          </w:p>
        </w:tc>
        <w:tc>
          <w:tcPr>
            <w:tcW w:w="828" w:type="pct"/>
            <w:tcBorders>
              <w:tl2br w:val="nil"/>
              <w:tr2bl w:val="nil"/>
            </w:tcBorders>
            <w:noWrap/>
            <w:tcMar>
              <w:top w:w="15" w:type="dxa"/>
              <w:left w:w="15" w:type="dxa"/>
              <w:right w:w="15" w:type="dxa"/>
            </w:tcMar>
            <w:vAlign w:val="center"/>
          </w:tcPr>
          <w:p w14:paraId="431CB1A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241122</w:t>
            </w:r>
          </w:p>
        </w:tc>
        <w:tc>
          <w:tcPr>
            <w:tcW w:w="686" w:type="pct"/>
            <w:tcBorders>
              <w:tl2br w:val="nil"/>
              <w:tr2bl w:val="nil"/>
            </w:tcBorders>
            <w:noWrap/>
            <w:tcMar>
              <w:top w:w="15" w:type="dxa"/>
              <w:left w:w="15" w:type="dxa"/>
              <w:right w:w="15" w:type="dxa"/>
            </w:tcMar>
            <w:vAlign w:val="center"/>
          </w:tcPr>
          <w:p w14:paraId="47B0422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0.14</w:t>
            </w:r>
          </w:p>
        </w:tc>
        <w:tc>
          <w:tcPr>
            <w:tcW w:w="564" w:type="pct"/>
            <w:tcBorders>
              <w:tl2br w:val="nil"/>
              <w:tr2bl w:val="nil"/>
            </w:tcBorders>
            <w:tcMar>
              <w:top w:w="15" w:type="dxa"/>
              <w:left w:w="15" w:type="dxa"/>
              <w:right w:w="15" w:type="dxa"/>
            </w:tcMar>
            <w:vAlign w:val="center"/>
          </w:tcPr>
          <w:p w14:paraId="0585335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F7EF1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16DCD505">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75DCA0E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0F6362D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6F93A66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0.01281</w:t>
            </w:r>
          </w:p>
        </w:tc>
        <w:tc>
          <w:tcPr>
            <w:tcW w:w="828" w:type="pct"/>
            <w:tcBorders>
              <w:tl2br w:val="nil"/>
              <w:tr2bl w:val="nil"/>
            </w:tcBorders>
            <w:noWrap/>
            <w:tcMar>
              <w:top w:w="15" w:type="dxa"/>
              <w:left w:w="15" w:type="dxa"/>
              <w:right w:w="15" w:type="dxa"/>
            </w:tcMar>
            <w:vAlign w:val="center"/>
          </w:tcPr>
          <w:p w14:paraId="4B1184C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260F115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w:t>
            </w:r>
          </w:p>
        </w:tc>
        <w:tc>
          <w:tcPr>
            <w:tcW w:w="564" w:type="pct"/>
            <w:tcBorders>
              <w:tl2br w:val="nil"/>
              <w:tr2bl w:val="nil"/>
            </w:tcBorders>
            <w:tcMar>
              <w:top w:w="15" w:type="dxa"/>
              <w:left w:w="15" w:type="dxa"/>
              <w:right w:w="15" w:type="dxa"/>
            </w:tcMar>
            <w:vAlign w:val="center"/>
          </w:tcPr>
          <w:p w14:paraId="5514593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FBDD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04AE5632">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2B92CAC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虎宝村</w:t>
            </w:r>
          </w:p>
        </w:tc>
        <w:tc>
          <w:tcPr>
            <w:tcW w:w="601" w:type="pct"/>
            <w:tcBorders>
              <w:tl2br w:val="nil"/>
              <w:tr2bl w:val="nil"/>
            </w:tcBorders>
            <w:tcMar>
              <w:top w:w="15" w:type="dxa"/>
              <w:left w:w="15" w:type="dxa"/>
              <w:right w:w="15" w:type="dxa"/>
            </w:tcMar>
            <w:vAlign w:val="center"/>
          </w:tcPr>
          <w:p w14:paraId="19DF96F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4C61427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0.63358</w:t>
            </w:r>
          </w:p>
        </w:tc>
        <w:tc>
          <w:tcPr>
            <w:tcW w:w="828" w:type="pct"/>
            <w:tcBorders>
              <w:tl2br w:val="nil"/>
              <w:tr2bl w:val="nil"/>
            </w:tcBorders>
            <w:noWrap/>
            <w:tcMar>
              <w:top w:w="15" w:type="dxa"/>
              <w:left w:w="15" w:type="dxa"/>
              <w:right w:w="15" w:type="dxa"/>
            </w:tcMar>
            <w:vAlign w:val="center"/>
          </w:tcPr>
          <w:p w14:paraId="1E221F5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24112913</w:t>
            </w:r>
          </w:p>
        </w:tc>
        <w:tc>
          <w:tcPr>
            <w:tcW w:w="686" w:type="pct"/>
            <w:tcBorders>
              <w:tl2br w:val="nil"/>
              <w:tr2bl w:val="nil"/>
            </w:tcBorders>
            <w:noWrap/>
            <w:tcMar>
              <w:top w:w="15" w:type="dxa"/>
              <w:left w:w="15" w:type="dxa"/>
              <w:right w:w="15" w:type="dxa"/>
            </w:tcMar>
            <w:vAlign w:val="center"/>
          </w:tcPr>
          <w:p w14:paraId="3647239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0.13</w:t>
            </w:r>
          </w:p>
        </w:tc>
        <w:tc>
          <w:tcPr>
            <w:tcW w:w="564" w:type="pct"/>
            <w:tcBorders>
              <w:tl2br w:val="nil"/>
              <w:tr2bl w:val="nil"/>
            </w:tcBorders>
            <w:tcMar>
              <w:top w:w="15" w:type="dxa"/>
              <w:left w:w="15" w:type="dxa"/>
              <w:right w:w="15" w:type="dxa"/>
            </w:tcMar>
            <w:vAlign w:val="center"/>
          </w:tcPr>
          <w:p w14:paraId="42737FD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2EB8A2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64E81854">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164E2AB7">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659C58A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592A226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0.10061</w:t>
            </w:r>
          </w:p>
        </w:tc>
        <w:tc>
          <w:tcPr>
            <w:tcW w:w="828" w:type="pct"/>
            <w:tcBorders>
              <w:tl2br w:val="nil"/>
              <w:tr2bl w:val="nil"/>
            </w:tcBorders>
            <w:noWrap/>
            <w:tcMar>
              <w:top w:w="15" w:type="dxa"/>
              <w:left w:w="15" w:type="dxa"/>
              <w:right w:w="15" w:type="dxa"/>
            </w:tcMar>
            <w:vAlign w:val="center"/>
          </w:tcPr>
          <w:p w14:paraId="46DA5BF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240121</w:t>
            </w:r>
          </w:p>
        </w:tc>
        <w:tc>
          <w:tcPr>
            <w:tcW w:w="686" w:type="pct"/>
            <w:tcBorders>
              <w:tl2br w:val="nil"/>
              <w:tr2bl w:val="nil"/>
            </w:tcBorders>
            <w:noWrap/>
            <w:tcMar>
              <w:top w:w="15" w:type="dxa"/>
              <w:left w:w="15" w:type="dxa"/>
              <w:right w:w="15" w:type="dxa"/>
            </w:tcMar>
            <w:vAlign w:val="center"/>
          </w:tcPr>
          <w:p w14:paraId="08BF232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0.07</w:t>
            </w:r>
          </w:p>
        </w:tc>
        <w:tc>
          <w:tcPr>
            <w:tcW w:w="564" w:type="pct"/>
            <w:tcBorders>
              <w:tl2br w:val="nil"/>
              <w:tr2bl w:val="nil"/>
            </w:tcBorders>
            <w:tcMar>
              <w:top w:w="15" w:type="dxa"/>
              <w:left w:w="15" w:type="dxa"/>
              <w:right w:w="15" w:type="dxa"/>
            </w:tcMar>
            <w:vAlign w:val="center"/>
          </w:tcPr>
          <w:p w14:paraId="6863A61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C8959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7DD37F7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01FAC923">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56DF419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41E6B5E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0.00703</w:t>
            </w:r>
          </w:p>
        </w:tc>
        <w:tc>
          <w:tcPr>
            <w:tcW w:w="828" w:type="pct"/>
            <w:tcBorders>
              <w:tl2br w:val="nil"/>
              <w:tr2bl w:val="nil"/>
            </w:tcBorders>
            <w:noWrap/>
            <w:tcMar>
              <w:top w:w="15" w:type="dxa"/>
              <w:left w:w="15" w:type="dxa"/>
              <w:right w:w="15" w:type="dxa"/>
            </w:tcMar>
            <w:vAlign w:val="center"/>
          </w:tcPr>
          <w:p w14:paraId="5BC9AB1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3E2B16F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64" w:type="pct"/>
            <w:tcBorders>
              <w:tl2br w:val="nil"/>
              <w:tr2bl w:val="nil"/>
            </w:tcBorders>
            <w:tcMar>
              <w:top w:w="15" w:type="dxa"/>
              <w:left w:w="15" w:type="dxa"/>
              <w:right w:w="15" w:type="dxa"/>
            </w:tcMar>
            <w:vAlign w:val="center"/>
          </w:tcPr>
          <w:p w14:paraId="4BD4B08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C1C84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2E0F224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restart"/>
            <w:tcBorders>
              <w:tl2br w:val="nil"/>
              <w:tr2bl w:val="nil"/>
            </w:tcBorders>
            <w:tcMar>
              <w:top w:w="15" w:type="dxa"/>
              <w:left w:w="15" w:type="dxa"/>
              <w:right w:w="15" w:type="dxa"/>
            </w:tcMar>
            <w:vAlign w:val="center"/>
          </w:tcPr>
          <w:p w14:paraId="0020F5D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区域最大落地浓度</w:t>
            </w:r>
          </w:p>
        </w:tc>
        <w:tc>
          <w:tcPr>
            <w:tcW w:w="601" w:type="pct"/>
            <w:tcBorders>
              <w:tl2br w:val="nil"/>
              <w:tr2bl w:val="nil"/>
            </w:tcBorders>
            <w:tcMar>
              <w:top w:w="15" w:type="dxa"/>
              <w:left w:w="15" w:type="dxa"/>
              <w:right w:w="15" w:type="dxa"/>
            </w:tcMar>
            <w:vAlign w:val="center"/>
          </w:tcPr>
          <w:p w14:paraId="537CD54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13" w:type="pct"/>
            <w:tcBorders>
              <w:tl2br w:val="nil"/>
              <w:tr2bl w:val="nil"/>
            </w:tcBorders>
            <w:noWrap/>
            <w:tcMar>
              <w:top w:w="15" w:type="dxa"/>
              <w:left w:w="15" w:type="dxa"/>
              <w:right w:w="15" w:type="dxa"/>
            </w:tcMar>
            <w:vAlign w:val="center"/>
          </w:tcPr>
          <w:p w14:paraId="5FD83EA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7.52532</w:t>
            </w:r>
          </w:p>
        </w:tc>
        <w:tc>
          <w:tcPr>
            <w:tcW w:w="828" w:type="pct"/>
            <w:tcBorders>
              <w:tl2br w:val="nil"/>
              <w:tr2bl w:val="nil"/>
            </w:tcBorders>
            <w:noWrap/>
            <w:tcMar>
              <w:top w:w="15" w:type="dxa"/>
              <w:left w:w="15" w:type="dxa"/>
              <w:right w:w="15" w:type="dxa"/>
            </w:tcMar>
            <w:vAlign w:val="center"/>
          </w:tcPr>
          <w:p w14:paraId="2EE818A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24012618</w:t>
            </w:r>
          </w:p>
        </w:tc>
        <w:tc>
          <w:tcPr>
            <w:tcW w:w="686" w:type="pct"/>
            <w:tcBorders>
              <w:tl2br w:val="nil"/>
              <w:tr2bl w:val="nil"/>
            </w:tcBorders>
            <w:noWrap/>
            <w:tcMar>
              <w:top w:w="15" w:type="dxa"/>
              <w:left w:w="15" w:type="dxa"/>
              <w:right w:w="15" w:type="dxa"/>
            </w:tcMar>
            <w:vAlign w:val="center"/>
          </w:tcPr>
          <w:p w14:paraId="3F3C499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1.51</w:t>
            </w:r>
          </w:p>
        </w:tc>
        <w:tc>
          <w:tcPr>
            <w:tcW w:w="564" w:type="pct"/>
            <w:tcBorders>
              <w:tl2br w:val="nil"/>
              <w:tr2bl w:val="nil"/>
            </w:tcBorders>
            <w:tcMar>
              <w:top w:w="15" w:type="dxa"/>
              <w:left w:w="15" w:type="dxa"/>
              <w:right w:w="15" w:type="dxa"/>
            </w:tcMar>
            <w:vAlign w:val="center"/>
          </w:tcPr>
          <w:p w14:paraId="05E0369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56925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29F9636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4F0F727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329AFAC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13" w:type="pct"/>
            <w:tcBorders>
              <w:tl2br w:val="nil"/>
              <w:tr2bl w:val="nil"/>
            </w:tcBorders>
            <w:noWrap/>
            <w:tcMar>
              <w:top w:w="15" w:type="dxa"/>
              <w:left w:w="15" w:type="dxa"/>
              <w:right w:w="15" w:type="dxa"/>
            </w:tcMar>
            <w:vAlign w:val="center"/>
          </w:tcPr>
          <w:p w14:paraId="2F02667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0.61005</w:t>
            </w:r>
          </w:p>
        </w:tc>
        <w:tc>
          <w:tcPr>
            <w:tcW w:w="828" w:type="pct"/>
            <w:tcBorders>
              <w:tl2br w:val="nil"/>
              <w:tr2bl w:val="nil"/>
            </w:tcBorders>
            <w:noWrap/>
            <w:tcMar>
              <w:top w:w="15" w:type="dxa"/>
              <w:left w:w="15" w:type="dxa"/>
              <w:right w:w="15" w:type="dxa"/>
            </w:tcMar>
            <w:vAlign w:val="center"/>
          </w:tcPr>
          <w:p w14:paraId="02F75EF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241014</w:t>
            </w:r>
          </w:p>
        </w:tc>
        <w:tc>
          <w:tcPr>
            <w:tcW w:w="686" w:type="pct"/>
            <w:tcBorders>
              <w:tl2br w:val="nil"/>
              <w:tr2bl w:val="nil"/>
            </w:tcBorders>
            <w:noWrap/>
            <w:tcMar>
              <w:top w:w="15" w:type="dxa"/>
              <w:left w:w="15" w:type="dxa"/>
              <w:right w:w="15" w:type="dxa"/>
            </w:tcMar>
            <w:vAlign w:val="center"/>
          </w:tcPr>
          <w:p w14:paraId="7E0E8B2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0.41</w:t>
            </w:r>
          </w:p>
        </w:tc>
        <w:tc>
          <w:tcPr>
            <w:tcW w:w="564" w:type="pct"/>
            <w:tcBorders>
              <w:tl2br w:val="nil"/>
              <w:tr2bl w:val="nil"/>
            </w:tcBorders>
            <w:tcMar>
              <w:top w:w="15" w:type="dxa"/>
              <w:left w:w="15" w:type="dxa"/>
              <w:right w:w="15" w:type="dxa"/>
            </w:tcMar>
            <w:vAlign w:val="center"/>
          </w:tcPr>
          <w:p w14:paraId="46090A2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AA744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58" w:type="pct"/>
            <w:vMerge w:val="continue"/>
            <w:tcBorders>
              <w:tl2br w:val="nil"/>
              <w:tr2bl w:val="nil"/>
            </w:tcBorders>
            <w:tcMar>
              <w:top w:w="15" w:type="dxa"/>
              <w:left w:w="15" w:type="dxa"/>
              <w:right w:w="15" w:type="dxa"/>
            </w:tcMar>
            <w:vAlign w:val="center"/>
          </w:tcPr>
          <w:p w14:paraId="72EF2C2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47" w:type="pct"/>
            <w:vMerge w:val="continue"/>
            <w:tcBorders>
              <w:tl2br w:val="nil"/>
              <w:tr2bl w:val="nil"/>
            </w:tcBorders>
            <w:tcMar>
              <w:top w:w="15" w:type="dxa"/>
              <w:left w:w="15" w:type="dxa"/>
              <w:right w:w="15" w:type="dxa"/>
            </w:tcMar>
            <w:vAlign w:val="center"/>
          </w:tcPr>
          <w:p w14:paraId="0662591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1" w:type="pct"/>
            <w:tcBorders>
              <w:tl2br w:val="nil"/>
              <w:tr2bl w:val="nil"/>
            </w:tcBorders>
            <w:tcMar>
              <w:top w:w="15" w:type="dxa"/>
              <w:left w:w="15" w:type="dxa"/>
              <w:right w:w="15" w:type="dxa"/>
            </w:tcMar>
            <w:vAlign w:val="center"/>
          </w:tcPr>
          <w:p w14:paraId="0B059C7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13" w:type="pct"/>
            <w:tcBorders>
              <w:tl2br w:val="nil"/>
              <w:tr2bl w:val="nil"/>
            </w:tcBorders>
            <w:noWrap/>
            <w:tcMar>
              <w:top w:w="15" w:type="dxa"/>
              <w:left w:w="15" w:type="dxa"/>
              <w:right w:w="15" w:type="dxa"/>
            </w:tcMar>
            <w:vAlign w:val="center"/>
          </w:tcPr>
          <w:p w14:paraId="0157EE6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0.05427</w:t>
            </w:r>
          </w:p>
        </w:tc>
        <w:tc>
          <w:tcPr>
            <w:tcW w:w="828" w:type="pct"/>
            <w:tcBorders>
              <w:tl2br w:val="nil"/>
              <w:tr2bl w:val="nil"/>
            </w:tcBorders>
            <w:noWrap/>
            <w:tcMar>
              <w:top w:w="15" w:type="dxa"/>
              <w:left w:w="15" w:type="dxa"/>
              <w:right w:w="15" w:type="dxa"/>
            </w:tcMar>
            <w:vAlign w:val="center"/>
          </w:tcPr>
          <w:p w14:paraId="27A0915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86" w:type="pct"/>
            <w:tcBorders>
              <w:tl2br w:val="nil"/>
              <w:tr2bl w:val="nil"/>
            </w:tcBorders>
            <w:noWrap/>
            <w:tcMar>
              <w:top w:w="15" w:type="dxa"/>
              <w:left w:w="15" w:type="dxa"/>
              <w:right w:w="15" w:type="dxa"/>
            </w:tcMar>
            <w:vAlign w:val="center"/>
          </w:tcPr>
          <w:p w14:paraId="47DB886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0.09</w:t>
            </w:r>
          </w:p>
        </w:tc>
        <w:tc>
          <w:tcPr>
            <w:tcW w:w="564" w:type="pct"/>
            <w:tcBorders>
              <w:tl2br w:val="nil"/>
              <w:tr2bl w:val="nil"/>
            </w:tcBorders>
            <w:tcMar>
              <w:top w:w="15" w:type="dxa"/>
              <w:left w:w="15" w:type="dxa"/>
              <w:right w:w="15" w:type="dxa"/>
            </w:tcMar>
            <w:vAlign w:val="center"/>
          </w:tcPr>
          <w:p w14:paraId="7743757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bl>
    <w:p w14:paraId="448E5A1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表6.2-1</w:t>
      </w:r>
      <w:r>
        <w:rPr>
          <w:rFonts w:hint="eastAsia" w:ascii="Times New Roman" w:hAnsi="Times New Roman" w:eastAsia="宋体" w:cs="Times New Roman"/>
          <w:b/>
          <w:bCs/>
          <w:color w:val="auto"/>
          <w:sz w:val="24"/>
          <w:szCs w:val="24"/>
          <w:lang w:val="en-US" w:eastAsia="zh-CN"/>
        </w:rPr>
        <w:t>6</w:t>
      </w:r>
      <w:r>
        <w:rPr>
          <w:rFonts w:hint="default" w:ascii="Times New Roman" w:hAnsi="Times New Roman" w:eastAsia="宋体" w:cs="Times New Roman"/>
          <w:b/>
          <w:bCs/>
          <w:color w:val="auto"/>
          <w:sz w:val="24"/>
          <w:szCs w:val="24"/>
          <w:lang w:val="en-US" w:eastAsia="zh-CN"/>
        </w:rPr>
        <w:t xml:space="preserve">  本项目NO</w:t>
      </w:r>
      <w:r>
        <w:rPr>
          <w:rFonts w:hint="default" w:ascii="Times New Roman" w:hAnsi="Times New Roman" w:eastAsia="宋体" w:cs="Times New Roman"/>
          <w:b/>
          <w:bCs/>
          <w:color w:val="auto"/>
          <w:sz w:val="24"/>
          <w:szCs w:val="24"/>
          <w:vertAlign w:val="subscript"/>
          <w:lang w:val="en-US" w:eastAsia="zh-CN"/>
        </w:rPr>
        <w:t>2</w:t>
      </w:r>
      <w:r>
        <w:rPr>
          <w:rFonts w:hint="default" w:ascii="Times New Roman" w:hAnsi="Times New Roman" w:eastAsia="宋体" w:cs="Times New Roman"/>
          <w:b/>
          <w:bCs/>
          <w:color w:val="auto"/>
          <w:sz w:val="24"/>
          <w:szCs w:val="24"/>
          <w:lang w:val="en-US" w:eastAsia="zh-CN"/>
        </w:rPr>
        <w:t>贡献质量浓度预测结果表</w:t>
      </w:r>
    </w:p>
    <w:tbl>
      <w:tblPr>
        <w:tblStyle w:val="40"/>
        <w:tblW w:w="499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33"/>
        <w:gridCol w:w="1482"/>
        <w:gridCol w:w="1166"/>
        <w:gridCol w:w="1654"/>
        <w:gridCol w:w="966"/>
        <w:gridCol w:w="1211"/>
        <w:gridCol w:w="1011"/>
      </w:tblGrid>
      <w:tr w14:paraId="228C52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tcBorders>
              <w:tl2br w:val="nil"/>
              <w:tr2bl w:val="nil"/>
            </w:tcBorders>
            <w:tcMar>
              <w:top w:w="15" w:type="dxa"/>
              <w:left w:w="15" w:type="dxa"/>
              <w:right w:w="15" w:type="dxa"/>
            </w:tcMar>
            <w:vAlign w:val="center"/>
          </w:tcPr>
          <w:p w14:paraId="59E24A1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890" w:type="pct"/>
            <w:tcBorders>
              <w:tl2br w:val="nil"/>
              <w:tr2bl w:val="nil"/>
            </w:tcBorders>
            <w:tcMar>
              <w:top w:w="15" w:type="dxa"/>
              <w:left w:w="15" w:type="dxa"/>
              <w:right w:w="15" w:type="dxa"/>
            </w:tcMar>
            <w:vAlign w:val="center"/>
          </w:tcPr>
          <w:p w14:paraId="0533A07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预测点</w:t>
            </w:r>
          </w:p>
        </w:tc>
        <w:tc>
          <w:tcPr>
            <w:tcW w:w="700" w:type="pct"/>
            <w:tcBorders>
              <w:tl2br w:val="nil"/>
              <w:tr2bl w:val="nil"/>
            </w:tcBorders>
            <w:tcMar>
              <w:top w:w="15" w:type="dxa"/>
              <w:left w:w="15" w:type="dxa"/>
              <w:right w:w="15" w:type="dxa"/>
            </w:tcMar>
            <w:vAlign w:val="center"/>
          </w:tcPr>
          <w:p w14:paraId="48D31B5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平均时段</w:t>
            </w:r>
          </w:p>
        </w:tc>
        <w:tc>
          <w:tcPr>
            <w:tcW w:w="993" w:type="pct"/>
            <w:tcBorders>
              <w:tl2br w:val="nil"/>
              <w:tr2bl w:val="nil"/>
            </w:tcBorders>
            <w:tcMar>
              <w:top w:w="15" w:type="dxa"/>
              <w:left w:w="15" w:type="dxa"/>
              <w:right w:w="15" w:type="dxa"/>
            </w:tcMar>
            <w:vAlign w:val="center"/>
          </w:tcPr>
          <w:p w14:paraId="3AB6843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最大贡献值/（μg/m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580" w:type="pct"/>
            <w:tcBorders>
              <w:tl2br w:val="nil"/>
              <w:tr2bl w:val="nil"/>
            </w:tcBorders>
            <w:tcMar>
              <w:top w:w="15" w:type="dxa"/>
              <w:left w:w="15" w:type="dxa"/>
              <w:right w:w="15" w:type="dxa"/>
            </w:tcMar>
            <w:vAlign w:val="center"/>
          </w:tcPr>
          <w:p w14:paraId="7870AD5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出现时间</w:t>
            </w:r>
          </w:p>
        </w:tc>
        <w:tc>
          <w:tcPr>
            <w:tcW w:w="727" w:type="pct"/>
            <w:tcBorders>
              <w:tl2br w:val="nil"/>
              <w:tr2bl w:val="nil"/>
            </w:tcBorders>
            <w:tcMar>
              <w:top w:w="15" w:type="dxa"/>
              <w:left w:w="15" w:type="dxa"/>
              <w:right w:w="15" w:type="dxa"/>
            </w:tcMar>
            <w:vAlign w:val="center"/>
          </w:tcPr>
          <w:p w14:paraId="6DE6E81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占标率/（%）</w:t>
            </w:r>
          </w:p>
        </w:tc>
        <w:tc>
          <w:tcPr>
            <w:tcW w:w="607" w:type="pct"/>
            <w:tcBorders>
              <w:tl2br w:val="nil"/>
              <w:tr2bl w:val="nil"/>
            </w:tcBorders>
            <w:tcMar>
              <w:top w:w="15" w:type="dxa"/>
              <w:left w:w="15" w:type="dxa"/>
              <w:right w:w="15" w:type="dxa"/>
            </w:tcMar>
            <w:vAlign w:val="center"/>
          </w:tcPr>
          <w:p w14:paraId="4552456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达标情况</w:t>
            </w:r>
          </w:p>
        </w:tc>
      </w:tr>
      <w:tr w14:paraId="5F23E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restart"/>
            <w:tcBorders>
              <w:tl2br w:val="nil"/>
              <w:tr2bl w:val="nil"/>
            </w:tcBorders>
            <w:tcMar>
              <w:top w:w="15" w:type="dxa"/>
              <w:left w:w="15" w:type="dxa"/>
              <w:right w:w="15" w:type="dxa"/>
            </w:tcMar>
            <w:vAlign w:val="center"/>
          </w:tcPr>
          <w:p w14:paraId="5F657D5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color w:val="auto"/>
                <w:sz w:val="21"/>
                <w:szCs w:val="21"/>
              </w:rPr>
            </w:pPr>
            <w:r>
              <w:rPr>
                <w:rFonts w:ascii="Times New Roman" w:hAnsi="Times New Roman" w:eastAsia="宋体" w:cs="Times New Roman"/>
                <w:color w:val="auto"/>
                <w:kern w:val="0"/>
                <w:sz w:val="21"/>
                <w:szCs w:val="21"/>
                <w:lang w:bidi="ar"/>
              </w:rPr>
              <w:t>NO</w:t>
            </w:r>
            <w:r>
              <w:rPr>
                <w:rFonts w:ascii="Times New Roman" w:hAnsi="Times New Roman" w:eastAsia="宋体" w:cs="Times New Roman"/>
                <w:color w:val="auto"/>
                <w:kern w:val="0"/>
                <w:sz w:val="21"/>
                <w:szCs w:val="21"/>
                <w:vertAlign w:val="subscript"/>
                <w:lang w:bidi="ar"/>
              </w:rPr>
              <w:t>2</w:t>
            </w:r>
          </w:p>
        </w:tc>
        <w:tc>
          <w:tcPr>
            <w:tcW w:w="890" w:type="pct"/>
            <w:vMerge w:val="restart"/>
            <w:tcBorders>
              <w:tl2br w:val="nil"/>
              <w:tr2bl w:val="nil"/>
            </w:tcBorders>
            <w:tcMar>
              <w:top w:w="15" w:type="dxa"/>
              <w:left w:w="15" w:type="dxa"/>
              <w:right w:w="15" w:type="dxa"/>
            </w:tcMar>
            <w:vAlign w:val="center"/>
          </w:tcPr>
          <w:p w14:paraId="724A13A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八五二农场场部</w:t>
            </w:r>
          </w:p>
        </w:tc>
        <w:tc>
          <w:tcPr>
            <w:tcW w:w="700" w:type="pct"/>
            <w:tcBorders>
              <w:tl2br w:val="nil"/>
              <w:tr2bl w:val="nil"/>
            </w:tcBorders>
            <w:tcMar>
              <w:top w:w="15" w:type="dxa"/>
              <w:left w:w="15" w:type="dxa"/>
              <w:right w:w="15" w:type="dxa"/>
            </w:tcMar>
            <w:vAlign w:val="center"/>
          </w:tcPr>
          <w:p w14:paraId="14F5681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1A9CBE8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6.28819</w:t>
            </w:r>
          </w:p>
        </w:tc>
        <w:tc>
          <w:tcPr>
            <w:tcW w:w="580" w:type="pct"/>
            <w:tcBorders>
              <w:tl2br w:val="nil"/>
              <w:tr2bl w:val="nil"/>
            </w:tcBorders>
            <w:noWrap/>
            <w:tcMar>
              <w:top w:w="15" w:type="dxa"/>
              <w:left w:w="15" w:type="dxa"/>
              <w:right w:w="15" w:type="dxa"/>
            </w:tcMar>
            <w:vAlign w:val="center"/>
          </w:tcPr>
          <w:p w14:paraId="63F5DBA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24103012</w:t>
            </w:r>
          </w:p>
        </w:tc>
        <w:tc>
          <w:tcPr>
            <w:tcW w:w="727" w:type="pct"/>
            <w:tcBorders>
              <w:tl2br w:val="nil"/>
              <w:tr2bl w:val="nil"/>
            </w:tcBorders>
            <w:noWrap/>
            <w:tcMar>
              <w:top w:w="15" w:type="dxa"/>
              <w:left w:w="15" w:type="dxa"/>
              <w:right w:w="15" w:type="dxa"/>
            </w:tcMar>
            <w:vAlign w:val="center"/>
          </w:tcPr>
          <w:p w14:paraId="063021B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3.14</w:t>
            </w:r>
          </w:p>
        </w:tc>
        <w:tc>
          <w:tcPr>
            <w:tcW w:w="607" w:type="pct"/>
            <w:tcBorders>
              <w:tl2br w:val="nil"/>
              <w:tr2bl w:val="nil"/>
            </w:tcBorders>
            <w:tcMar>
              <w:top w:w="15" w:type="dxa"/>
              <w:left w:w="15" w:type="dxa"/>
              <w:right w:w="15" w:type="dxa"/>
            </w:tcMar>
            <w:vAlign w:val="center"/>
          </w:tcPr>
          <w:p w14:paraId="64ED116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61081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2519100F">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890" w:type="pct"/>
            <w:vMerge w:val="continue"/>
            <w:tcBorders>
              <w:tl2br w:val="nil"/>
              <w:tr2bl w:val="nil"/>
            </w:tcBorders>
            <w:tcMar>
              <w:top w:w="15" w:type="dxa"/>
              <w:left w:w="15" w:type="dxa"/>
              <w:right w:w="15" w:type="dxa"/>
            </w:tcMar>
            <w:vAlign w:val="center"/>
          </w:tcPr>
          <w:p w14:paraId="7978C0C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471690B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67363A1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0.99937</w:t>
            </w:r>
          </w:p>
        </w:tc>
        <w:tc>
          <w:tcPr>
            <w:tcW w:w="580" w:type="pct"/>
            <w:tcBorders>
              <w:tl2br w:val="nil"/>
              <w:tr2bl w:val="nil"/>
            </w:tcBorders>
            <w:noWrap/>
            <w:tcMar>
              <w:top w:w="15" w:type="dxa"/>
              <w:left w:w="15" w:type="dxa"/>
              <w:right w:w="15" w:type="dxa"/>
            </w:tcMar>
            <w:vAlign w:val="center"/>
          </w:tcPr>
          <w:p w14:paraId="624E2F6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241009</w:t>
            </w:r>
          </w:p>
        </w:tc>
        <w:tc>
          <w:tcPr>
            <w:tcW w:w="727" w:type="pct"/>
            <w:tcBorders>
              <w:tl2br w:val="nil"/>
              <w:tr2bl w:val="nil"/>
            </w:tcBorders>
            <w:noWrap/>
            <w:tcMar>
              <w:top w:w="15" w:type="dxa"/>
              <w:left w:w="15" w:type="dxa"/>
              <w:right w:w="15" w:type="dxa"/>
            </w:tcMar>
            <w:vAlign w:val="center"/>
          </w:tcPr>
          <w:p w14:paraId="0FEDFA8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1.25</w:t>
            </w:r>
          </w:p>
        </w:tc>
        <w:tc>
          <w:tcPr>
            <w:tcW w:w="607" w:type="pct"/>
            <w:tcBorders>
              <w:tl2br w:val="nil"/>
              <w:tr2bl w:val="nil"/>
            </w:tcBorders>
            <w:tcMar>
              <w:top w:w="15" w:type="dxa"/>
              <w:left w:w="15" w:type="dxa"/>
              <w:right w:w="15" w:type="dxa"/>
            </w:tcMar>
            <w:vAlign w:val="center"/>
          </w:tcPr>
          <w:p w14:paraId="43C7C13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5A2B9C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4C38572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7FACC8C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314C49D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6AD616D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0.01951</w:t>
            </w:r>
          </w:p>
        </w:tc>
        <w:tc>
          <w:tcPr>
            <w:tcW w:w="580" w:type="pct"/>
            <w:tcBorders>
              <w:tl2br w:val="nil"/>
              <w:tr2bl w:val="nil"/>
            </w:tcBorders>
            <w:noWrap/>
            <w:tcMar>
              <w:top w:w="15" w:type="dxa"/>
              <w:left w:w="15" w:type="dxa"/>
              <w:right w:w="15" w:type="dxa"/>
            </w:tcMar>
            <w:vAlign w:val="center"/>
          </w:tcPr>
          <w:p w14:paraId="67EAB55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4813C78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w:t>
            </w:r>
          </w:p>
        </w:tc>
        <w:tc>
          <w:tcPr>
            <w:tcW w:w="607" w:type="pct"/>
            <w:tcBorders>
              <w:tl2br w:val="nil"/>
              <w:tr2bl w:val="nil"/>
            </w:tcBorders>
            <w:tcMar>
              <w:top w:w="15" w:type="dxa"/>
              <w:left w:w="15" w:type="dxa"/>
              <w:right w:w="15" w:type="dxa"/>
            </w:tcMar>
            <w:vAlign w:val="center"/>
          </w:tcPr>
          <w:p w14:paraId="34A9CD4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4C2F6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CF8D7F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4EB88E3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和平管理区</w:t>
            </w:r>
          </w:p>
        </w:tc>
        <w:tc>
          <w:tcPr>
            <w:tcW w:w="700" w:type="pct"/>
            <w:tcBorders>
              <w:tl2br w:val="nil"/>
              <w:tr2bl w:val="nil"/>
            </w:tcBorders>
            <w:tcMar>
              <w:top w:w="15" w:type="dxa"/>
              <w:left w:w="15" w:type="dxa"/>
              <w:right w:w="15" w:type="dxa"/>
            </w:tcMar>
            <w:vAlign w:val="center"/>
          </w:tcPr>
          <w:p w14:paraId="14E7AD3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67593A3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7.34632</w:t>
            </w:r>
          </w:p>
        </w:tc>
        <w:tc>
          <w:tcPr>
            <w:tcW w:w="580" w:type="pct"/>
            <w:tcBorders>
              <w:tl2br w:val="nil"/>
              <w:tr2bl w:val="nil"/>
            </w:tcBorders>
            <w:noWrap/>
            <w:tcMar>
              <w:top w:w="15" w:type="dxa"/>
              <w:left w:w="15" w:type="dxa"/>
              <w:right w:w="15" w:type="dxa"/>
            </w:tcMar>
            <w:vAlign w:val="center"/>
          </w:tcPr>
          <w:p w14:paraId="69E293F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24123111</w:t>
            </w:r>
          </w:p>
        </w:tc>
        <w:tc>
          <w:tcPr>
            <w:tcW w:w="727" w:type="pct"/>
            <w:tcBorders>
              <w:tl2br w:val="nil"/>
              <w:tr2bl w:val="nil"/>
            </w:tcBorders>
            <w:noWrap/>
            <w:tcMar>
              <w:top w:w="15" w:type="dxa"/>
              <w:left w:w="15" w:type="dxa"/>
              <w:right w:w="15" w:type="dxa"/>
            </w:tcMar>
            <w:vAlign w:val="center"/>
          </w:tcPr>
          <w:p w14:paraId="1443845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3.67</w:t>
            </w:r>
          </w:p>
        </w:tc>
        <w:tc>
          <w:tcPr>
            <w:tcW w:w="607" w:type="pct"/>
            <w:tcBorders>
              <w:tl2br w:val="nil"/>
              <w:tr2bl w:val="nil"/>
            </w:tcBorders>
            <w:tcMar>
              <w:top w:w="15" w:type="dxa"/>
              <w:left w:w="15" w:type="dxa"/>
              <w:right w:w="15" w:type="dxa"/>
            </w:tcMar>
            <w:vAlign w:val="center"/>
          </w:tcPr>
          <w:p w14:paraId="773BBD0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07FB0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50B6D65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308BFB9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7731B2C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2206454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0.58416</w:t>
            </w:r>
          </w:p>
        </w:tc>
        <w:tc>
          <w:tcPr>
            <w:tcW w:w="580" w:type="pct"/>
            <w:tcBorders>
              <w:tl2br w:val="nil"/>
              <w:tr2bl w:val="nil"/>
            </w:tcBorders>
            <w:noWrap/>
            <w:tcMar>
              <w:top w:w="15" w:type="dxa"/>
              <w:left w:w="15" w:type="dxa"/>
              <w:right w:w="15" w:type="dxa"/>
            </w:tcMar>
            <w:vAlign w:val="center"/>
          </w:tcPr>
          <w:p w14:paraId="3DBD15A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727" w:type="pct"/>
            <w:tcBorders>
              <w:tl2br w:val="nil"/>
              <w:tr2bl w:val="nil"/>
            </w:tcBorders>
            <w:noWrap/>
            <w:tcMar>
              <w:top w:w="15" w:type="dxa"/>
              <w:left w:w="15" w:type="dxa"/>
              <w:right w:w="15" w:type="dxa"/>
            </w:tcMar>
            <w:vAlign w:val="center"/>
          </w:tcPr>
          <w:p w14:paraId="77A2ECA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0.73</w:t>
            </w:r>
          </w:p>
        </w:tc>
        <w:tc>
          <w:tcPr>
            <w:tcW w:w="607" w:type="pct"/>
            <w:tcBorders>
              <w:tl2br w:val="nil"/>
              <w:tr2bl w:val="nil"/>
            </w:tcBorders>
            <w:tcMar>
              <w:top w:w="15" w:type="dxa"/>
              <w:left w:w="15" w:type="dxa"/>
              <w:right w:w="15" w:type="dxa"/>
            </w:tcMar>
            <w:vAlign w:val="center"/>
          </w:tcPr>
          <w:p w14:paraId="327F93C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25A062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2386A8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18FB3CF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3902C85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1B1AC08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0.02512</w:t>
            </w:r>
          </w:p>
        </w:tc>
        <w:tc>
          <w:tcPr>
            <w:tcW w:w="580" w:type="pct"/>
            <w:tcBorders>
              <w:tl2br w:val="nil"/>
              <w:tr2bl w:val="nil"/>
            </w:tcBorders>
            <w:noWrap/>
            <w:tcMar>
              <w:top w:w="15" w:type="dxa"/>
              <w:left w:w="15" w:type="dxa"/>
              <w:right w:w="15" w:type="dxa"/>
            </w:tcMar>
            <w:vAlign w:val="center"/>
          </w:tcPr>
          <w:p w14:paraId="4E79F6B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3F12DF2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w:t>
            </w:r>
          </w:p>
        </w:tc>
        <w:tc>
          <w:tcPr>
            <w:tcW w:w="607" w:type="pct"/>
            <w:tcBorders>
              <w:tl2br w:val="nil"/>
              <w:tr2bl w:val="nil"/>
            </w:tcBorders>
            <w:tcMar>
              <w:top w:w="15" w:type="dxa"/>
              <w:left w:w="15" w:type="dxa"/>
              <w:right w:w="15" w:type="dxa"/>
            </w:tcMar>
            <w:vAlign w:val="center"/>
          </w:tcPr>
          <w:p w14:paraId="2E1D611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17649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4F6A7F9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0326423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南林小区</w:t>
            </w:r>
          </w:p>
        </w:tc>
        <w:tc>
          <w:tcPr>
            <w:tcW w:w="700" w:type="pct"/>
            <w:tcBorders>
              <w:tl2br w:val="nil"/>
              <w:tr2bl w:val="nil"/>
            </w:tcBorders>
            <w:tcMar>
              <w:top w:w="15" w:type="dxa"/>
              <w:left w:w="15" w:type="dxa"/>
              <w:right w:w="15" w:type="dxa"/>
            </w:tcMar>
            <w:vAlign w:val="center"/>
          </w:tcPr>
          <w:p w14:paraId="52CEAB6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4F7DB5E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5.24268</w:t>
            </w:r>
          </w:p>
        </w:tc>
        <w:tc>
          <w:tcPr>
            <w:tcW w:w="580" w:type="pct"/>
            <w:tcBorders>
              <w:tl2br w:val="nil"/>
              <w:tr2bl w:val="nil"/>
            </w:tcBorders>
            <w:noWrap/>
            <w:tcMar>
              <w:top w:w="15" w:type="dxa"/>
              <w:left w:w="15" w:type="dxa"/>
              <w:right w:w="15" w:type="dxa"/>
            </w:tcMar>
            <w:vAlign w:val="center"/>
          </w:tcPr>
          <w:p w14:paraId="084EAD5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24100709</w:t>
            </w:r>
          </w:p>
        </w:tc>
        <w:tc>
          <w:tcPr>
            <w:tcW w:w="727" w:type="pct"/>
            <w:tcBorders>
              <w:tl2br w:val="nil"/>
              <w:tr2bl w:val="nil"/>
            </w:tcBorders>
            <w:noWrap/>
            <w:tcMar>
              <w:top w:w="15" w:type="dxa"/>
              <w:left w:w="15" w:type="dxa"/>
              <w:right w:w="15" w:type="dxa"/>
            </w:tcMar>
            <w:vAlign w:val="center"/>
          </w:tcPr>
          <w:p w14:paraId="47A9E89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2.62</w:t>
            </w:r>
          </w:p>
        </w:tc>
        <w:tc>
          <w:tcPr>
            <w:tcW w:w="607" w:type="pct"/>
            <w:tcBorders>
              <w:tl2br w:val="nil"/>
              <w:tr2bl w:val="nil"/>
            </w:tcBorders>
            <w:tcMar>
              <w:top w:w="15" w:type="dxa"/>
              <w:left w:w="15" w:type="dxa"/>
              <w:right w:w="15" w:type="dxa"/>
            </w:tcMar>
            <w:vAlign w:val="center"/>
          </w:tcPr>
          <w:p w14:paraId="58C10E7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31C231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DCE330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187E6D0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64FF618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45C68DD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0.50138</w:t>
            </w:r>
          </w:p>
        </w:tc>
        <w:tc>
          <w:tcPr>
            <w:tcW w:w="580" w:type="pct"/>
            <w:tcBorders>
              <w:tl2br w:val="nil"/>
              <w:tr2bl w:val="nil"/>
            </w:tcBorders>
            <w:noWrap/>
            <w:tcMar>
              <w:top w:w="15" w:type="dxa"/>
              <w:left w:w="15" w:type="dxa"/>
              <w:right w:w="15" w:type="dxa"/>
            </w:tcMar>
            <w:vAlign w:val="center"/>
          </w:tcPr>
          <w:p w14:paraId="0DCADED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240321</w:t>
            </w:r>
          </w:p>
        </w:tc>
        <w:tc>
          <w:tcPr>
            <w:tcW w:w="727" w:type="pct"/>
            <w:tcBorders>
              <w:tl2br w:val="nil"/>
              <w:tr2bl w:val="nil"/>
            </w:tcBorders>
            <w:noWrap/>
            <w:tcMar>
              <w:top w:w="15" w:type="dxa"/>
              <w:left w:w="15" w:type="dxa"/>
              <w:right w:w="15" w:type="dxa"/>
            </w:tcMar>
            <w:vAlign w:val="center"/>
          </w:tcPr>
          <w:p w14:paraId="76CA112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0.63</w:t>
            </w:r>
          </w:p>
        </w:tc>
        <w:tc>
          <w:tcPr>
            <w:tcW w:w="607" w:type="pct"/>
            <w:tcBorders>
              <w:tl2br w:val="nil"/>
              <w:tr2bl w:val="nil"/>
            </w:tcBorders>
            <w:tcMar>
              <w:top w:w="15" w:type="dxa"/>
              <w:left w:w="15" w:type="dxa"/>
              <w:right w:w="15" w:type="dxa"/>
            </w:tcMar>
            <w:vAlign w:val="center"/>
          </w:tcPr>
          <w:p w14:paraId="786A7EA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274874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5CC7EA4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7132DE1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4A3CC23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4B5CA3D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0.04465</w:t>
            </w:r>
          </w:p>
        </w:tc>
        <w:tc>
          <w:tcPr>
            <w:tcW w:w="580" w:type="pct"/>
            <w:tcBorders>
              <w:tl2br w:val="nil"/>
              <w:tr2bl w:val="nil"/>
            </w:tcBorders>
            <w:noWrap/>
            <w:tcMar>
              <w:top w:w="15" w:type="dxa"/>
              <w:left w:w="15" w:type="dxa"/>
              <w:right w:w="15" w:type="dxa"/>
            </w:tcMar>
            <w:vAlign w:val="center"/>
          </w:tcPr>
          <w:p w14:paraId="7DBA318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43C06A6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0.11</w:t>
            </w:r>
          </w:p>
        </w:tc>
        <w:tc>
          <w:tcPr>
            <w:tcW w:w="607" w:type="pct"/>
            <w:tcBorders>
              <w:tl2br w:val="nil"/>
              <w:tr2bl w:val="nil"/>
            </w:tcBorders>
            <w:tcMar>
              <w:top w:w="15" w:type="dxa"/>
              <w:left w:w="15" w:type="dxa"/>
              <w:right w:w="15" w:type="dxa"/>
            </w:tcMar>
            <w:vAlign w:val="center"/>
          </w:tcPr>
          <w:p w14:paraId="177D3C4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5683F0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2D3C7CD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032027B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八五二农场四分场</w:t>
            </w:r>
          </w:p>
        </w:tc>
        <w:tc>
          <w:tcPr>
            <w:tcW w:w="700" w:type="pct"/>
            <w:tcBorders>
              <w:tl2br w:val="nil"/>
              <w:tr2bl w:val="nil"/>
            </w:tcBorders>
            <w:tcMar>
              <w:top w:w="15" w:type="dxa"/>
              <w:left w:w="15" w:type="dxa"/>
              <w:right w:w="15" w:type="dxa"/>
            </w:tcMar>
            <w:vAlign w:val="center"/>
          </w:tcPr>
          <w:p w14:paraId="2AFCE63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72E6500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3.19242</w:t>
            </w:r>
          </w:p>
        </w:tc>
        <w:tc>
          <w:tcPr>
            <w:tcW w:w="580" w:type="pct"/>
            <w:tcBorders>
              <w:tl2br w:val="nil"/>
              <w:tr2bl w:val="nil"/>
            </w:tcBorders>
            <w:noWrap/>
            <w:tcMar>
              <w:top w:w="15" w:type="dxa"/>
              <w:left w:w="15" w:type="dxa"/>
              <w:right w:w="15" w:type="dxa"/>
            </w:tcMar>
            <w:vAlign w:val="center"/>
          </w:tcPr>
          <w:p w14:paraId="13E8F23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24123111</w:t>
            </w:r>
          </w:p>
        </w:tc>
        <w:tc>
          <w:tcPr>
            <w:tcW w:w="727" w:type="pct"/>
            <w:tcBorders>
              <w:tl2br w:val="nil"/>
              <w:tr2bl w:val="nil"/>
            </w:tcBorders>
            <w:noWrap/>
            <w:tcMar>
              <w:top w:w="15" w:type="dxa"/>
              <w:left w:w="15" w:type="dxa"/>
              <w:right w:w="15" w:type="dxa"/>
            </w:tcMar>
            <w:vAlign w:val="center"/>
          </w:tcPr>
          <w:p w14:paraId="753A247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1.60</w:t>
            </w:r>
          </w:p>
        </w:tc>
        <w:tc>
          <w:tcPr>
            <w:tcW w:w="607" w:type="pct"/>
            <w:tcBorders>
              <w:tl2br w:val="nil"/>
              <w:tr2bl w:val="nil"/>
            </w:tcBorders>
            <w:tcMar>
              <w:top w:w="15" w:type="dxa"/>
              <w:left w:w="15" w:type="dxa"/>
              <w:right w:w="15" w:type="dxa"/>
            </w:tcMar>
            <w:vAlign w:val="center"/>
          </w:tcPr>
          <w:p w14:paraId="1E3B786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6FE0F5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5BE7A3C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5AAE48B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0A27F1A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0DF7DF9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0.27428</w:t>
            </w:r>
          </w:p>
        </w:tc>
        <w:tc>
          <w:tcPr>
            <w:tcW w:w="580" w:type="pct"/>
            <w:tcBorders>
              <w:tl2br w:val="nil"/>
              <w:tr2bl w:val="nil"/>
            </w:tcBorders>
            <w:noWrap/>
            <w:tcMar>
              <w:top w:w="15" w:type="dxa"/>
              <w:left w:w="15" w:type="dxa"/>
              <w:right w:w="15" w:type="dxa"/>
            </w:tcMar>
            <w:vAlign w:val="center"/>
          </w:tcPr>
          <w:p w14:paraId="54C3BAB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240212</w:t>
            </w:r>
          </w:p>
        </w:tc>
        <w:tc>
          <w:tcPr>
            <w:tcW w:w="727" w:type="pct"/>
            <w:tcBorders>
              <w:tl2br w:val="nil"/>
              <w:tr2bl w:val="nil"/>
            </w:tcBorders>
            <w:noWrap/>
            <w:tcMar>
              <w:top w:w="15" w:type="dxa"/>
              <w:left w:w="15" w:type="dxa"/>
              <w:right w:w="15" w:type="dxa"/>
            </w:tcMar>
            <w:vAlign w:val="center"/>
          </w:tcPr>
          <w:p w14:paraId="32A3C87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0.34</w:t>
            </w:r>
          </w:p>
        </w:tc>
        <w:tc>
          <w:tcPr>
            <w:tcW w:w="607" w:type="pct"/>
            <w:tcBorders>
              <w:tl2br w:val="nil"/>
              <w:tr2bl w:val="nil"/>
            </w:tcBorders>
            <w:tcMar>
              <w:top w:w="15" w:type="dxa"/>
              <w:left w:w="15" w:type="dxa"/>
              <w:right w:w="15" w:type="dxa"/>
            </w:tcMar>
            <w:vAlign w:val="center"/>
          </w:tcPr>
          <w:p w14:paraId="1F76887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3C14CF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5DF85BA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07558E2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35CE9C7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0709ED0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0.01258</w:t>
            </w:r>
          </w:p>
        </w:tc>
        <w:tc>
          <w:tcPr>
            <w:tcW w:w="580" w:type="pct"/>
            <w:tcBorders>
              <w:tl2br w:val="nil"/>
              <w:tr2bl w:val="nil"/>
            </w:tcBorders>
            <w:noWrap/>
            <w:tcMar>
              <w:top w:w="15" w:type="dxa"/>
              <w:left w:w="15" w:type="dxa"/>
              <w:right w:w="15" w:type="dxa"/>
            </w:tcMar>
            <w:vAlign w:val="center"/>
          </w:tcPr>
          <w:p w14:paraId="106DF07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5BD944D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w:t>
            </w:r>
          </w:p>
        </w:tc>
        <w:tc>
          <w:tcPr>
            <w:tcW w:w="607" w:type="pct"/>
            <w:tcBorders>
              <w:tl2br w:val="nil"/>
              <w:tr2bl w:val="nil"/>
            </w:tcBorders>
            <w:tcMar>
              <w:top w:w="15" w:type="dxa"/>
              <w:left w:w="15" w:type="dxa"/>
              <w:right w:w="15" w:type="dxa"/>
            </w:tcMar>
            <w:vAlign w:val="center"/>
          </w:tcPr>
          <w:p w14:paraId="368D91E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374B70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0DBFB91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1BA76BE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八五二农场副业队</w:t>
            </w:r>
          </w:p>
        </w:tc>
        <w:tc>
          <w:tcPr>
            <w:tcW w:w="700" w:type="pct"/>
            <w:tcBorders>
              <w:tl2br w:val="nil"/>
              <w:tr2bl w:val="nil"/>
            </w:tcBorders>
            <w:tcMar>
              <w:top w:w="15" w:type="dxa"/>
              <w:left w:w="15" w:type="dxa"/>
              <w:right w:w="15" w:type="dxa"/>
            </w:tcMar>
            <w:vAlign w:val="center"/>
          </w:tcPr>
          <w:p w14:paraId="1CE3CE4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4124E02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4.85574</w:t>
            </w:r>
          </w:p>
        </w:tc>
        <w:tc>
          <w:tcPr>
            <w:tcW w:w="580" w:type="pct"/>
            <w:tcBorders>
              <w:tl2br w:val="nil"/>
              <w:tr2bl w:val="nil"/>
            </w:tcBorders>
            <w:noWrap/>
            <w:tcMar>
              <w:top w:w="15" w:type="dxa"/>
              <w:left w:w="15" w:type="dxa"/>
              <w:right w:w="15" w:type="dxa"/>
            </w:tcMar>
            <w:vAlign w:val="center"/>
          </w:tcPr>
          <w:p w14:paraId="292E71A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24123111</w:t>
            </w:r>
          </w:p>
        </w:tc>
        <w:tc>
          <w:tcPr>
            <w:tcW w:w="727" w:type="pct"/>
            <w:tcBorders>
              <w:tl2br w:val="nil"/>
              <w:tr2bl w:val="nil"/>
            </w:tcBorders>
            <w:noWrap/>
            <w:tcMar>
              <w:top w:w="15" w:type="dxa"/>
              <w:left w:w="15" w:type="dxa"/>
              <w:right w:w="15" w:type="dxa"/>
            </w:tcMar>
            <w:vAlign w:val="center"/>
          </w:tcPr>
          <w:p w14:paraId="453B189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2.43</w:t>
            </w:r>
          </w:p>
        </w:tc>
        <w:tc>
          <w:tcPr>
            <w:tcW w:w="607" w:type="pct"/>
            <w:tcBorders>
              <w:tl2br w:val="nil"/>
              <w:tr2bl w:val="nil"/>
            </w:tcBorders>
            <w:tcMar>
              <w:top w:w="15" w:type="dxa"/>
              <w:left w:w="15" w:type="dxa"/>
              <w:right w:w="15" w:type="dxa"/>
            </w:tcMar>
            <w:vAlign w:val="center"/>
          </w:tcPr>
          <w:p w14:paraId="6D32D23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0DCAF7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467A37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4211FDF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49388A7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5DF1F8A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0.34095</w:t>
            </w:r>
          </w:p>
        </w:tc>
        <w:tc>
          <w:tcPr>
            <w:tcW w:w="580" w:type="pct"/>
            <w:tcBorders>
              <w:tl2br w:val="nil"/>
              <w:tr2bl w:val="nil"/>
            </w:tcBorders>
            <w:noWrap/>
            <w:tcMar>
              <w:top w:w="15" w:type="dxa"/>
              <w:left w:w="15" w:type="dxa"/>
              <w:right w:w="15" w:type="dxa"/>
            </w:tcMar>
            <w:vAlign w:val="center"/>
          </w:tcPr>
          <w:p w14:paraId="10A39C3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w:t>
            </w:r>
          </w:p>
        </w:tc>
        <w:tc>
          <w:tcPr>
            <w:tcW w:w="727" w:type="pct"/>
            <w:tcBorders>
              <w:tl2br w:val="nil"/>
              <w:tr2bl w:val="nil"/>
            </w:tcBorders>
            <w:noWrap/>
            <w:tcMar>
              <w:top w:w="15" w:type="dxa"/>
              <w:left w:w="15" w:type="dxa"/>
              <w:right w:w="15" w:type="dxa"/>
            </w:tcMar>
            <w:vAlign w:val="center"/>
          </w:tcPr>
          <w:p w14:paraId="56F3995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0.43</w:t>
            </w:r>
          </w:p>
        </w:tc>
        <w:tc>
          <w:tcPr>
            <w:tcW w:w="607" w:type="pct"/>
            <w:tcBorders>
              <w:tl2br w:val="nil"/>
              <w:tr2bl w:val="nil"/>
            </w:tcBorders>
            <w:tcMar>
              <w:top w:w="15" w:type="dxa"/>
              <w:left w:w="15" w:type="dxa"/>
              <w:right w:w="15" w:type="dxa"/>
            </w:tcMar>
            <w:vAlign w:val="center"/>
          </w:tcPr>
          <w:p w14:paraId="1581D87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6F6A4E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58DC27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1A77C30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76DEF6C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09559A7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0.01564</w:t>
            </w:r>
          </w:p>
        </w:tc>
        <w:tc>
          <w:tcPr>
            <w:tcW w:w="580" w:type="pct"/>
            <w:tcBorders>
              <w:tl2br w:val="nil"/>
              <w:tr2bl w:val="nil"/>
            </w:tcBorders>
            <w:noWrap/>
            <w:tcMar>
              <w:top w:w="15" w:type="dxa"/>
              <w:left w:w="15" w:type="dxa"/>
              <w:right w:w="15" w:type="dxa"/>
            </w:tcMar>
            <w:vAlign w:val="center"/>
          </w:tcPr>
          <w:p w14:paraId="7480437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502966C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w:t>
            </w:r>
          </w:p>
        </w:tc>
        <w:tc>
          <w:tcPr>
            <w:tcW w:w="607" w:type="pct"/>
            <w:tcBorders>
              <w:tl2br w:val="nil"/>
              <w:tr2bl w:val="nil"/>
            </w:tcBorders>
            <w:tcMar>
              <w:top w:w="15" w:type="dxa"/>
              <w:left w:w="15" w:type="dxa"/>
              <w:right w:w="15" w:type="dxa"/>
            </w:tcMar>
            <w:vAlign w:val="center"/>
          </w:tcPr>
          <w:p w14:paraId="5332C35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6B21F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351546A">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3BD5823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八五二农场种畜站</w:t>
            </w:r>
          </w:p>
        </w:tc>
        <w:tc>
          <w:tcPr>
            <w:tcW w:w="700" w:type="pct"/>
            <w:tcBorders>
              <w:tl2br w:val="nil"/>
              <w:tr2bl w:val="nil"/>
            </w:tcBorders>
            <w:tcMar>
              <w:top w:w="15" w:type="dxa"/>
              <w:left w:w="15" w:type="dxa"/>
              <w:right w:w="15" w:type="dxa"/>
            </w:tcMar>
            <w:vAlign w:val="center"/>
          </w:tcPr>
          <w:p w14:paraId="6B404EF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462B83F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2.93425</w:t>
            </w:r>
          </w:p>
        </w:tc>
        <w:tc>
          <w:tcPr>
            <w:tcW w:w="580" w:type="pct"/>
            <w:tcBorders>
              <w:tl2br w:val="nil"/>
              <w:tr2bl w:val="nil"/>
            </w:tcBorders>
            <w:noWrap/>
            <w:tcMar>
              <w:top w:w="15" w:type="dxa"/>
              <w:left w:w="15" w:type="dxa"/>
              <w:right w:w="15" w:type="dxa"/>
            </w:tcMar>
            <w:vAlign w:val="center"/>
          </w:tcPr>
          <w:p w14:paraId="296C550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24032108</w:t>
            </w:r>
          </w:p>
        </w:tc>
        <w:tc>
          <w:tcPr>
            <w:tcW w:w="727" w:type="pct"/>
            <w:tcBorders>
              <w:tl2br w:val="nil"/>
              <w:tr2bl w:val="nil"/>
            </w:tcBorders>
            <w:noWrap/>
            <w:tcMar>
              <w:top w:w="15" w:type="dxa"/>
              <w:left w:w="15" w:type="dxa"/>
              <w:right w:w="15" w:type="dxa"/>
            </w:tcMar>
            <w:vAlign w:val="center"/>
          </w:tcPr>
          <w:p w14:paraId="49D060B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1.47</w:t>
            </w:r>
          </w:p>
        </w:tc>
        <w:tc>
          <w:tcPr>
            <w:tcW w:w="607" w:type="pct"/>
            <w:tcBorders>
              <w:tl2br w:val="nil"/>
              <w:tr2bl w:val="nil"/>
            </w:tcBorders>
            <w:tcMar>
              <w:top w:w="15" w:type="dxa"/>
              <w:left w:w="15" w:type="dxa"/>
              <w:right w:w="15" w:type="dxa"/>
            </w:tcMar>
            <w:vAlign w:val="center"/>
          </w:tcPr>
          <w:p w14:paraId="6D5A255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75924F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4A2881E7">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03112F9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44087B3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70F45A9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0.31981</w:t>
            </w:r>
          </w:p>
        </w:tc>
        <w:tc>
          <w:tcPr>
            <w:tcW w:w="580" w:type="pct"/>
            <w:tcBorders>
              <w:tl2br w:val="nil"/>
              <w:tr2bl w:val="nil"/>
            </w:tcBorders>
            <w:noWrap/>
            <w:tcMar>
              <w:top w:w="15" w:type="dxa"/>
              <w:left w:w="15" w:type="dxa"/>
              <w:right w:w="15" w:type="dxa"/>
            </w:tcMar>
            <w:vAlign w:val="center"/>
          </w:tcPr>
          <w:p w14:paraId="0EF3DF5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727" w:type="pct"/>
            <w:tcBorders>
              <w:tl2br w:val="nil"/>
              <w:tr2bl w:val="nil"/>
            </w:tcBorders>
            <w:noWrap/>
            <w:tcMar>
              <w:top w:w="15" w:type="dxa"/>
              <w:left w:w="15" w:type="dxa"/>
              <w:right w:w="15" w:type="dxa"/>
            </w:tcMar>
            <w:vAlign w:val="center"/>
          </w:tcPr>
          <w:p w14:paraId="02AF3B9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0.40</w:t>
            </w:r>
          </w:p>
        </w:tc>
        <w:tc>
          <w:tcPr>
            <w:tcW w:w="607" w:type="pct"/>
            <w:tcBorders>
              <w:tl2br w:val="nil"/>
              <w:tr2bl w:val="nil"/>
            </w:tcBorders>
            <w:tcMar>
              <w:top w:w="15" w:type="dxa"/>
              <w:left w:w="15" w:type="dxa"/>
              <w:right w:w="15" w:type="dxa"/>
            </w:tcMar>
            <w:vAlign w:val="center"/>
          </w:tcPr>
          <w:p w14:paraId="15F57AE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37CB89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3A399919">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22FE76C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0FEC377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3162FE6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0.02215</w:t>
            </w:r>
          </w:p>
        </w:tc>
        <w:tc>
          <w:tcPr>
            <w:tcW w:w="580" w:type="pct"/>
            <w:tcBorders>
              <w:tl2br w:val="nil"/>
              <w:tr2bl w:val="nil"/>
            </w:tcBorders>
            <w:noWrap/>
            <w:tcMar>
              <w:top w:w="15" w:type="dxa"/>
              <w:left w:w="15" w:type="dxa"/>
              <w:right w:w="15" w:type="dxa"/>
            </w:tcMar>
            <w:vAlign w:val="center"/>
          </w:tcPr>
          <w:p w14:paraId="5095276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55271EF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w:t>
            </w:r>
          </w:p>
        </w:tc>
        <w:tc>
          <w:tcPr>
            <w:tcW w:w="607" w:type="pct"/>
            <w:tcBorders>
              <w:tl2br w:val="nil"/>
              <w:tr2bl w:val="nil"/>
            </w:tcBorders>
            <w:tcMar>
              <w:top w:w="15" w:type="dxa"/>
              <w:left w:w="15" w:type="dxa"/>
              <w:right w:w="15" w:type="dxa"/>
            </w:tcMar>
            <w:vAlign w:val="center"/>
          </w:tcPr>
          <w:p w14:paraId="0D69686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60726B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3DC1C2FA">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591593D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迎春林业局光明林场</w:t>
            </w:r>
          </w:p>
        </w:tc>
        <w:tc>
          <w:tcPr>
            <w:tcW w:w="700" w:type="pct"/>
            <w:tcBorders>
              <w:tl2br w:val="nil"/>
              <w:tr2bl w:val="nil"/>
            </w:tcBorders>
            <w:tcMar>
              <w:top w:w="15" w:type="dxa"/>
              <w:left w:w="15" w:type="dxa"/>
              <w:right w:w="15" w:type="dxa"/>
            </w:tcMar>
            <w:vAlign w:val="center"/>
          </w:tcPr>
          <w:p w14:paraId="0E5C8D8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15825F2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2.72578</w:t>
            </w:r>
          </w:p>
        </w:tc>
        <w:tc>
          <w:tcPr>
            <w:tcW w:w="580" w:type="pct"/>
            <w:tcBorders>
              <w:tl2br w:val="nil"/>
              <w:tr2bl w:val="nil"/>
            </w:tcBorders>
            <w:noWrap/>
            <w:tcMar>
              <w:top w:w="15" w:type="dxa"/>
              <w:left w:w="15" w:type="dxa"/>
              <w:right w:w="15" w:type="dxa"/>
            </w:tcMar>
            <w:vAlign w:val="center"/>
          </w:tcPr>
          <w:p w14:paraId="607EA1F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24112910</w:t>
            </w:r>
          </w:p>
        </w:tc>
        <w:tc>
          <w:tcPr>
            <w:tcW w:w="727" w:type="pct"/>
            <w:tcBorders>
              <w:tl2br w:val="nil"/>
              <w:tr2bl w:val="nil"/>
            </w:tcBorders>
            <w:noWrap/>
            <w:tcMar>
              <w:top w:w="15" w:type="dxa"/>
              <w:left w:w="15" w:type="dxa"/>
              <w:right w:w="15" w:type="dxa"/>
            </w:tcMar>
            <w:vAlign w:val="center"/>
          </w:tcPr>
          <w:p w14:paraId="24EB837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1.36</w:t>
            </w:r>
          </w:p>
        </w:tc>
        <w:tc>
          <w:tcPr>
            <w:tcW w:w="607" w:type="pct"/>
            <w:tcBorders>
              <w:tl2br w:val="nil"/>
              <w:tr2bl w:val="nil"/>
            </w:tcBorders>
            <w:tcMar>
              <w:top w:w="15" w:type="dxa"/>
              <w:left w:w="15" w:type="dxa"/>
              <w:right w:w="15" w:type="dxa"/>
            </w:tcMar>
            <w:vAlign w:val="center"/>
          </w:tcPr>
          <w:p w14:paraId="32D2BB3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5721BD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158C792C">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58E26E4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48784A7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3650FFE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0.2458</w:t>
            </w:r>
          </w:p>
        </w:tc>
        <w:tc>
          <w:tcPr>
            <w:tcW w:w="580" w:type="pct"/>
            <w:tcBorders>
              <w:tl2br w:val="nil"/>
              <w:tr2bl w:val="nil"/>
            </w:tcBorders>
            <w:noWrap/>
            <w:tcMar>
              <w:top w:w="15" w:type="dxa"/>
              <w:left w:w="15" w:type="dxa"/>
              <w:right w:w="15" w:type="dxa"/>
            </w:tcMar>
            <w:vAlign w:val="center"/>
          </w:tcPr>
          <w:p w14:paraId="6A2D2D4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241203</w:t>
            </w:r>
          </w:p>
        </w:tc>
        <w:tc>
          <w:tcPr>
            <w:tcW w:w="727" w:type="pct"/>
            <w:tcBorders>
              <w:tl2br w:val="nil"/>
              <w:tr2bl w:val="nil"/>
            </w:tcBorders>
            <w:noWrap/>
            <w:tcMar>
              <w:top w:w="15" w:type="dxa"/>
              <w:left w:w="15" w:type="dxa"/>
              <w:right w:w="15" w:type="dxa"/>
            </w:tcMar>
            <w:vAlign w:val="center"/>
          </w:tcPr>
          <w:p w14:paraId="2CE3CAE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0.31</w:t>
            </w:r>
          </w:p>
        </w:tc>
        <w:tc>
          <w:tcPr>
            <w:tcW w:w="607" w:type="pct"/>
            <w:tcBorders>
              <w:tl2br w:val="nil"/>
              <w:tr2bl w:val="nil"/>
            </w:tcBorders>
            <w:tcMar>
              <w:top w:w="15" w:type="dxa"/>
              <w:left w:w="15" w:type="dxa"/>
              <w:right w:w="15" w:type="dxa"/>
            </w:tcMar>
            <w:vAlign w:val="center"/>
          </w:tcPr>
          <w:p w14:paraId="59B79E4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1F610A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D80333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2B656F5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580C23F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0153B9E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0.01371</w:t>
            </w:r>
          </w:p>
        </w:tc>
        <w:tc>
          <w:tcPr>
            <w:tcW w:w="580" w:type="pct"/>
            <w:tcBorders>
              <w:tl2br w:val="nil"/>
              <w:tr2bl w:val="nil"/>
            </w:tcBorders>
            <w:noWrap/>
            <w:tcMar>
              <w:top w:w="15" w:type="dxa"/>
              <w:left w:w="15" w:type="dxa"/>
              <w:right w:w="15" w:type="dxa"/>
            </w:tcMar>
            <w:vAlign w:val="center"/>
          </w:tcPr>
          <w:p w14:paraId="7C13BF7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55FB7E4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w:t>
            </w:r>
          </w:p>
        </w:tc>
        <w:tc>
          <w:tcPr>
            <w:tcW w:w="607" w:type="pct"/>
            <w:tcBorders>
              <w:tl2br w:val="nil"/>
              <w:tr2bl w:val="nil"/>
            </w:tcBorders>
            <w:tcMar>
              <w:top w:w="15" w:type="dxa"/>
              <w:left w:w="15" w:type="dxa"/>
              <w:right w:w="15" w:type="dxa"/>
            </w:tcMar>
            <w:vAlign w:val="center"/>
          </w:tcPr>
          <w:p w14:paraId="29B51BB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6EA7D5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2C22EB9B">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3981498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虎宝工厂南林工段</w:t>
            </w:r>
          </w:p>
        </w:tc>
        <w:tc>
          <w:tcPr>
            <w:tcW w:w="700" w:type="pct"/>
            <w:tcBorders>
              <w:tl2br w:val="nil"/>
              <w:tr2bl w:val="nil"/>
            </w:tcBorders>
            <w:tcMar>
              <w:top w:w="15" w:type="dxa"/>
              <w:left w:w="15" w:type="dxa"/>
              <w:right w:w="15" w:type="dxa"/>
            </w:tcMar>
            <w:vAlign w:val="center"/>
          </w:tcPr>
          <w:p w14:paraId="2BA3137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6530758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2.65392</w:t>
            </w:r>
          </w:p>
        </w:tc>
        <w:tc>
          <w:tcPr>
            <w:tcW w:w="580" w:type="pct"/>
            <w:tcBorders>
              <w:tl2br w:val="nil"/>
              <w:tr2bl w:val="nil"/>
            </w:tcBorders>
            <w:noWrap/>
            <w:tcMar>
              <w:top w:w="15" w:type="dxa"/>
              <w:left w:w="15" w:type="dxa"/>
              <w:right w:w="15" w:type="dxa"/>
            </w:tcMar>
            <w:vAlign w:val="center"/>
          </w:tcPr>
          <w:p w14:paraId="6389E33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24112913</w:t>
            </w:r>
          </w:p>
        </w:tc>
        <w:tc>
          <w:tcPr>
            <w:tcW w:w="727" w:type="pct"/>
            <w:tcBorders>
              <w:tl2br w:val="nil"/>
              <w:tr2bl w:val="nil"/>
            </w:tcBorders>
            <w:noWrap/>
            <w:tcMar>
              <w:top w:w="15" w:type="dxa"/>
              <w:left w:w="15" w:type="dxa"/>
              <w:right w:w="15" w:type="dxa"/>
            </w:tcMar>
            <w:vAlign w:val="center"/>
          </w:tcPr>
          <w:p w14:paraId="1831552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1.33</w:t>
            </w:r>
          </w:p>
        </w:tc>
        <w:tc>
          <w:tcPr>
            <w:tcW w:w="607" w:type="pct"/>
            <w:tcBorders>
              <w:tl2br w:val="nil"/>
              <w:tr2bl w:val="nil"/>
            </w:tcBorders>
            <w:tcMar>
              <w:top w:w="15" w:type="dxa"/>
              <w:left w:w="15" w:type="dxa"/>
              <w:right w:w="15" w:type="dxa"/>
            </w:tcMar>
            <w:vAlign w:val="center"/>
          </w:tcPr>
          <w:p w14:paraId="3F1B8E1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4A36B4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0EEC4A23">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7F9C75D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3201827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74DB47F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0.71381</w:t>
            </w:r>
          </w:p>
        </w:tc>
        <w:tc>
          <w:tcPr>
            <w:tcW w:w="580" w:type="pct"/>
            <w:tcBorders>
              <w:tl2br w:val="nil"/>
              <w:tr2bl w:val="nil"/>
            </w:tcBorders>
            <w:noWrap/>
            <w:tcMar>
              <w:top w:w="15" w:type="dxa"/>
              <w:left w:w="15" w:type="dxa"/>
              <w:right w:w="15" w:type="dxa"/>
            </w:tcMar>
            <w:vAlign w:val="center"/>
          </w:tcPr>
          <w:p w14:paraId="3129E16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241122</w:t>
            </w:r>
          </w:p>
        </w:tc>
        <w:tc>
          <w:tcPr>
            <w:tcW w:w="727" w:type="pct"/>
            <w:tcBorders>
              <w:tl2br w:val="nil"/>
              <w:tr2bl w:val="nil"/>
            </w:tcBorders>
            <w:noWrap/>
            <w:tcMar>
              <w:top w:w="15" w:type="dxa"/>
              <w:left w:w="15" w:type="dxa"/>
              <w:right w:w="15" w:type="dxa"/>
            </w:tcMar>
            <w:vAlign w:val="center"/>
          </w:tcPr>
          <w:p w14:paraId="0A2FF76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0.89</w:t>
            </w:r>
          </w:p>
        </w:tc>
        <w:tc>
          <w:tcPr>
            <w:tcW w:w="607" w:type="pct"/>
            <w:tcBorders>
              <w:tl2br w:val="nil"/>
              <w:tr2bl w:val="nil"/>
            </w:tcBorders>
            <w:tcMar>
              <w:top w:w="15" w:type="dxa"/>
              <w:left w:w="15" w:type="dxa"/>
              <w:right w:w="15" w:type="dxa"/>
            </w:tcMar>
            <w:vAlign w:val="center"/>
          </w:tcPr>
          <w:p w14:paraId="1978FDC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57864C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3DE14968">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336704E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1AA74CF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1785313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0.04392</w:t>
            </w:r>
          </w:p>
        </w:tc>
        <w:tc>
          <w:tcPr>
            <w:tcW w:w="580" w:type="pct"/>
            <w:tcBorders>
              <w:tl2br w:val="nil"/>
              <w:tr2bl w:val="nil"/>
            </w:tcBorders>
            <w:noWrap/>
            <w:tcMar>
              <w:top w:w="15" w:type="dxa"/>
              <w:left w:w="15" w:type="dxa"/>
              <w:right w:w="15" w:type="dxa"/>
            </w:tcMar>
            <w:vAlign w:val="center"/>
          </w:tcPr>
          <w:p w14:paraId="4C32BAB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2A1A9B1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0.11</w:t>
            </w:r>
          </w:p>
        </w:tc>
        <w:tc>
          <w:tcPr>
            <w:tcW w:w="607" w:type="pct"/>
            <w:tcBorders>
              <w:tl2br w:val="nil"/>
              <w:tr2bl w:val="nil"/>
            </w:tcBorders>
            <w:tcMar>
              <w:top w:w="15" w:type="dxa"/>
              <w:left w:w="15" w:type="dxa"/>
              <w:right w:w="15" w:type="dxa"/>
            </w:tcMar>
            <w:vAlign w:val="center"/>
          </w:tcPr>
          <w:p w14:paraId="096368B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78B629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43C9E6E9">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212309B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虎宝村</w:t>
            </w:r>
          </w:p>
        </w:tc>
        <w:tc>
          <w:tcPr>
            <w:tcW w:w="700" w:type="pct"/>
            <w:tcBorders>
              <w:tl2br w:val="nil"/>
              <w:tr2bl w:val="nil"/>
            </w:tcBorders>
            <w:tcMar>
              <w:top w:w="15" w:type="dxa"/>
              <w:left w:w="15" w:type="dxa"/>
              <w:right w:w="15" w:type="dxa"/>
            </w:tcMar>
            <w:vAlign w:val="center"/>
          </w:tcPr>
          <w:p w14:paraId="67E6B05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3024928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2.17281</w:t>
            </w:r>
          </w:p>
        </w:tc>
        <w:tc>
          <w:tcPr>
            <w:tcW w:w="580" w:type="pct"/>
            <w:tcBorders>
              <w:tl2br w:val="nil"/>
              <w:tr2bl w:val="nil"/>
            </w:tcBorders>
            <w:noWrap/>
            <w:tcMar>
              <w:top w:w="15" w:type="dxa"/>
              <w:left w:w="15" w:type="dxa"/>
              <w:right w:w="15" w:type="dxa"/>
            </w:tcMar>
            <w:vAlign w:val="center"/>
          </w:tcPr>
          <w:p w14:paraId="774CC51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24112913</w:t>
            </w:r>
          </w:p>
        </w:tc>
        <w:tc>
          <w:tcPr>
            <w:tcW w:w="727" w:type="pct"/>
            <w:tcBorders>
              <w:tl2br w:val="nil"/>
              <w:tr2bl w:val="nil"/>
            </w:tcBorders>
            <w:noWrap/>
            <w:tcMar>
              <w:top w:w="15" w:type="dxa"/>
              <w:left w:w="15" w:type="dxa"/>
              <w:right w:w="15" w:type="dxa"/>
            </w:tcMar>
            <w:vAlign w:val="center"/>
          </w:tcPr>
          <w:p w14:paraId="0154922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1.09</w:t>
            </w:r>
          </w:p>
        </w:tc>
        <w:tc>
          <w:tcPr>
            <w:tcW w:w="607" w:type="pct"/>
            <w:tcBorders>
              <w:tl2br w:val="nil"/>
              <w:tr2bl w:val="nil"/>
            </w:tcBorders>
            <w:tcMar>
              <w:top w:w="15" w:type="dxa"/>
              <w:left w:w="15" w:type="dxa"/>
              <w:right w:w="15" w:type="dxa"/>
            </w:tcMar>
            <w:vAlign w:val="center"/>
          </w:tcPr>
          <w:p w14:paraId="48901CD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1A2CF5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448B37C">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0C4D1AC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2A923FB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1C62BB5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0.34505</w:t>
            </w:r>
          </w:p>
        </w:tc>
        <w:tc>
          <w:tcPr>
            <w:tcW w:w="580" w:type="pct"/>
            <w:tcBorders>
              <w:tl2br w:val="nil"/>
              <w:tr2bl w:val="nil"/>
            </w:tcBorders>
            <w:noWrap/>
            <w:tcMar>
              <w:top w:w="15" w:type="dxa"/>
              <w:left w:w="15" w:type="dxa"/>
              <w:right w:w="15" w:type="dxa"/>
            </w:tcMar>
            <w:vAlign w:val="center"/>
          </w:tcPr>
          <w:p w14:paraId="78C57C1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240121</w:t>
            </w:r>
          </w:p>
        </w:tc>
        <w:tc>
          <w:tcPr>
            <w:tcW w:w="727" w:type="pct"/>
            <w:tcBorders>
              <w:tl2br w:val="nil"/>
              <w:tr2bl w:val="nil"/>
            </w:tcBorders>
            <w:noWrap/>
            <w:tcMar>
              <w:top w:w="15" w:type="dxa"/>
              <w:left w:w="15" w:type="dxa"/>
              <w:right w:w="15" w:type="dxa"/>
            </w:tcMar>
            <w:vAlign w:val="center"/>
          </w:tcPr>
          <w:p w14:paraId="18BCE0A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0.43</w:t>
            </w:r>
          </w:p>
        </w:tc>
        <w:tc>
          <w:tcPr>
            <w:tcW w:w="607" w:type="pct"/>
            <w:tcBorders>
              <w:tl2br w:val="nil"/>
              <w:tr2bl w:val="nil"/>
            </w:tcBorders>
            <w:tcMar>
              <w:top w:w="15" w:type="dxa"/>
              <w:left w:w="15" w:type="dxa"/>
              <w:right w:w="15" w:type="dxa"/>
            </w:tcMar>
            <w:vAlign w:val="center"/>
          </w:tcPr>
          <w:p w14:paraId="3F023C2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027D1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0DDCACF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7088AB6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6599B6E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38F2524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0.02411</w:t>
            </w:r>
          </w:p>
        </w:tc>
        <w:tc>
          <w:tcPr>
            <w:tcW w:w="580" w:type="pct"/>
            <w:tcBorders>
              <w:tl2br w:val="nil"/>
              <w:tr2bl w:val="nil"/>
            </w:tcBorders>
            <w:noWrap/>
            <w:tcMar>
              <w:top w:w="15" w:type="dxa"/>
              <w:left w:w="15" w:type="dxa"/>
              <w:right w:w="15" w:type="dxa"/>
            </w:tcMar>
            <w:vAlign w:val="center"/>
          </w:tcPr>
          <w:p w14:paraId="6569AC0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0E4C99D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w:t>
            </w:r>
          </w:p>
        </w:tc>
        <w:tc>
          <w:tcPr>
            <w:tcW w:w="607" w:type="pct"/>
            <w:tcBorders>
              <w:tl2br w:val="nil"/>
              <w:tr2bl w:val="nil"/>
            </w:tcBorders>
            <w:tcMar>
              <w:top w:w="15" w:type="dxa"/>
              <w:left w:w="15" w:type="dxa"/>
              <w:right w:w="15" w:type="dxa"/>
            </w:tcMar>
            <w:vAlign w:val="center"/>
          </w:tcPr>
          <w:p w14:paraId="6525D30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373523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7BC48A7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restart"/>
            <w:tcBorders>
              <w:tl2br w:val="nil"/>
              <w:tr2bl w:val="nil"/>
            </w:tcBorders>
            <w:tcMar>
              <w:top w:w="15" w:type="dxa"/>
              <w:left w:w="15" w:type="dxa"/>
              <w:right w:w="15" w:type="dxa"/>
            </w:tcMar>
            <w:vAlign w:val="center"/>
          </w:tcPr>
          <w:p w14:paraId="10C41A6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区域最大落地浓度</w:t>
            </w:r>
          </w:p>
        </w:tc>
        <w:tc>
          <w:tcPr>
            <w:tcW w:w="700" w:type="pct"/>
            <w:tcBorders>
              <w:tl2br w:val="nil"/>
              <w:tr2bl w:val="nil"/>
            </w:tcBorders>
            <w:tcMar>
              <w:top w:w="15" w:type="dxa"/>
              <w:left w:w="15" w:type="dxa"/>
              <w:right w:w="15" w:type="dxa"/>
            </w:tcMar>
            <w:vAlign w:val="center"/>
          </w:tcPr>
          <w:p w14:paraId="53BB37C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1小时平均</w:t>
            </w:r>
          </w:p>
        </w:tc>
        <w:tc>
          <w:tcPr>
            <w:tcW w:w="993" w:type="pct"/>
            <w:tcBorders>
              <w:tl2br w:val="nil"/>
              <w:tr2bl w:val="nil"/>
            </w:tcBorders>
            <w:noWrap/>
            <w:tcMar>
              <w:top w:w="15" w:type="dxa"/>
              <w:left w:w="15" w:type="dxa"/>
              <w:right w:w="15" w:type="dxa"/>
            </w:tcMar>
            <w:vAlign w:val="center"/>
          </w:tcPr>
          <w:p w14:paraId="024A9E3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25.80763</w:t>
            </w:r>
          </w:p>
        </w:tc>
        <w:tc>
          <w:tcPr>
            <w:tcW w:w="580" w:type="pct"/>
            <w:tcBorders>
              <w:tl2br w:val="nil"/>
              <w:tr2bl w:val="nil"/>
            </w:tcBorders>
            <w:noWrap/>
            <w:tcMar>
              <w:top w:w="15" w:type="dxa"/>
              <w:left w:w="15" w:type="dxa"/>
              <w:right w:w="15" w:type="dxa"/>
            </w:tcMar>
            <w:vAlign w:val="center"/>
          </w:tcPr>
          <w:p w14:paraId="2887DB5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24012618</w:t>
            </w:r>
          </w:p>
        </w:tc>
        <w:tc>
          <w:tcPr>
            <w:tcW w:w="727" w:type="pct"/>
            <w:tcBorders>
              <w:tl2br w:val="nil"/>
              <w:tr2bl w:val="nil"/>
            </w:tcBorders>
            <w:noWrap/>
            <w:tcMar>
              <w:top w:w="15" w:type="dxa"/>
              <w:left w:w="15" w:type="dxa"/>
              <w:right w:w="15" w:type="dxa"/>
            </w:tcMar>
            <w:vAlign w:val="center"/>
          </w:tcPr>
          <w:p w14:paraId="5A019E2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12.90</w:t>
            </w:r>
          </w:p>
        </w:tc>
        <w:tc>
          <w:tcPr>
            <w:tcW w:w="607" w:type="pct"/>
            <w:tcBorders>
              <w:tl2br w:val="nil"/>
              <w:tr2bl w:val="nil"/>
            </w:tcBorders>
            <w:tcMar>
              <w:top w:w="15" w:type="dxa"/>
              <w:left w:w="15" w:type="dxa"/>
              <w:right w:w="15" w:type="dxa"/>
            </w:tcMar>
            <w:vAlign w:val="center"/>
          </w:tcPr>
          <w:p w14:paraId="1E0ACB3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13F5F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4F0AE75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49DC990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6B0F55C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日平均</w:t>
            </w:r>
          </w:p>
        </w:tc>
        <w:tc>
          <w:tcPr>
            <w:tcW w:w="993" w:type="pct"/>
            <w:tcBorders>
              <w:tl2br w:val="nil"/>
              <w:tr2bl w:val="nil"/>
            </w:tcBorders>
            <w:noWrap/>
            <w:tcMar>
              <w:top w:w="15" w:type="dxa"/>
              <w:left w:w="15" w:type="dxa"/>
              <w:right w:w="15" w:type="dxa"/>
            </w:tcMar>
            <w:vAlign w:val="center"/>
          </w:tcPr>
          <w:p w14:paraId="375DA75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2.09213</w:t>
            </w:r>
          </w:p>
        </w:tc>
        <w:tc>
          <w:tcPr>
            <w:tcW w:w="580" w:type="pct"/>
            <w:tcBorders>
              <w:tl2br w:val="nil"/>
              <w:tr2bl w:val="nil"/>
            </w:tcBorders>
            <w:noWrap/>
            <w:tcMar>
              <w:top w:w="15" w:type="dxa"/>
              <w:left w:w="15" w:type="dxa"/>
              <w:right w:w="15" w:type="dxa"/>
            </w:tcMar>
            <w:vAlign w:val="center"/>
          </w:tcPr>
          <w:p w14:paraId="516F542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241014</w:t>
            </w:r>
          </w:p>
        </w:tc>
        <w:tc>
          <w:tcPr>
            <w:tcW w:w="727" w:type="pct"/>
            <w:tcBorders>
              <w:tl2br w:val="nil"/>
              <w:tr2bl w:val="nil"/>
            </w:tcBorders>
            <w:noWrap/>
            <w:tcMar>
              <w:top w:w="15" w:type="dxa"/>
              <w:left w:w="15" w:type="dxa"/>
              <w:right w:w="15" w:type="dxa"/>
            </w:tcMar>
            <w:vAlign w:val="center"/>
          </w:tcPr>
          <w:p w14:paraId="3204576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2.62</w:t>
            </w:r>
          </w:p>
        </w:tc>
        <w:tc>
          <w:tcPr>
            <w:tcW w:w="607" w:type="pct"/>
            <w:tcBorders>
              <w:tl2br w:val="nil"/>
              <w:tr2bl w:val="nil"/>
            </w:tcBorders>
            <w:tcMar>
              <w:top w:w="15" w:type="dxa"/>
              <w:left w:w="15" w:type="dxa"/>
              <w:right w:w="15" w:type="dxa"/>
            </w:tcMar>
            <w:vAlign w:val="center"/>
          </w:tcPr>
          <w:p w14:paraId="4A98E79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4D98D2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0" w:type="pct"/>
            <w:vMerge w:val="continue"/>
            <w:tcBorders>
              <w:tl2br w:val="nil"/>
              <w:tr2bl w:val="nil"/>
            </w:tcBorders>
            <w:tcMar>
              <w:top w:w="15" w:type="dxa"/>
              <w:left w:w="15" w:type="dxa"/>
              <w:right w:w="15" w:type="dxa"/>
            </w:tcMar>
            <w:vAlign w:val="center"/>
          </w:tcPr>
          <w:p w14:paraId="669B7E6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890" w:type="pct"/>
            <w:vMerge w:val="continue"/>
            <w:tcBorders>
              <w:tl2br w:val="nil"/>
              <w:tr2bl w:val="nil"/>
            </w:tcBorders>
            <w:tcMar>
              <w:top w:w="15" w:type="dxa"/>
              <w:left w:w="15" w:type="dxa"/>
              <w:right w:w="15" w:type="dxa"/>
            </w:tcMar>
            <w:vAlign w:val="center"/>
          </w:tcPr>
          <w:p w14:paraId="6D38965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700" w:type="pct"/>
            <w:tcBorders>
              <w:tl2br w:val="nil"/>
              <w:tr2bl w:val="nil"/>
            </w:tcBorders>
            <w:tcMar>
              <w:top w:w="15" w:type="dxa"/>
              <w:left w:w="15" w:type="dxa"/>
              <w:right w:w="15" w:type="dxa"/>
            </w:tcMar>
            <w:vAlign w:val="center"/>
          </w:tcPr>
          <w:p w14:paraId="4928BAB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993" w:type="pct"/>
            <w:tcBorders>
              <w:tl2br w:val="nil"/>
              <w:tr2bl w:val="nil"/>
            </w:tcBorders>
            <w:noWrap/>
            <w:tcMar>
              <w:top w:w="15" w:type="dxa"/>
              <w:left w:w="15" w:type="dxa"/>
              <w:right w:w="15" w:type="dxa"/>
            </w:tcMar>
            <w:vAlign w:val="center"/>
          </w:tcPr>
          <w:p w14:paraId="7009E26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0.1861</w:t>
            </w:r>
          </w:p>
        </w:tc>
        <w:tc>
          <w:tcPr>
            <w:tcW w:w="580" w:type="pct"/>
            <w:tcBorders>
              <w:tl2br w:val="nil"/>
              <w:tr2bl w:val="nil"/>
            </w:tcBorders>
            <w:noWrap/>
            <w:tcMar>
              <w:top w:w="15" w:type="dxa"/>
              <w:left w:w="15" w:type="dxa"/>
              <w:right w:w="15" w:type="dxa"/>
            </w:tcMar>
            <w:vAlign w:val="center"/>
          </w:tcPr>
          <w:p w14:paraId="578DB07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7" w:type="pct"/>
            <w:tcBorders>
              <w:tl2br w:val="nil"/>
              <w:tr2bl w:val="nil"/>
            </w:tcBorders>
            <w:noWrap/>
            <w:tcMar>
              <w:top w:w="15" w:type="dxa"/>
              <w:left w:w="15" w:type="dxa"/>
              <w:right w:w="15" w:type="dxa"/>
            </w:tcMar>
            <w:vAlign w:val="center"/>
          </w:tcPr>
          <w:p w14:paraId="55C9EF0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0.47</w:t>
            </w:r>
          </w:p>
        </w:tc>
        <w:tc>
          <w:tcPr>
            <w:tcW w:w="607" w:type="pct"/>
            <w:tcBorders>
              <w:tl2br w:val="nil"/>
              <w:tr2bl w:val="nil"/>
            </w:tcBorders>
            <w:tcMar>
              <w:top w:w="15" w:type="dxa"/>
              <w:left w:w="15" w:type="dxa"/>
              <w:right w:w="15" w:type="dxa"/>
            </w:tcMar>
            <w:vAlign w:val="center"/>
          </w:tcPr>
          <w:p w14:paraId="02F746E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bl>
    <w:p w14:paraId="08235A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表6.2-1</w:t>
      </w:r>
      <w:r>
        <w:rPr>
          <w:rFonts w:hint="eastAsia" w:ascii="Times New Roman" w:hAnsi="Times New Roman" w:eastAsia="宋体" w:cs="Times New Roman"/>
          <w:b/>
          <w:bCs/>
          <w:color w:val="auto"/>
          <w:sz w:val="24"/>
          <w:szCs w:val="24"/>
          <w:lang w:val="en-US" w:eastAsia="zh-CN"/>
        </w:rPr>
        <w:t>7</w:t>
      </w:r>
      <w:r>
        <w:rPr>
          <w:rFonts w:hint="default" w:ascii="Times New Roman" w:hAnsi="Times New Roman" w:eastAsia="宋体" w:cs="Times New Roman"/>
          <w:b/>
          <w:bCs/>
          <w:color w:val="auto"/>
          <w:sz w:val="24"/>
          <w:szCs w:val="24"/>
          <w:lang w:val="en-US" w:eastAsia="zh-CN"/>
        </w:rPr>
        <w:t xml:space="preserve">  本项目Hg贡献质量浓度预测结果表</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38"/>
        <w:gridCol w:w="1865"/>
        <w:gridCol w:w="1078"/>
        <w:gridCol w:w="1100"/>
        <w:gridCol w:w="1225"/>
        <w:gridCol w:w="1210"/>
        <w:gridCol w:w="1011"/>
      </w:tblGrid>
      <w:tr w14:paraId="535D8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tcBorders>
              <w:tl2br w:val="nil"/>
              <w:tr2bl w:val="nil"/>
            </w:tcBorders>
            <w:tcMar>
              <w:top w:w="15" w:type="dxa"/>
              <w:left w:w="15" w:type="dxa"/>
              <w:right w:w="15" w:type="dxa"/>
            </w:tcMar>
            <w:vAlign w:val="center"/>
          </w:tcPr>
          <w:p w14:paraId="11461115">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1119" w:type="pct"/>
            <w:tcBorders>
              <w:tl2br w:val="nil"/>
              <w:tr2bl w:val="nil"/>
            </w:tcBorders>
            <w:tcMar>
              <w:top w:w="15" w:type="dxa"/>
              <w:left w:w="15" w:type="dxa"/>
              <w:right w:w="15" w:type="dxa"/>
            </w:tcMar>
            <w:vAlign w:val="center"/>
          </w:tcPr>
          <w:p w14:paraId="58C1313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预测点</w:t>
            </w:r>
          </w:p>
        </w:tc>
        <w:tc>
          <w:tcPr>
            <w:tcW w:w="647" w:type="pct"/>
            <w:tcBorders>
              <w:tl2br w:val="nil"/>
              <w:tr2bl w:val="nil"/>
            </w:tcBorders>
            <w:tcMar>
              <w:top w:w="15" w:type="dxa"/>
              <w:left w:w="15" w:type="dxa"/>
              <w:right w:w="15" w:type="dxa"/>
            </w:tcMar>
            <w:vAlign w:val="center"/>
          </w:tcPr>
          <w:p w14:paraId="0AAFEC3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平均时段</w:t>
            </w:r>
          </w:p>
        </w:tc>
        <w:tc>
          <w:tcPr>
            <w:tcW w:w="660" w:type="pct"/>
            <w:tcBorders>
              <w:tl2br w:val="nil"/>
              <w:tr2bl w:val="nil"/>
            </w:tcBorders>
            <w:tcMar>
              <w:top w:w="15" w:type="dxa"/>
              <w:left w:w="15" w:type="dxa"/>
              <w:right w:w="15" w:type="dxa"/>
            </w:tcMar>
            <w:vAlign w:val="center"/>
          </w:tcPr>
          <w:p w14:paraId="226F911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最大贡献值/</w:t>
            </w:r>
            <w:r>
              <w:rPr>
                <w:rStyle w:val="120"/>
                <w:rFonts w:hint="default" w:ascii="Times New Roman" w:hAnsi="Times New Roman" w:cs="Times New Roman"/>
                <w:color w:val="auto"/>
                <w:lang w:bidi="ar"/>
              </w:rPr>
              <w:t>（μ</w:t>
            </w:r>
            <w:r>
              <w:rPr>
                <w:rFonts w:ascii="Times New Roman" w:hAnsi="Times New Roman" w:eastAsia="宋体" w:cs="Times New Roman"/>
                <w:color w:val="auto"/>
                <w:kern w:val="0"/>
                <w:sz w:val="21"/>
                <w:szCs w:val="21"/>
                <w:lang w:bidi="ar"/>
              </w:rPr>
              <w:t>g/m</w:t>
            </w:r>
            <w:r>
              <w:rPr>
                <w:rFonts w:ascii="Times New Roman" w:hAnsi="Times New Roman" w:eastAsia="宋体" w:cs="Times New Roman"/>
                <w:color w:val="auto"/>
                <w:kern w:val="0"/>
                <w:sz w:val="21"/>
                <w:szCs w:val="21"/>
                <w:vertAlign w:val="superscript"/>
                <w:lang w:bidi="ar"/>
              </w:rPr>
              <w:t>3</w:t>
            </w:r>
            <w:r>
              <w:rPr>
                <w:rStyle w:val="120"/>
                <w:rFonts w:hint="default" w:ascii="Times New Roman" w:hAnsi="Times New Roman" w:cs="Times New Roman"/>
                <w:color w:val="auto"/>
                <w:lang w:bidi="ar"/>
              </w:rPr>
              <w:t>）</w:t>
            </w:r>
          </w:p>
        </w:tc>
        <w:tc>
          <w:tcPr>
            <w:tcW w:w="735" w:type="pct"/>
            <w:tcBorders>
              <w:tl2br w:val="nil"/>
              <w:tr2bl w:val="nil"/>
            </w:tcBorders>
            <w:tcMar>
              <w:top w:w="15" w:type="dxa"/>
              <w:left w:w="15" w:type="dxa"/>
              <w:right w:w="15" w:type="dxa"/>
            </w:tcMar>
            <w:vAlign w:val="center"/>
          </w:tcPr>
          <w:p w14:paraId="332AAC64">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出现时间</w:t>
            </w:r>
          </w:p>
        </w:tc>
        <w:tc>
          <w:tcPr>
            <w:tcW w:w="726" w:type="pct"/>
            <w:tcBorders>
              <w:tl2br w:val="nil"/>
              <w:tr2bl w:val="nil"/>
            </w:tcBorders>
            <w:tcMar>
              <w:top w:w="15" w:type="dxa"/>
              <w:left w:w="15" w:type="dxa"/>
              <w:right w:w="15" w:type="dxa"/>
            </w:tcMar>
            <w:vAlign w:val="center"/>
          </w:tcPr>
          <w:p w14:paraId="1B5C9AA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r>
              <w:rPr>
                <w:rStyle w:val="120"/>
                <w:rFonts w:hint="default" w:ascii="Times New Roman" w:hAnsi="Times New Roman" w:cs="Times New Roman"/>
                <w:color w:val="auto"/>
                <w:lang w:bidi="ar"/>
              </w:rPr>
              <w:t>（</w:t>
            </w:r>
            <w:r>
              <w:rPr>
                <w:rStyle w:val="121"/>
                <w:rFonts w:eastAsia="宋体"/>
                <w:color w:val="auto"/>
                <w:lang w:bidi="ar"/>
              </w:rPr>
              <w:t>%</w:t>
            </w:r>
            <w:r>
              <w:rPr>
                <w:rStyle w:val="120"/>
                <w:rFonts w:hint="default" w:ascii="Times New Roman" w:hAnsi="Times New Roman" w:cs="Times New Roman"/>
                <w:color w:val="auto"/>
                <w:lang w:bidi="ar"/>
              </w:rPr>
              <w:t>）</w:t>
            </w:r>
          </w:p>
        </w:tc>
        <w:tc>
          <w:tcPr>
            <w:tcW w:w="606" w:type="pct"/>
            <w:tcBorders>
              <w:tl2br w:val="nil"/>
              <w:tr2bl w:val="nil"/>
            </w:tcBorders>
            <w:tcMar>
              <w:top w:w="15" w:type="dxa"/>
              <w:left w:w="15" w:type="dxa"/>
              <w:right w:w="15" w:type="dxa"/>
            </w:tcMar>
            <w:vAlign w:val="center"/>
          </w:tcPr>
          <w:p w14:paraId="2C277F62">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达标情况</w:t>
            </w:r>
          </w:p>
        </w:tc>
      </w:tr>
      <w:tr w14:paraId="465362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restart"/>
            <w:tcBorders>
              <w:tl2br w:val="nil"/>
              <w:tr2bl w:val="nil"/>
            </w:tcBorders>
            <w:tcMar>
              <w:top w:w="15" w:type="dxa"/>
              <w:left w:w="15" w:type="dxa"/>
              <w:right w:w="15" w:type="dxa"/>
            </w:tcMar>
            <w:vAlign w:val="center"/>
          </w:tcPr>
          <w:p w14:paraId="3458A869">
            <w:pPr>
              <w:pStyle w:val="53"/>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cs="Times New Roman"/>
                <w:color w:val="auto"/>
                <w:kern w:val="0"/>
                <w:sz w:val="21"/>
                <w:szCs w:val="21"/>
                <w:lang w:val="en-US" w:eastAsia="zh-CN" w:bidi="ar"/>
              </w:rPr>
              <w:t>Hg</w:t>
            </w:r>
          </w:p>
        </w:tc>
        <w:tc>
          <w:tcPr>
            <w:tcW w:w="1119" w:type="pct"/>
            <w:tcBorders>
              <w:tl2br w:val="nil"/>
              <w:tr2bl w:val="nil"/>
            </w:tcBorders>
            <w:tcMar>
              <w:top w:w="15" w:type="dxa"/>
              <w:left w:w="15" w:type="dxa"/>
              <w:right w:w="15" w:type="dxa"/>
            </w:tcMar>
            <w:vAlign w:val="center"/>
          </w:tcPr>
          <w:p w14:paraId="761A29E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八五二农场场部</w:t>
            </w:r>
          </w:p>
        </w:tc>
        <w:tc>
          <w:tcPr>
            <w:tcW w:w="647" w:type="pct"/>
            <w:tcBorders>
              <w:tl2br w:val="nil"/>
              <w:tr2bl w:val="nil"/>
            </w:tcBorders>
            <w:tcMar>
              <w:top w:w="15" w:type="dxa"/>
              <w:left w:w="15" w:type="dxa"/>
              <w:right w:w="15" w:type="dxa"/>
            </w:tcMar>
            <w:vAlign w:val="center"/>
          </w:tcPr>
          <w:p w14:paraId="3459AA7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13E40232">
            <w:pPr>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32AF48B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798F1D39">
            <w:pPr>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4A77D6E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1D085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69DE372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4E170A9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和平管理区</w:t>
            </w:r>
          </w:p>
        </w:tc>
        <w:tc>
          <w:tcPr>
            <w:tcW w:w="647" w:type="pct"/>
            <w:tcBorders>
              <w:tl2br w:val="nil"/>
              <w:tr2bl w:val="nil"/>
            </w:tcBorders>
            <w:tcMar>
              <w:top w:w="15" w:type="dxa"/>
              <w:left w:w="15" w:type="dxa"/>
              <w:right w:w="15" w:type="dxa"/>
            </w:tcMar>
            <w:vAlign w:val="center"/>
          </w:tcPr>
          <w:p w14:paraId="4B6EFA4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0C79ED5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0081445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17D6095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60115AB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6DD82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064B97B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74E8B18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南林小区</w:t>
            </w:r>
          </w:p>
        </w:tc>
        <w:tc>
          <w:tcPr>
            <w:tcW w:w="647" w:type="pct"/>
            <w:tcBorders>
              <w:tl2br w:val="nil"/>
              <w:tr2bl w:val="nil"/>
            </w:tcBorders>
            <w:tcMar>
              <w:top w:w="15" w:type="dxa"/>
              <w:left w:w="15" w:type="dxa"/>
              <w:right w:w="15" w:type="dxa"/>
            </w:tcMar>
            <w:vAlign w:val="center"/>
          </w:tcPr>
          <w:p w14:paraId="2551A70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3CC9DEB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0999814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238DFB2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69C6769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35F0B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49465A8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2980727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八五二农场四分场</w:t>
            </w:r>
          </w:p>
        </w:tc>
        <w:tc>
          <w:tcPr>
            <w:tcW w:w="647" w:type="pct"/>
            <w:tcBorders>
              <w:tl2br w:val="nil"/>
              <w:tr2bl w:val="nil"/>
            </w:tcBorders>
            <w:tcMar>
              <w:top w:w="15" w:type="dxa"/>
              <w:left w:w="15" w:type="dxa"/>
              <w:right w:w="15" w:type="dxa"/>
            </w:tcMar>
            <w:vAlign w:val="center"/>
          </w:tcPr>
          <w:p w14:paraId="585E5F6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193F886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364EE40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101628F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3E677FC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4726CD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5BF1C0D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553BDD2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八五二农场副业队</w:t>
            </w:r>
          </w:p>
        </w:tc>
        <w:tc>
          <w:tcPr>
            <w:tcW w:w="647" w:type="pct"/>
            <w:tcBorders>
              <w:tl2br w:val="nil"/>
              <w:tr2bl w:val="nil"/>
            </w:tcBorders>
            <w:tcMar>
              <w:top w:w="15" w:type="dxa"/>
              <w:left w:w="15" w:type="dxa"/>
              <w:right w:w="15" w:type="dxa"/>
            </w:tcMar>
            <w:vAlign w:val="center"/>
          </w:tcPr>
          <w:p w14:paraId="53F4D4F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7B8443C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4236FD2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563DF9C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2DF5B5D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5036A2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670055F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6AD6B69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八五二农场种畜站</w:t>
            </w:r>
          </w:p>
        </w:tc>
        <w:tc>
          <w:tcPr>
            <w:tcW w:w="647" w:type="pct"/>
            <w:tcBorders>
              <w:tl2br w:val="nil"/>
              <w:tr2bl w:val="nil"/>
            </w:tcBorders>
            <w:tcMar>
              <w:top w:w="15" w:type="dxa"/>
              <w:left w:w="15" w:type="dxa"/>
              <w:right w:w="15" w:type="dxa"/>
            </w:tcMar>
            <w:vAlign w:val="center"/>
          </w:tcPr>
          <w:p w14:paraId="3AACD33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1980B67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0528D3F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7211363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2E4F07B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14EDF6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7681EB90">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1119" w:type="pct"/>
            <w:tcBorders>
              <w:tl2br w:val="nil"/>
              <w:tr2bl w:val="nil"/>
            </w:tcBorders>
            <w:tcMar>
              <w:top w:w="15" w:type="dxa"/>
              <w:left w:w="15" w:type="dxa"/>
              <w:right w:w="15" w:type="dxa"/>
            </w:tcMar>
            <w:vAlign w:val="center"/>
          </w:tcPr>
          <w:p w14:paraId="6088FBC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迎春林业局光明林场</w:t>
            </w:r>
          </w:p>
        </w:tc>
        <w:tc>
          <w:tcPr>
            <w:tcW w:w="647" w:type="pct"/>
            <w:tcBorders>
              <w:tl2br w:val="nil"/>
              <w:tr2bl w:val="nil"/>
            </w:tcBorders>
            <w:tcMar>
              <w:top w:w="15" w:type="dxa"/>
              <w:left w:w="15" w:type="dxa"/>
              <w:right w:w="15" w:type="dxa"/>
            </w:tcMar>
            <w:vAlign w:val="center"/>
          </w:tcPr>
          <w:p w14:paraId="541E487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038DDBF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31D3017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5CACD57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65D0ABF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470DD9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036A4C6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28B35AD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虎宝工厂南林工段</w:t>
            </w:r>
          </w:p>
        </w:tc>
        <w:tc>
          <w:tcPr>
            <w:tcW w:w="647" w:type="pct"/>
            <w:tcBorders>
              <w:tl2br w:val="nil"/>
              <w:tr2bl w:val="nil"/>
            </w:tcBorders>
            <w:tcMar>
              <w:top w:w="15" w:type="dxa"/>
              <w:left w:w="15" w:type="dxa"/>
              <w:right w:w="15" w:type="dxa"/>
            </w:tcMar>
            <w:vAlign w:val="center"/>
          </w:tcPr>
          <w:p w14:paraId="4A79F8E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0CC4F86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68470E5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2ACE210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1313118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187F44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14C45E1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033B0C8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虎宝村</w:t>
            </w:r>
          </w:p>
        </w:tc>
        <w:tc>
          <w:tcPr>
            <w:tcW w:w="647" w:type="pct"/>
            <w:tcBorders>
              <w:tl2br w:val="nil"/>
              <w:tr2bl w:val="nil"/>
            </w:tcBorders>
            <w:tcMar>
              <w:top w:w="15" w:type="dxa"/>
              <w:left w:w="15" w:type="dxa"/>
              <w:right w:w="15" w:type="dxa"/>
            </w:tcMar>
            <w:vAlign w:val="center"/>
          </w:tcPr>
          <w:p w14:paraId="0CD0460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2006D18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735" w:type="pct"/>
            <w:tcBorders>
              <w:tl2br w:val="nil"/>
              <w:tr2bl w:val="nil"/>
            </w:tcBorders>
            <w:noWrap/>
            <w:tcMar>
              <w:top w:w="15" w:type="dxa"/>
              <w:left w:w="15" w:type="dxa"/>
              <w:right w:w="15" w:type="dxa"/>
            </w:tcMar>
            <w:vAlign w:val="center"/>
          </w:tcPr>
          <w:p w14:paraId="7B1FD5C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平均值</w:t>
            </w:r>
          </w:p>
        </w:tc>
        <w:tc>
          <w:tcPr>
            <w:tcW w:w="726" w:type="pct"/>
            <w:tcBorders>
              <w:tl2br w:val="nil"/>
              <w:tr2bl w:val="nil"/>
            </w:tcBorders>
            <w:noWrap/>
            <w:tcMar>
              <w:top w:w="15" w:type="dxa"/>
              <w:left w:w="15" w:type="dxa"/>
              <w:right w:w="15" w:type="dxa"/>
            </w:tcMar>
            <w:vAlign w:val="center"/>
          </w:tcPr>
          <w:p w14:paraId="16EA93B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0.00</w:t>
            </w:r>
          </w:p>
        </w:tc>
        <w:tc>
          <w:tcPr>
            <w:tcW w:w="606" w:type="pct"/>
            <w:tcBorders>
              <w:tl2br w:val="nil"/>
              <w:tr2bl w:val="nil"/>
            </w:tcBorders>
            <w:tcMar>
              <w:top w:w="15" w:type="dxa"/>
              <w:left w:w="15" w:type="dxa"/>
              <w:right w:w="15" w:type="dxa"/>
            </w:tcMar>
            <w:vAlign w:val="center"/>
          </w:tcPr>
          <w:p w14:paraId="6D37539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达标</w:t>
            </w:r>
          </w:p>
        </w:tc>
      </w:tr>
      <w:tr w14:paraId="576BA3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1E073A2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1119" w:type="pct"/>
            <w:tcBorders>
              <w:tl2br w:val="nil"/>
              <w:tr2bl w:val="nil"/>
            </w:tcBorders>
            <w:tcMar>
              <w:top w:w="15" w:type="dxa"/>
              <w:left w:w="15" w:type="dxa"/>
              <w:right w:w="15" w:type="dxa"/>
            </w:tcMar>
            <w:vAlign w:val="center"/>
          </w:tcPr>
          <w:p w14:paraId="1CBBBE7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区域最大落地浓度</w:t>
            </w:r>
          </w:p>
        </w:tc>
        <w:tc>
          <w:tcPr>
            <w:tcW w:w="647" w:type="pct"/>
            <w:tcBorders>
              <w:tl2br w:val="nil"/>
              <w:tr2bl w:val="nil"/>
            </w:tcBorders>
            <w:tcMar>
              <w:top w:w="15" w:type="dxa"/>
              <w:left w:w="15" w:type="dxa"/>
              <w:right w:w="15" w:type="dxa"/>
            </w:tcMar>
            <w:vAlign w:val="center"/>
          </w:tcPr>
          <w:p w14:paraId="694692C0">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年平均</w:t>
            </w:r>
          </w:p>
        </w:tc>
        <w:tc>
          <w:tcPr>
            <w:tcW w:w="660" w:type="pct"/>
            <w:tcBorders>
              <w:tl2br w:val="nil"/>
              <w:tr2bl w:val="nil"/>
            </w:tcBorders>
            <w:noWrap/>
            <w:tcMar>
              <w:top w:w="15" w:type="dxa"/>
              <w:left w:w="15" w:type="dxa"/>
              <w:right w:w="15" w:type="dxa"/>
            </w:tcMar>
            <w:vAlign w:val="center"/>
          </w:tcPr>
          <w:p w14:paraId="77B6AE3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w:t>
            </w:r>
          </w:p>
        </w:tc>
        <w:tc>
          <w:tcPr>
            <w:tcW w:w="735" w:type="pct"/>
            <w:tcBorders>
              <w:tl2br w:val="nil"/>
              <w:tr2bl w:val="nil"/>
            </w:tcBorders>
            <w:noWrap/>
            <w:tcMar>
              <w:top w:w="15" w:type="dxa"/>
              <w:left w:w="15" w:type="dxa"/>
              <w:right w:w="15" w:type="dxa"/>
            </w:tcMar>
            <w:vAlign w:val="center"/>
          </w:tcPr>
          <w:p w14:paraId="1D6CAE4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726" w:type="pct"/>
            <w:tcBorders>
              <w:tl2br w:val="nil"/>
              <w:tr2bl w:val="nil"/>
            </w:tcBorders>
            <w:noWrap/>
            <w:tcMar>
              <w:top w:w="15" w:type="dxa"/>
              <w:left w:w="15" w:type="dxa"/>
              <w:right w:w="15" w:type="dxa"/>
            </w:tcMar>
            <w:vAlign w:val="center"/>
          </w:tcPr>
          <w:p w14:paraId="7047BB6E">
            <w:pPr>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0.02</w:t>
            </w:r>
          </w:p>
        </w:tc>
        <w:tc>
          <w:tcPr>
            <w:tcW w:w="606" w:type="pct"/>
            <w:tcBorders>
              <w:tl2br w:val="nil"/>
              <w:tr2bl w:val="nil"/>
            </w:tcBorders>
            <w:tcMar>
              <w:top w:w="15" w:type="dxa"/>
              <w:left w:w="15" w:type="dxa"/>
              <w:right w:w="15" w:type="dxa"/>
            </w:tcMar>
            <w:vAlign w:val="center"/>
          </w:tcPr>
          <w:p w14:paraId="7E49306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bl>
    <w:p w14:paraId="28757CB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w:t>
      </w:r>
      <w:r>
        <w:rPr>
          <w:rFonts w:hint="eastAsia" w:ascii="Times New Roman" w:hAnsi="Times New Roman" w:eastAsia="宋体" w:cs="Times New Roman"/>
          <w:b/>
          <w:bCs/>
          <w:color w:val="auto"/>
          <w:sz w:val="24"/>
          <w:szCs w:val="24"/>
          <w:lang w:val="en-US" w:eastAsia="zh-CN"/>
        </w:rPr>
        <w:t>18</w:t>
      </w:r>
      <w:r>
        <w:rPr>
          <w:rFonts w:hint="default" w:ascii="Times New Roman" w:hAnsi="Times New Roman" w:eastAsia="宋体" w:cs="Times New Roman"/>
          <w:b/>
          <w:bCs/>
          <w:color w:val="auto"/>
          <w:sz w:val="24"/>
          <w:szCs w:val="24"/>
          <w:lang w:val="en-US" w:eastAsia="zh-CN"/>
        </w:rPr>
        <w:t xml:space="preserve">  本项目TSP贡献质量浓度预测结果表</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88"/>
        <w:gridCol w:w="1603"/>
        <w:gridCol w:w="797"/>
        <w:gridCol w:w="1770"/>
        <w:gridCol w:w="1240"/>
        <w:gridCol w:w="1165"/>
        <w:gridCol w:w="964"/>
      </w:tblGrid>
      <w:tr w14:paraId="1CAA76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tcBorders>
              <w:tl2br w:val="nil"/>
              <w:tr2bl w:val="nil"/>
            </w:tcBorders>
            <w:tcMar>
              <w:top w:w="15" w:type="dxa"/>
              <w:left w:w="15" w:type="dxa"/>
              <w:right w:w="15" w:type="dxa"/>
            </w:tcMar>
            <w:vAlign w:val="center"/>
          </w:tcPr>
          <w:p w14:paraId="74E546E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962" w:type="pct"/>
            <w:tcBorders>
              <w:tl2br w:val="nil"/>
              <w:tr2bl w:val="nil"/>
            </w:tcBorders>
            <w:tcMar>
              <w:top w:w="15" w:type="dxa"/>
              <w:left w:w="15" w:type="dxa"/>
              <w:right w:w="15" w:type="dxa"/>
            </w:tcMar>
            <w:vAlign w:val="center"/>
          </w:tcPr>
          <w:p w14:paraId="4A2E3E02">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预测点</w:t>
            </w:r>
          </w:p>
        </w:tc>
        <w:tc>
          <w:tcPr>
            <w:tcW w:w="478" w:type="pct"/>
            <w:tcBorders>
              <w:tl2br w:val="nil"/>
              <w:tr2bl w:val="nil"/>
            </w:tcBorders>
            <w:tcMar>
              <w:top w:w="15" w:type="dxa"/>
              <w:left w:w="15" w:type="dxa"/>
              <w:right w:w="15" w:type="dxa"/>
            </w:tcMar>
            <w:vAlign w:val="center"/>
          </w:tcPr>
          <w:p w14:paraId="41BD553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平均时段</w:t>
            </w:r>
          </w:p>
        </w:tc>
        <w:tc>
          <w:tcPr>
            <w:tcW w:w="1062" w:type="pct"/>
            <w:tcBorders>
              <w:tl2br w:val="nil"/>
              <w:tr2bl w:val="nil"/>
            </w:tcBorders>
            <w:tcMar>
              <w:top w:w="15" w:type="dxa"/>
              <w:left w:w="15" w:type="dxa"/>
              <w:right w:w="15" w:type="dxa"/>
            </w:tcMar>
            <w:vAlign w:val="center"/>
          </w:tcPr>
          <w:p w14:paraId="65D59BB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最大贡献值/</w:t>
            </w:r>
            <w:r>
              <w:rPr>
                <w:rStyle w:val="120"/>
                <w:rFonts w:hint="default" w:ascii="Times New Roman" w:hAnsi="Times New Roman" w:cs="Times New Roman"/>
                <w:color w:val="auto"/>
                <w:lang w:bidi="ar"/>
              </w:rPr>
              <w:t>（μ</w:t>
            </w:r>
            <w:r>
              <w:rPr>
                <w:rFonts w:ascii="Times New Roman" w:hAnsi="Times New Roman" w:eastAsia="宋体" w:cs="Times New Roman"/>
                <w:color w:val="auto"/>
                <w:kern w:val="0"/>
                <w:sz w:val="21"/>
                <w:szCs w:val="21"/>
                <w:lang w:bidi="ar"/>
              </w:rPr>
              <w:t>g/m</w:t>
            </w:r>
            <w:r>
              <w:rPr>
                <w:rFonts w:ascii="Times New Roman" w:hAnsi="Times New Roman" w:eastAsia="宋体" w:cs="Times New Roman"/>
                <w:color w:val="auto"/>
                <w:kern w:val="0"/>
                <w:sz w:val="21"/>
                <w:szCs w:val="21"/>
                <w:vertAlign w:val="superscript"/>
                <w:lang w:bidi="ar"/>
              </w:rPr>
              <w:t>3</w:t>
            </w:r>
            <w:r>
              <w:rPr>
                <w:rStyle w:val="120"/>
                <w:rFonts w:hint="default" w:ascii="Times New Roman" w:hAnsi="Times New Roman" w:cs="Times New Roman"/>
                <w:color w:val="auto"/>
                <w:lang w:bidi="ar"/>
              </w:rPr>
              <w:t>）</w:t>
            </w:r>
          </w:p>
        </w:tc>
        <w:tc>
          <w:tcPr>
            <w:tcW w:w="744" w:type="pct"/>
            <w:tcBorders>
              <w:tl2br w:val="nil"/>
              <w:tr2bl w:val="nil"/>
            </w:tcBorders>
            <w:tcMar>
              <w:top w:w="15" w:type="dxa"/>
              <w:left w:w="15" w:type="dxa"/>
              <w:right w:w="15" w:type="dxa"/>
            </w:tcMar>
            <w:vAlign w:val="center"/>
          </w:tcPr>
          <w:p w14:paraId="1BE90495">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出现时间</w:t>
            </w:r>
          </w:p>
        </w:tc>
        <w:tc>
          <w:tcPr>
            <w:tcW w:w="699" w:type="pct"/>
            <w:tcBorders>
              <w:tl2br w:val="nil"/>
              <w:tr2bl w:val="nil"/>
            </w:tcBorders>
            <w:tcMar>
              <w:top w:w="15" w:type="dxa"/>
              <w:left w:w="15" w:type="dxa"/>
              <w:right w:w="15" w:type="dxa"/>
            </w:tcMar>
            <w:vAlign w:val="center"/>
          </w:tcPr>
          <w:p w14:paraId="01F314D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占标率/</w:t>
            </w:r>
            <w:r>
              <w:rPr>
                <w:rStyle w:val="120"/>
                <w:rFonts w:hint="default" w:ascii="Times New Roman" w:hAnsi="Times New Roman" w:cs="Times New Roman"/>
                <w:color w:val="auto"/>
                <w:lang w:bidi="ar"/>
              </w:rPr>
              <w:t>（</w:t>
            </w:r>
            <w:r>
              <w:rPr>
                <w:rStyle w:val="121"/>
                <w:rFonts w:eastAsia="宋体"/>
                <w:color w:val="auto"/>
                <w:lang w:bidi="ar"/>
              </w:rPr>
              <w:t>%</w:t>
            </w:r>
            <w:r>
              <w:rPr>
                <w:rStyle w:val="120"/>
                <w:rFonts w:hint="default" w:ascii="Times New Roman" w:hAnsi="Times New Roman" w:cs="Times New Roman"/>
                <w:color w:val="auto"/>
                <w:lang w:bidi="ar"/>
              </w:rPr>
              <w:t>）</w:t>
            </w:r>
          </w:p>
        </w:tc>
        <w:tc>
          <w:tcPr>
            <w:tcW w:w="578" w:type="pct"/>
            <w:tcBorders>
              <w:tl2br w:val="nil"/>
              <w:tr2bl w:val="nil"/>
            </w:tcBorders>
            <w:tcMar>
              <w:top w:w="15" w:type="dxa"/>
              <w:left w:w="15" w:type="dxa"/>
              <w:right w:w="15" w:type="dxa"/>
            </w:tcMar>
            <w:vAlign w:val="center"/>
          </w:tcPr>
          <w:p w14:paraId="23CCEE6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达标情况</w:t>
            </w:r>
          </w:p>
        </w:tc>
      </w:tr>
      <w:tr w14:paraId="085DD6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restart"/>
            <w:tcBorders>
              <w:tl2br w:val="nil"/>
              <w:tr2bl w:val="nil"/>
            </w:tcBorders>
            <w:tcMar>
              <w:top w:w="15" w:type="dxa"/>
              <w:left w:w="15" w:type="dxa"/>
              <w:right w:w="15" w:type="dxa"/>
            </w:tcMar>
            <w:vAlign w:val="center"/>
          </w:tcPr>
          <w:p w14:paraId="1DB953D4">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r>
              <w:rPr>
                <w:rFonts w:ascii="Times New Roman" w:hAnsi="Times New Roman" w:eastAsia="宋体" w:cs="Times New Roman"/>
                <w:color w:val="auto"/>
                <w:kern w:val="0"/>
                <w:sz w:val="21"/>
                <w:szCs w:val="21"/>
                <w:lang w:bidi="ar"/>
              </w:rPr>
              <w:t>TSP</w:t>
            </w:r>
          </w:p>
        </w:tc>
        <w:tc>
          <w:tcPr>
            <w:tcW w:w="962" w:type="pct"/>
            <w:vMerge w:val="restart"/>
            <w:tcBorders>
              <w:tl2br w:val="nil"/>
              <w:tr2bl w:val="nil"/>
            </w:tcBorders>
            <w:tcMar>
              <w:top w:w="15" w:type="dxa"/>
              <w:left w:w="15" w:type="dxa"/>
              <w:right w:w="15" w:type="dxa"/>
            </w:tcMar>
            <w:vAlign w:val="center"/>
          </w:tcPr>
          <w:p w14:paraId="6404926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八五二农场场部</w:t>
            </w:r>
          </w:p>
        </w:tc>
        <w:tc>
          <w:tcPr>
            <w:tcW w:w="478" w:type="pct"/>
            <w:tcBorders>
              <w:tl2br w:val="nil"/>
              <w:tr2bl w:val="nil"/>
            </w:tcBorders>
            <w:tcMar>
              <w:top w:w="15" w:type="dxa"/>
              <w:left w:w="15" w:type="dxa"/>
              <w:right w:w="15" w:type="dxa"/>
            </w:tcMar>
            <w:vAlign w:val="center"/>
          </w:tcPr>
          <w:p w14:paraId="7EFB5EF7">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6969A30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0.02972</w:t>
            </w:r>
          </w:p>
        </w:tc>
        <w:tc>
          <w:tcPr>
            <w:tcW w:w="744" w:type="pct"/>
            <w:tcBorders>
              <w:tl2br w:val="nil"/>
              <w:tr2bl w:val="nil"/>
            </w:tcBorders>
            <w:noWrap/>
            <w:tcMar>
              <w:top w:w="15" w:type="dxa"/>
              <w:left w:w="15" w:type="dxa"/>
              <w:right w:w="15" w:type="dxa"/>
            </w:tcMar>
            <w:vAlign w:val="center"/>
          </w:tcPr>
          <w:p w14:paraId="4159705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240205</w:t>
            </w:r>
          </w:p>
        </w:tc>
        <w:tc>
          <w:tcPr>
            <w:tcW w:w="699" w:type="pct"/>
            <w:tcBorders>
              <w:tl2br w:val="nil"/>
              <w:tr2bl w:val="nil"/>
            </w:tcBorders>
            <w:noWrap/>
            <w:tcMar>
              <w:top w:w="15" w:type="dxa"/>
              <w:left w:w="15" w:type="dxa"/>
              <w:right w:w="15" w:type="dxa"/>
            </w:tcMar>
            <w:vAlign w:val="center"/>
          </w:tcPr>
          <w:p w14:paraId="37CE8F5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w:t>
            </w:r>
          </w:p>
        </w:tc>
        <w:tc>
          <w:tcPr>
            <w:tcW w:w="578" w:type="pct"/>
            <w:tcBorders>
              <w:tl2br w:val="nil"/>
              <w:tr2bl w:val="nil"/>
            </w:tcBorders>
            <w:tcMar>
              <w:top w:w="15" w:type="dxa"/>
              <w:left w:w="15" w:type="dxa"/>
              <w:right w:w="15" w:type="dxa"/>
            </w:tcMar>
            <w:vAlign w:val="center"/>
          </w:tcPr>
          <w:p w14:paraId="01E9DF6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B27E9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1647AD5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7C49394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0D7AA120">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49247E6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0.00124</w:t>
            </w:r>
          </w:p>
        </w:tc>
        <w:tc>
          <w:tcPr>
            <w:tcW w:w="744" w:type="pct"/>
            <w:tcBorders>
              <w:tl2br w:val="nil"/>
              <w:tr2bl w:val="nil"/>
            </w:tcBorders>
            <w:noWrap/>
            <w:tcMar>
              <w:top w:w="15" w:type="dxa"/>
              <w:left w:w="15" w:type="dxa"/>
              <w:right w:w="15" w:type="dxa"/>
            </w:tcMar>
            <w:vAlign w:val="center"/>
          </w:tcPr>
          <w:p w14:paraId="7ABA744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3E27F2B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765A990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3314A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24DDB64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45A5F62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和平管理区</w:t>
            </w:r>
          </w:p>
        </w:tc>
        <w:tc>
          <w:tcPr>
            <w:tcW w:w="478" w:type="pct"/>
            <w:tcBorders>
              <w:tl2br w:val="nil"/>
              <w:tr2bl w:val="nil"/>
            </w:tcBorders>
            <w:tcMar>
              <w:top w:w="15" w:type="dxa"/>
              <w:left w:w="15" w:type="dxa"/>
              <w:right w:w="15" w:type="dxa"/>
            </w:tcMar>
            <w:vAlign w:val="center"/>
          </w:tcPr>
          <w:p w14:paraId="1B5F9525">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209B14B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0.00689</w:t>
            </w:r>
          </w:p>
        </w:tc>
        <w:tc>
          <w:tcPr>
            <w:tcW w:w="744" w:type="pct"/>
            <w:tcBorders>
              <w:tl2br w:val="nil"/>
              <w:tr2bl w:val="nil"/>
            </w:tcBorders>
            <w:noWrap/>
            <w:tcMar>
              <w:top w:w="15" w:type="dxa"/>
              <w:left w:w="15" w:type="dxa"/>
              <w:right w:w="15" w:type="dxa"/>
            </w:tcMar>
            <w:vAlign w:val="center"/>
          </w:tcPr>
          <w:p w14:paraId="5C32A4D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241027</w:t>
            </w:r>
          </w:p>
        </w:tc>
        <w:tc>
          <w:tcPr>
            <w:tcW w:w="699" w:type="pct"/>
            <w:tcBorders>
              <w:tl2br w:val="nil"/>
              <w:tr2bl w:val="nil"/>
            </w:tcBorders>
            <w:noWrap/>
            <w:tcMar>
              <w:top w:w="15" w:type="dxa"/>
              <w:left w:w="15" w:type="dxa"/>
              <w:right w:w="15" w:type="dxa"/>
            </w:tcMar>
            <w:vAlign w:val="center"/>
          </w:tcPr>
          <w:p w14:paraId="1EBC703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11F9FB1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39BCA0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5655A50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41671E02">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7C68158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6F335CC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0.00025</w:t>
            </w:r>
          </w:p>
        </w:tc>
        <w:tc>
          <w:tcPr>
            <w:tcW w:w="744" w:type="pct"/>
            <w:tcBorders>
              <w:tl2br w:val="nil"/>
              <w:tr2bl w:val="nil"/>
            </w:tcBorders>
            <w:noWrap/>
            <w:tcMar>
              <w:top w:w="15" w:type="dxa"/>
              <w:left w:w="15" w:type="dxa"/>
              <w:right w:w="15" w:type="dxa"/>
            </w:tcMar>
            <w:vAlign w:val="center"/>
          </w:tcPr>
          <w:p w14:paraId="71B3095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646877A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0A23318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3393D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34F8C79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5D912DA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南林小区</w:t>
            </w:r>
          </w:p>
        </w:tc>
        <w:tc>
          <w:tcPr>
            <w:tcW w:w="478" w:type="pct"/>
            <w:tcBorders>
              <w:tl2br w:val="nil"/>
              <w:tr2bl w:val="nil"/>
            </w:tcBorders>
            <w:tcMar>
              <w:top w:w="15" w:type="dxa"/>
              <w:left w:w="15" w:type="dxa"/>
              <w:right w:w="15" w:type="dxa"/>
            </w:tcMar>
            <w:vAlign w:val="center"/>
          </w:tcPr>
          <w:p w14:paraId="3953CE45">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09EE8E9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0.0068</w:t>
            </w:r>
          </w:p>
        </w:tc>
        <w:tc>
          <w:tcPr>
            <w:tcW w:w="744" w:type="pct"/>
            <w:tcBorders>
              <w:tl2br w:val="nil"/>
              <w:tr2bl w:val="nil"/>
            </w:tcBorders>
            <w:noWrap/>
            <w:tcMar>
              <w:top w:w="15" w:type="dxa"/>
              <w:left w:w="15" w:type="dxa"/>
              <w:right w:w="15" w:type="dxa"/>
            </w:tcMar>
            <w:vAlign w:val="center"/>
          </w:tcPr>
          <w:p w14:paraId="0F328B2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240126</w:t>
            </w:r>
          </w:p>
        </w:tc>
        <w:tc>
          <w:tcPr>
            <w:tcW w:w="699" w:type="pct"/>
            <w:tcBorders>
              <w:tl2br w:val="nil"/>
              <w:tr2bl w:val="nil"/>
            </w:tcBorders>
            <w:noWrap/>
            <w:tcMar>
              <w:top w:w="15" w:type="dxa"/>
              <w:left w:w="15" w:type="dxa"/>
              <w:right w:w="15" w:type="dxa"/>
            </w:tcMar>
            <w:vAlign w:val="center"/>
          </w:tcPr>
          <w:p w14:paraId="3763EDB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5DF66AD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6D75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5A7B4D6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393A09F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44441FD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08D61EA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0.0003</w:t>
            </w:r>
          </w:p>
        </w:tc>
        <w:tc>
          <w:tcPr>
            <w:tcW w:w="744" w:type="pct"/>
            <w:tcBorders>
              <w:tl2br w:val="nil"/>
              <w:tr2bl w:val="nil"/>
            </w:tcBorders>
            <w:noWrap/>
            <w:tcMar>
              <w:top w:w="15" w:type="dxa"/>
              <w:left w:w="15" w:type="dxa"/>
              <w:right w:w="15" w:type="dxa"/>
            </w:tcMar>
            <w:vAlign w:val="center"/>
          </w:tcPr>
          <w:p w14:paraId="0877C9C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16CE9A0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1D4EE19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EEF66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0099B24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3B701DA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八五二农场四分场</w:t>
            </w:r>
          </w:p>
        </w:tc>
        <w:tc>
          <w:tcPr>
            <w:tcW w:w="478" w:type="pct"/>
            <w:tcBorders>
              <w:tl2br w:val="nil"/>
              <w:tr2bl w:val="nil"/>
            </w:tcBorders>
            <w:tcMar>
              <w:top w:w="15" w:type="dxa"/>
              <w:left w:w="15" w:type="dxa"/>
              <w:right w:w="15" w:type="dxa"/>
            </w:tcMar>
            <w:vAlign w:val="center"/>
          </w:tcPr>
          <w:p w14:paraId="716DC4B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18B9DCB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0.00186</w:t>
            </w:r>
          </w:p>
        </w:tc>
        <w:tc>
          <w:tcPr>
            <w:tcW w:w="744" w:type="pct"/>
            <w:tcBorders>
              <w:tl2br w:val="nil"/>
              <w:tr2bl w:val="nil"/>
            </w:tcBorders>
            <w:noWrap/>
            <w:tcMar>
              <w:top w:w="15" w:type="dxa"/>
              <w:left w:w="15" w:type="dxa"/>
              <w:right w:w="15" w:type="dxa"/>
            </w:tcMar>
            <w:vAlign w:val="center"/>
          </w:tcPr>
          <w:p w14:paraId="6D181D3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240215</w:t>
            </w:r>
          </w:p>
        </w:tc>
        <w:tc>
          <w:tcPr>
            <w:tcW w:w="699" w:type="pct"/>
            <w:tcBorders>
              <w:tl2br w:val="nil"/>
              <w:tr2bl w:val="nil"/>
            </w:tcBorders>
            <w:noWrap/>
            <w:tcMar>
              <w:top w:w="15" w:type="dxa"/>
              <w:left w:w="15" w:type="dxa"/>
              <w:right w:w="15" w:type="dxa"/>
            </w:tcMar>
            <w:vAlign w:val="center"/>
          </w:tcPr>
          <w:p w14:paraId="2CFEE01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106ABE5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7DDEB8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4E12A6E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4D56C011">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63F3A2C5">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46A24C9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0.00004</w:t>
            </w:r>
          </w:p>
        </w:tc>
        <w:tc>
          <w:tcPr>
            <w:tcW w:w="744" w:type="pct"/>
            <w:tcBorders>
              <w:tl2br w:val="nil"/>
              <w:tr2bl w:val="nil"/>
            </w:tcBorders>
            <w:noWrap/>
            <w:tcMar>
              <w:top w:w="15" w:type="dxa"/>
              <w:left w:w="15" w:type="dxa"/>
              <w:right w:w="15" w:type="dxa"/>
            </w:tcMar>
            <w:vAlign w:val="center"/>
          </w:tcPr>
          <w:p w14:paraId="6730B5F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26CEDF4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46BCA84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BF5D7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246F363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3A087F8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八五二农场副业队</w:t>
            </w:r>
          </w:p>
        </w:tc>
        <w:tc>
          <w:tcPr>
            <w:tcW w:w="478" w:type="pct"/>
            <w:tcBorders>
              <w:tl2br w:val="nil"/>
              <w:tr2bl w:val="nil"/>
            </w:tcBorders>
            <w:tcMar>
              <w:top w:w="15" w:type="dxa"/>
              <w:left w:w="15" w:type="dxa"/>
              <w:right w:w="15" w:type="dxa"/>
            </w:tcMar>
            <w:vAlign w:val="center"/>
          </w:tcPr>
          <w:p w14:paraId="5F166F09">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513BFA0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0.00421</w:t>
            </w:r>
          </w:p>
        </w:tc>
        <w:tc>
          <w:tcPr>
            <w:tcW w:w="744" w:type="pct"/>
            <w:tcBorders>
              <w:tl2br w:val="nil"/>
              <w:tr2bl w:val="nil"/>
            </w:tcBorders>
            <w:noWrap/>
            <w:tcMar>
              <w:top w:w="15" w:type="dxa"/>
              <w:left w:w="15" w:type="dxa"/>
              <w:right w:w="15" w:type="dxa"/>
            </w:tcMar>
            <w:vAlign w:val="center"/>
          </w:tcPr>
          <w:p w14:paraId="4757BAE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241027</w:t>
            </w:r>
          </w:p>
        </w:tc>
        <w:tc>
          <w:tcPr>
            <w:tcW w:w="699" w:type="pct"/>
            <w:tcBorders>
              <w:tl2br w:val="nil"/>
              <w:tr2bl w:val="nil"/>
            </w:tcBorders>
            <w:noWrap/>
            <w:tcMar>
              <w:top w:w="15" w:type="dxa"/>
              <w:left w:w="15" w:type="dxa"/>
              <w:right w:w="15" w:type="dxa"/>
            </w:tcMar>
            <w:vAlign w:val="center"/>
          </w:tcPr>
          <w:p w14:paraId="5ABB435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3E228B4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707B3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03D9C63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5557DF26">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6FA6B2FB">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3F127A3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0.00009</w:t>
            </w:r>
          </w:p>
        </w:tc>
        <w:tc>
          <w:tcPr>
            <w:tcW w:w="744" w:type="pct"/>
            <w:tcBorders>
              <w:tl2br w:val="nil"/>
              <w:tr2bl w:val="nil"/>
            </w:tcBorders>
            <w:noWrap/>
            <w:tcMar>
              <w:top w:w="15" w:type="dxa"/>
              <w:left w:w="15" w:type="dxa"/>
              <w:right w:w="15" w:type="dxa"/>
            </w:tcMar>
            <w:vAlign w:val="center"/>
          </w:tcPr>
          <w:p w14:paraId="3EBB7F9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15B5391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7B28FDA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37E5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3FB9B6D0">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37F9D9C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八五二农场种畜站</w:t>
            </w:r>
          </w:p>
        </w:tc>
        <w:tc>
          <w:tcPr>
            <w:tcW w:w="478" w:type="pct"/>
            <w:tcBorders>
              <w:tl2br w:val="nil"/>
              <w:tr2bl w:val="nil"/>
            </w:tcBorders>
            <w:tcMar>
              <w:top w:w="15" w:type="dxa"/>
              <w:left w:w="15" w:type="dxa"/>
              <w:right w:w="15" w:type="dxa"/>
            </w:tcMar>
            <w:vAlign w:val="center"/>
          </w:tcPr>
          <w:p w14:paraId="4D96F81D">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1AAB1C7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0.00384</w:t>
            </w:r>
          </w:p>
        </w:tc>
        <w:tc>
          <w:tcPr>
            <w:tcW w:w="744" w:type="pct"/>
            <w:tcBorders>
              <w:tl2br w:val="nil"/>
              <w:tr2bl w:val="nil"/>
            </w:tcBorders>
            <w:noWrap/>
            <w:tcMar>
              <w:top w:w="15" w:type="dxa"/>
              <w:left w:w="15" w:type="dxa"/>
              <w:right w:w="15" w:type="dxa"/>
            </w:tcMar>
            <w:vAlign w:val="center"/>
          </w:tcPr>
          <w:p w14:paraId="38A29CC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240128</w:t>
            </w:r>
          </w:p>
        </w:tc>
        <w:tc>
          <w:tcPr>
            <w:tcW w:w="699" w:type="pct"/>
            <w:tcBorders>
              <w:tl2br w:val="nil"/>
              <w:tr2bl w:val="nil"/>
            </w:tcBorders>
            <w:noWrap/>
            <w:tcMar>
              <w:top w:w="15" w:type="dxa"/>
              <w:left w:w="15" w:type="dxa"/>
              <w:right w:w="15" w:type="dxa"/>
            </w:tcMar>
            <w:vAlign w:val="center"/>
          </w:tcPr>
          <w:p w14:paraId="79D6FCB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1A2DF85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3C67F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7EBE7765">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34AF9962">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63857F77">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333C388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0.00014</w:t>
            </w:r>
          </w:p>
        </w:tc>
        <w:tc>
          <w:tcPr>
            <w:tcW w:w="744" w:type="pct"/>
            <w:tcBorders>
              <w:tl2br w:val="nil"/>
              <w:tr2bl w:val="nil"/>
            </w:tcBorders>
            <w:noWrap/>
            <w:tcMar>
              <w:top w:w="15" w:type="dxa"/>
              <w:left w:w="15" w:type="dxa"/>
              <w:right w:w="15" w:type="dxa"/>
            </w:tcMar>
            <w:vAlign w:val="center"/>
          </w:tcPr>
          <w:p w14:paraId="473F65A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7274C48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10D8AF5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2283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570C40DD">
            <w:pPr>
              <w:pStyle w:val="34"/>
              <w:keepNext w:val="0"/>
              <w:keepLines w:val="0"/>
              <w:pageBreakBefore w:val="0"/>
              <w:kinsoku/>
              <w:wordWrap/>
              <w:overflowPunct/>
              <w:topLinePunct w:val="0"/>
              <w:bidi w:val="0"/>
              <w:snapToGrid/>
              <w:spacing w:line="320" w:lineRule="exact"/>
              <w:ind w:left="0" w:leftChars="0" w:firstLine="0" w:firstLineChars="0"/>
              <w:jc w:val="center"/>
              <w:rPr>
                <w:rFonts w:ascii="Times New Roman" w:hAnsi="Times New Roman" w:eastAsia="宋体" w:cs="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24E194D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迎春林业局光明林场</w:t>
            </w:r>
          </w:p>
        </w:tc>
        <w:tc>
          <w:tcPr>
            <w:tcW w:w="478" w:type="pct"/>
            <w:tcBorders>
              <w:tl2br w:val="nil"/>
              <w:tr2bl w:val="nil"/>
            </w:tcBorders>
            <w:tcMar>
              <w:top w:w="15" w:type="dxa"/>
              <w:left w:w="15" w:type="dxa"/>
              <w:right w:w="15" w:type="dxa"/>
            </w:tcMar>
            <w:vAlign w:val="center"/>
          </w:tcPr>
          <w:p w14:paraId="476F9234">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28810AC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0.00966</w:t>
            </w:r>
          </w:p>
        </w:tc>
        <w:tc>
          <w:tcPr>
            <w:tcW w:w="744" w:type="pct"/>
            <w:tcBorders>
              <w:tl2br w:val="nil"/>
              <w:tr2bl w:val="nil"/>
            </w:tcBorders>
            <w:noWrap/>
            <w:tcMar>
              <w:top w:w="15" w:type="dxa"/>
              <w:left w:w="15" w:type="dxa"/>
              <w:right w:w="15" w:type="dxa"/>
            </w:tcMar>
            <w:vAlign w:val="center"/>
          </w:tcPr>
          <w:p w14:paraId="24BFDDA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241222</w:t>
            </w:r>
          </w:p>
        </w:tc>
        <w:tc>
          <w:tcPr>
            <w:tcW w:w="699" w:type="pct"/>
            <w:tcBorders>
              <w:tl2br w:val="nil"/>
              <w:tr2bl w:val="nil"/>
            </w:tcBorders>
            <w:noWrap/>
            <w:tcMar>
              <w:top w:w="15" w:type="dxa"/>
              <w:left w:w="15" w:type="dxa"/>
              <w:right w:w="15" w:type="dxa"/>
            </w:tcMar>
            <w:vAlign w:val="center"/>
          </w:tcPr>
          <w:p w14:paraId="562DD8F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7B5F9A8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23E1D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71A00D5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20BF7557">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2F8F1AB4">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74A3D8C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0.00012</w:t>
            </w:r>
          </w:p>
        </w:tc>
        <w:tc>
          <w:tcPr>
            <w:tcW w:w="744" w:type="pct"/>
            <w:tcBorders>
              <w:tl2br w:val="nil"/>
              <w:tr2bl w:val="nil"/>
            </w:tcBorders>
            <w:noWrap/>
            <w:tcMar>
              <w:top w:w="15" w:type="dxa"/>
              <w:left w:w="15" w:type="dxa"/>
              <w:right w:w="15" w:type="dxa"/>
            </w:tcMar>
            <w:vAlign w:val="center"/>
          </w:tcPr>
          <w:p w14:paraId="3CCFCB1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5E31D14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51EDA63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193F1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03C3B601">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2129D6A6">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虎宝工厂南林工段</w:t>
            </w:r>
          </w:p>
        </w:tc>
        <w:tc>
          <w:tcPr>
            <w:tcW w:w="478" w:type="pct"/>
            <w:tcBorders>
              <w:tl2br w:val="nil"/>
              <w:tr2bl w:val="nil"/>
            </w:tcBorders>
            <w:tcMar>
              <w:top w:w="15" w:type="dxa"/>
              <w:left w:w="15" w:type="dxa"/>
              <w:right w:w="15" w:type="dxa"/>
            </w:tcMar>
            <w:vAlign w:val="center"/>
          </w:tcPr>
          <w:p w14:paraId="33C485B3">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6BAE5BD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0.00353</w:t>
            </w:r>
          </w:p>
        </w:tc>
        <w:tc>
          <w:tcPr>
            <w:tcW w:w="744" w:type="pct"/>
            <w:tcBorders>
              <w:tl2br w:val="nil"/>
              <w:tr2bl w:val="nil"/>
            </w:tcBorders>
            <w:noWrap/>
            <w:tcMar>
              <w:top w:w="15" w:type="dxa"/>
              <w:left w:w="15" w:type="dxa"/>
              <w:right w:w="15" w:type="dxa"/>
            </w:tcMar>
            <w:vAlign w:val="center"/>
          </w:tcPr>
          <w:p w14:paraId="5D14755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241029</w:t>
            </w:r>
          </w:p>
        </w:tc>
        <w:tc>
          <w:tcPr>
            <w:tcW w:w="699" w:type="pct"/>
            <w:tcBorders>
              <w:tl2br w:val="nil"/>
              <w:tr2bl w:val="nil"/>
            </w:tcBorders>
            <w:noWrap/>
            <w:tcMar>
              <w:top w:w="15" w:type="dxa"/>
              <w:left w:w="15" w:type="dxa"/>
              <w:right w:w="15" w:type="dxa"/>
            </w:tcMar>
            <w:vAlign w:val="center"/>
          </w:tcPr>
          <w:p w14:paraId="7E6EC6F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1D91B55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6A184B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048D5A43">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01D1E85C">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5FC3D8F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73A78AE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0.00011</w:t>
            </w:r>
          </w:p>
        </w:tc>
        <w:tc>
          <w:tcPr>
            <w:tcW w:w="744" w:type="pct"/>
            <w:tcBorders>
              <w:tl2br w:val="nil"/>
              <w:tr2bl w:val="nil"/>
            </w:tcBorders>
            <w:noWrap/>
            <w:tcMar>
              <w:top w:w="15" w:type="dxa"/>
              <w:left w:w="15" w:type="dxa"/>
              <w:right w:w="15" w:type="dxa"/>
            </w:tcMar>
            <w:vAlign w:val="center"/>
          </w:tcPr>
          <w:p w14:paraId="49746E9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069FABF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22E43D1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30877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3AA621C5">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154F8FD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虎宝村</w:t>
            </w:r>
          </w:p>
        </w:tc>
        <w:tc>
          <w:tcPr>
            <w:tcW w:w="478" w:type="pct"/>
            <w:tcBorders>
              <w:tl2br w:val="nil"/>
              <w:tr2bl w:val="nil"/>
            </w:tcBorders>
            <w:tcMar>
              <w:top w:w="15" w:type="dxa"/>
              <w:left w:w="15" w:type="dxa"/>
              <w:right w:w="15" w:type="dxa"/>
            </w:tcMar>
            <w:vAlign w:val="center"/>
          </w:tcPr>
          <w:p w14:paraId="202C925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6EFB7D7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0.00106</w:t>
            </w:r>
          </w:p>
        </w:tc>
        <w:tc>
          <w:tcPr>
            <w:tcW w:w="744" w:type="pct"/>
            <w:tcBorders>
              <w:tl2br w:val="nil"/>
              <w:tr2bl w:val="nil"/>
            </w:tcBorders>
            <w:noWrap/>
            <w:tcMar>
              <w:top w:w="15" w:type="dxa"/>
              <w:left w:w="15" w:type="dxa"/>
              <w:right w:w="15" w:type="dxa"/>
            </w:tcMar>
            <w:vAlign w:val="center"/>
          </w:tcPr>
          <w:p w14:paraId="2E7AB20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240112</w:t>
            </w:r>
          </w:p>
        </w:tc>
        <w:tc>
          <w:tcPr>
            <w:tcW w:w="699" w:type="pct"/>
            <w:tcBorders>
              <w:tl2br w:val="nil"/>
              <w:tr2bl w:val="nil"/>
            </w:tcBorders>
            <w:noWrap/>
            <w:tcMar>
              <w:top w:w="15" w:type="dxa"/>
              <w:left w:w="15" w:type="dxa"/>
              <w:right w:w="15" w:type="dxa"/>
            </w:tcMar>
            <w:vAlign w:val="center"/>
          </w:tcPr>
          <w:p w14:paraId="7A558A7D">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5B57BAE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4DDDF1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352ACD73">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7E70DD13">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3F49D75C">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73B387C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0.00003</w:t>
            </w:r>
          </w:p>
        </w:tc>
        <w:tc>
          <w:tcPr>
            <w:tcW w:w="744" w:type="pct"/>
            <w:tcBorders>
              <w:tl2br w:val="nil"/>
              <w:tr2bl w:val="nil"/>
            </w:tcBorders>
            <w:noWrap/>
            <w:tcMar>
              <w:top w:w="15" w:type="dxa"/>
              <w:left w:w="15" w:type="dxa"/>
              <w:right w:w="15" w:type="dxa"/>
            </w:tcMar>
            <w:vAlign w:val="center"/>
          </w:tcPr>
          <w:p w14:paraId="72B5FB7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2FF6A05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w:t>
            </w:r>
          </w:p>
        </w:tc>
        <w:tc>
          <w:tcPr>
            <w:tcW w:w="578" w:type="pct"/>
            <w:tcBorders>
              <w:tl2br w:val="nil"/>
              <w:tr2bl w:val="nil"/>
            </w:tcBorders>
            <w:tcMar>
              <w:top w:w="15" w:type="dxa"/>
              <w:left w:w="15" w:type="dxa"/>
              <w:right w:w="15" w:type="dxa"/>
            </w:tcMar>
            <w:vAlign w:val="center"/>
          </w:tcPr>
          <w:p w14:paraId="6B0031F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03CAFE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65FD626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restart"/>
            <w:tcBorders>
              <w:tl2br w:val="nil"/>
              <w:tr2bl w:val="nil"/>
            </w:tcBorders>
            <w:tcMar>
              <w:top w:w="15" w:type="dxa"/>
              <w:left w:w="15" w:type="dxa"/>
              <w:right w:w="15" w:type="dxa"/>
            </w:tcMar>
            <w:vAlign w:val="center"/>
          </w:tcPr>
          <w:p w14:paraId="68E6A50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区域最大落地浓度</w:t>
            </w:r>
          </w:p>
        </w:tc>
        <w:tc>
          <w:tcPr>
            <w:tcW w:w="478" w:type="pct"/>
            <w:tcBorders>
              <w:tl2br w:val="nil"/>
              <w:tr2bl w:val="nil"/>
            </w:tcBorders>
            <w:tcMar>
              <w:top w:w="15" w:type="dxa"/>
              <w:left w:w="15" w:type="dxa"/>
              <w:right w:w="15" w:type="dxa"/>
            </w:tcMar>
            <w:vAlign w:val="center"/>
          </w:tcPr>
          <w:p w14:paraId="2D766CAF">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日平均</w:t>
            </w:r>
          </w:p>
        </w:tc>
        <w:tc>
          <w:tcPr>
            <w:tcW w:w="1062" w:type="pct"/>
            <w:tcBorders>
              <w:tl2br w:val="nil"/>
              <w:tr2bl w:val="nil"/>
            </w:tcBorders>
            <w:noWrap/>
            <w:tcMar>
              <w:top w:w="15" w:type="dxa"/>
              <w:left w:w="15" w:type="dxa"/>
              <w:right w:w="15" w:type="dxa"/>
            </w:tcMar>
            <w:vAlign w:val="center"/>
          </w:tcPr>
          <w:p w14:paraId="08213194">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1.77155</w:t>
            </w:r>
          </w:p>
        </w:tc>
        <w:tc>
          <w:tcPr>
            <w:tcW w:w="744" w:type="pct"/>
            <w:tcBorders>
              <w:tl2br w:val="nil"/>
              <w:tr2bl w:val="nil"/>
            </w:tcBorders>
            <w:noWrap/>
            <w:tcMar>
              <w:top w:w="15" w:type="dxa"/>
              <w:left w:w="15" w:type="dxa"/>
              <w:right w:w="15" w:type="dxa"/>
            </w:tcMar>
            <w:vAlign w:val="center"/>
          </w:tcPr>
          <w:p w14:paraId="6DBADAA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241124</w:t>
            </w:r>
          </w:p>
        </w:tc>
        <w:tc>
          <w:tcPr>
            <w:tcW w:w="699" w:type="pct"/>
            <w:tcBorders>
              <w:tl2br w:val="nil"/>
              <w:tr2bl w:val="nil"/>
            </w:tcBorders>
            <w:noWrap/>
            <w:tcMar>
              <w:top w:w="15" w:type="dxa"/>
              <w:left w:w="15" w:type="dxa"/>
              <w:right w:w="15" w:type="dxa"/>
            </w:tcMar>
            <w:vAlign w:val="center"/>
          </w:tcPr>
          <w:p w14:paraId="1BA34F6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0.59</w:t>
            </w:r>
          </w:p>
        </w:tc>
        <w:tc>
          <w:tcPr>
            <w:tcW w:w="578" w:type="pct"/>
            <w:tcBorders>
              <w:tl2br w:val="nil"/>
              <w:tr2bl w:val="nil"/>
            </w:tcBorders>
            <w:tcMar>
              <w:top w:w="15" w:type="dxa"/>
              <w:left w:w="15" w:type="dxa"/>
              <w:right w:w="15" w:type="dxa"/>
            </w:tcMar>
            <w:vAlign w:val="center"/>
          </w:tcPr>
          <w:p w14:paraId="18FF9F4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r w14:paraId="158C38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73" w:type="pct"/>
            <w:vMerge w:val="continue"/>
            <w:tcBorders>
              <w:tl2br w:val="nil"/>
              <w:tr2bl w:val="nil"/>
            </w:tcBorders>
            <w:tcMar>
              <w:top w:w="15" w:type="dxa"/>
              <w:left w:w="15" w:type="dxa"/>
              <w:right w:w="15" w:type="dxa"/>
            </w:tcMar>
            <w:vAlign w:val="center"/>
          </w:tcPr>
          <w:p w14:paraId="0E82B26D">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auto"/>
                <w:sz w:val="21"/>
                <w:szCs w:val="21"/>
              </w:rPr>
            </w:pPr>
          </w:p>
        </w:tc>
        <w:tc>
          <w:tcPr>
            <w:tcW w:w="962" w:type="pct"/>
            <w:vMerge w:val="continue"/>
            <w:tcBorders>
              <w:tl2br w:val="nil"/>
              <w:tr2bl w:val="nil"/>
            </w:tcBorders>
            <w:tcMar>
              <w:top w:w="15" w:type="dxa"/>
              <w:left w:w="15" w:type="dxa"/>
              <w:right w:w="15" w:type="dxa"/>
            </w:tcMar>
            <w:vAlign w:val="center"/>
          </w:tcPr>
          <w:p w14:paraId="3B5E35BF">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78" w:type="pct"/>
            <w:tcBorders>
              <w:tl2br w:val="nil"/>
              <w:tr2bl w:val="nil"/>
            </w:tcBorders>
            <w:tcMar>
              <w:top w:w="15" w:type="dxa"/>
              <w:left w:w="15" w:type="dxa"/>
              <w:right w:w="15" w:type="dxa"/>
            </w:tcMar>
            <w:vAlign w:val="center"/>
          </w:tcPr>
          <w:p w14:paraId="7D583FF6">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年平均</w:t>
            </w:r>
          </w:p>
        </w:tc>
        <w:tc>
          <w:tcPr>
            <w:tcW w:w="1062" w:type="pct"/>
            <w:tcBorders>
              <w:tl2br w:val="nil"/>
              <w:tr2bl w:val="nil"/>
            </w:tcBorders>
            <w:noWrap/>
            <w:tcMar>
              <w:top w:w="15" w:type="dxa"/>
              <w:left w:w="15" w:type="dxa"/>
              <w:right w:w="15" w:type="dxa"/>
            </w:tcMar>
            <w:vAlign w:val="center"/>
          </w:tcPr>
          <w:p w14:paraId="2FA5D5B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0.30604</w:t>
            </w:r>
          </w:p>
        </w:tc>
        <w:tc>
          <w:tcPr>
            <w:tcW w:w="744" w:type="pct"/>
            <w:tcBorders>
              <w:tl2br w:val="nil"/>
              <w:tr2bl w:val="nil"/>
            </w:tcBorders>
            <w:noWrap/>
            <w:tcMar>
              <w:top w:w="15" w:type="dxa"/>
              <w:left w:w="15" w:type="dxa"/>
              <w:right w:w="15" w:type="dxa"/>
            </w:tcMar>
            <w:vAlign w:val="center"/>
          </w:tcPr>
          <w:p w14:paraId="49E2B3AF">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99" w:type="pct"/>
            <w:tcBorders>
              <w:tl2br w:val="nil"/>
              <w:tr2bl w:val="nil"/>
            </w:tcBorders>
            <w:noWrap/>
            <w:tcMar>
              <w:top w:w="15" w:type="dxa"/>
              <w:left w:w="15" w:type="dxa"/>
              <w:right w:w="15" w:type="dxa"/>
            </w:tcMar>
            <w:vAlign w:val="center"/>
          </w:tcPr>
          <w:p w14:paraId="091C30F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0.15</w:t>
            </w:r>
          </w:p>
        </w:tc>
        <w:tc>
          <w:tcPr>
            <w:tcW w:w="578" w:type="pct"/>
            <w:tcBorders>
              <w:tl2br w:val="nil"/>
              <w:tr2bl w:val="nil"/>
            </w:tcBorders>
            <w:tcMar>
              <w:top w:w="15" w:type="dxa"/>
              <w:left w:w="15" w:type="dxa"/>
              <w:right w:w="15" w:type="dxa"/>
            </w:tcMar>
            <w:vAlign w:val="center"/>
          </w:tcPr>
          <w:p w14:paraId="5B37C0F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达标</w:t>
            </w:r>
          </w:p>
        </w:tc>
      </w:tr>
    </w:tbl>
    <w:p w14:paraId="6566FE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FF0000"/>
          <w:sz w:val="24"/>
          <w:szCs w:val="24"/>
          <w:lang w:val="en-US" w:eastAsia="zh-CN"/>
        </w:rPr>
      </w:pPr>
      <w:r>
        <w:rPr>
          <w:rFonts w:hint="default" w:ascii="Times New Roman" w:hAnsi="Times New Roman" w:eastAsia="宋体" w:cs="Times New Roman"/>
          <w:b/>
          <w:bCs/>
          <w:color w:val="FF0000"/>
          <w:sz w:val="24"/>
          <w:szCs w:val="24"/>
          <w:lang w:val="en-US" w:eastAsia="zh-CN"/>
        </w:rPr>
        <w:t>表6.2-1</w:t>
      </w:r>
      <w:r>
        <w:rPr>
          <w:rFonts w:hint="eastAsia" w:eastAsia="宋体" w:cs="Times New Roman"/>
          <w:b/>
          <w:bCs/>
          <w:color w:val="FF0000"/>
          <w:sz w:val="24"/>
          <w:szCs w:val="24"/>
          <w:lang w:val="en-US" w:eastAsia="zh-CN"/>
        </w:rPr>
        <w:t xml:space="preserve">9 </w:t>
      </w:r>
      <w:r>
        <w:rPr>
          <w:rFonts w:hint="default" w:ascii="Times New Roman" w:hAnsi="Times New Roman" w:eastAsia="宋体" w:cs="Times New Roman"/>
          <w:b/>
          <w:bCs/>
          <w:color w:val="FF0000"/>
          <w:sz w:val="24"/>
          <w:szCs w:val="24"/>
          <w:lang w:val="en-US" w:eastAsia="zh-CN"/>
        </w:rPr>
        <w:t xml:space="preserve"> 本项目</w:t>
      </w:r>
      <w:r>
        <w:rPr>
          <w:rFonts w:hint="eastAsia" w:eastAsia="宋体" w:cs="Times New Roman"/>
          <w:b/>
          <w:bCs/>
          <w:color w:val="FF0000"/>
          <w:sz w:val="24"/>
          <w:szCs w:val="24"/>
          <w:lang w:val="en-US" w:eastAsia="zh-CN"/>
        </w:rPr>
        <w:t>NH</w:t>
      </w:r>
      <w:r>
        <w:rPr>
          <w:rFonts w:hint="eastAsia" w:eastAsia="宋体" w:cs="Times New Roman"/>
          <w:b/>
          <w:bCs/>
          <w:color w:val="FF0000"/>
          <w:sz w:val="24"/>
          <w:szCs w:val="24"/>
          <w:vertAlign w:val="subscript"/>
          <w:lang w:val="en-US" w:eastAsia="zh-CN"/>
        </w:rPr>
        <w:t>3</w:t>
      </w:r>
      <w:r>
        <w:rPr>
          <w:rFonts w:hint="default" w:ascii="Times New Roman" w:hAnsi="Times New Roman" w:eastAsia="宋体" w:cs="Times New Roman"/>
          <w:b/>
          <w:bCs/>
          <w:color w:val="FF0000"/>
          <w:sz w:val="24"/>
          <w:szCs w:val="24"/>
          <w:lang w:val="en-US" w:eastAsia="zh-CN"/>
        </w:rPr>
        <w:t>贡献质量浓度预测结果表</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38"/>
        <w:gridCol w:w="1865"/>
        <w:gridCol w:w="1078"/>
        <w:gridCol w:w="1100"/>
        <w:gridCol w:w="1225"/>
        <w:gridCol w:w="1210"/>
        <w:gridCol w:w="1011"/>
      </w:tblGrid>
      <w:tr w14:paraId="18B607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tcBorders>
              <w:tl2br w:val="nil"/>
              <w:tr2bl w:val="nil"/>
            </w:tcBorders>
            <w:tcMar>
              <w:top w:w="15" w:type="dxa"/>
              <w:left w:w="15" w:type="dxa"/>
              <w:right w:w="15" w:type="dxa"/>
            </w:tcMar>
            <w:vAlign w:val="center"/>
          </w:tcPr>
          <w:p w14:paraId="238AFE04">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污染物</w:t>
            </w:r>
          </w:p>
        </w:tc>
        <w:tc>
          <w:tcPr>
            <w:tcW w:w="1119" w:type="pct"/>
            <w:tcBorders>
              <w:tl2br w:val="nil"/>
              <w:tr2bl w:val="nil"/>
            </w:tcBorders>
            <w:tcMar>
              <w:top w:w="15" w:type="dxa"/>
              <w:left w:w="15" w:type="dxa"/>
              <w:right w:w="15" w:type="dxa"/>
            </w:tcMar>
            <w:vAlign w:val="center"/>
          </w:tcPr>
          <w:p w14:paraId="417F0A1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预测点</w:t>
            </w:r>
          </w:p>
        </w:tc>
        <w:tc>
          <w:tcPr>
            <w:tcW w:w="647" w:type="pct"/>
            <w:tcBorders>
              <w:tl2br w:val="nil"/>
              <w:tr2bl w:val="nil"/>
            </w:tcBorders>
            <w:tcMar>
              <w:top w:w="15" w:type="dxa"/>
              <w:left w:w="15" w:type="dxa"/>
              <w:right w:w="15" w:type="dxa"/>
            </w:tcMar>
            <w:vAlign w:val="center"/>
          </w:tcPr>
          <w:p w14:paraId="0F648B8A">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平均时段</w:t>
            </w:r>
          </w:p>
        </w:tc>
        <w:tc>
          <w:tcPr>
            <w:tcW w:w="660" w:type="pct"/>
            <w:tcBorders>
              <w:tl2br w:val="nil"/>
              <w:tr2bl w:val="nil"/>
            </w:tcBorders>
            <w:tcMar>
              <w:top w:w="15" w:type="dxa"/>
              <w:left w:w="15" w:type="dxa"/>
              <w:right w:w="15" w:type="dxa"/>
            </w:tcMar>
            <w:vAlign w:val="center"/>
          </w:tcPr>
          <w:p w14:paraId="542D52D3">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最大贡献值/</w:t>
            </w:r>
            <w:r>
              <w:rPr>
                <w:rStyle w:val="120"/>
                <w:rFonts w:hint="default" w:ascii="Times New Roman" w:hAnsi="Times New Roman" w:cs="Times New Roman"/>
                <w:color w:val="FF0000"/>
                <w:lang w:bidi="ar"/>
              </w:rPr>
              <w:t>（μ</w:t>
            </w:r>
            <w:r>
              <w:rPr>
                <w:rFonts w:ascii="Times New Roman" w:hAnsi="Times New Roman" w:eastAsia="宋体" w:cs="Times New Roman"/>
                <w:color w:val="FF0000"/>
                <w:kern w:val="0"/>
                <w:sz w:val="21"/>
                <w:szCs w:val="21"/>
                <w:lang w:bidi="ar"/>
              </w:rPr>
              <w:t>g/m</w:t>
            </w:r>
            <w:r>
              <w:rPr>
                <w:rFonts w:ascii="Times New Roman" w:hAnsi="Times New Roman" w:eastAsia="宋体" w:cs="Times New Roman"/>
                <w:color w:val="FF0000"/>
                <w:kern w:val="0"/>
                <w:sz w:val="21"/>
                <w:szCs w:val="21"/>
                <w:vertAlign w:val="superscript"/>
                <w:lang w:bidi="ar"/>
              </w:rPr>
              <w:t>3</w:t>
            </w:r>
            <w:r>
              <w:rPr>
                <w:rStyle w:val="120"/>
                <w:rFonts w:hint="default" w:ascii="Times New Roman" w:hAnsi="Times New Roman" w:cs="Times New Roman"/>
                <w:color w:val="FF0000"/>
                <w:lang w:bidi="ar"/>
              </w:rPr>
              <w:t>）</w:t>
            </w:r>
          </w:p>
        </w:tc>
        <w:tc>
          <w:tcPr>
            <w:tcW w:w="735" w:type="pct"/>
            <w:tcBorders>
              <w:tl2br w:val="nil"/>
              <w:tr2bl w:val="nil"/>
            </w:tcBorders>
            <w:tcMar>
              <w:top w:w="15" w:type="dxa"/>
              <w:left w:w="15" w:type="dxa"/>
              <w:right w:w="15" w:type="dxa"/>
            </w:tcMar>
            <w:vAlign w:val="center"/>
          </w:tcPr>
          <w:p w14:paraId="0A43B3BE">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出现时间</w:t>
            </w:r>
          </w:p>
        </w:tc>
        <w:tc>
          <w:tcPr>
            <w:tcW w:w="726" w:type="pct"/>
            <w:tcBorders>
              <w:tl2br w:val="nil"/>
              <w:tr2bl w:val="nil"/>
            </w:tcBorders>
            <w:tcMar>
              <w:top w:w="15" w:type="dxa"/>
              <w:left w:w="15" w:type="dxa"/>
              <w:right w:w="15" w:type="dxa"/>
            </w:tcMar>
            <w:vAlign w:val="center"/>
          </w:tcPr>
          <w:p w14:paraId="59B473D3">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占标率/</w:t>
            </w:r>
            <w:r>
              <w:rPr>
                <w:rStyle w:val="120"/>
                <w:rFonts w:hint="default" w:ascii="Times New Roman" w:hAnsi="Times New Roman" w:cs="Times New Roman"/>
                <w:color w:val="FF0000"/>
                <w:lang w:bidi="ar"/>
              </w:rPr>
              <w:t>（</w:t>
            </w:r>
            <w:r>
              <w:rPr>
                <w:rStyle w:val="121"/>
                <w:rFonts w:eastAsia="宋体"/>
                <w:color w:val="FF0000"/>
                <w:lang w:bidi="ar"/>
              </w:rPr>
              <w:t>%</w:t>
            </w:r>
            <w:r>
              <w:rPr>
                <w:rStyle w:val="120"/>
                <w:rFonts w:hint="default" w:ascii="Times New Roman" w:hAnsi="Times New Roman" w:cs="Times New Roman"/>
                <w:color w:val="FF0000"/>
                <w:lang w:bidi="ar"/>
              </w:rPr>
              <w:t>）</w:t>
            </w:r>
          </w:p>
        </w:tc>
        <w:tc>
          <w:tcPr>
            <w:tcW w:w="606" w:type="pct"/>
            <w:tcBorders>
              <w:tl2br w:val="nil"/>
              <w:tr2bl w:val="nil"/>
            </w:tcBorders>
            <w:tcMar>
              <w:top w:w="15" w:type="dxa"/>
              <w:left w:w="15" w:type="dxa"/>
              <w:right w:w="15" w:type="dxa"/>
            </w:tcMar>
            <w:vAlign w:val="center"/>
          </w:tcPr>
          <w:p w14:paraId="3D0E64C8">
            <w:pPr>
              <w:keepNext w:val="0"/>
              <w:keepLines w:val="0"/>
              <w:pageBreakBefore w:val="0"/>
              <w:widowControl/>
              <w:kinsoku/>
              <w:wordWrap/>
              <w:overflowPunct/>
              <w:topLinePunct w:val="0"/>
              <w:bidi w:val="0"/>
              <w:snapToGrid/>
              <w:spacing w:line="320" w:lineRule="exact"/>
              <w:ind w:firstLine="0" w:firstLineChars="0"/>
              <w:jc w:val="center"/>
              <w:textAlignment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达标情况</w:t>
            </w:r>
          </w:p>
        </w:tc>
      </w:tr>
      <w:tr w14:paraId="1449D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restart"/>
            <w:tcBorders>
              <w:tl2br w:val="nil"/>
              <w:tr2bl w:val="nil"/>
            </w:tcBorders>
            <w:tcMar>
              <w:top w:w="15" w:type="dxa"/>
              <w:left w:w="15" w:type="dxa"/>
              <w:right w:w="15" w:type="dxa"/>
            </w:tcMar>
            <w:vAlign w:val="center"/>
          </w:tcPr>
          <w:p w14:paraId="7F095805">
            <w:pPr>
              <w:pStyle w:val="53"/>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olor w:val="FF0000"/>
                <w:sz w:val="21"/>
                <w:szCs w:val="21"/>
                <w:lang w:val="en-US" w:eastAsia="zh-CN"/>
              </w:rPr>
            </w:pPr>
            <w:r>
              <w:rPr>
                <w:rFonts w:hint="eastAsia" w:ascii="Times New Roman" w:hAnsi="Times New Roman" w:cs="Times New Roman"/>
                <w:color w:val="FF0000"/>
                <w:kern w:val="0"/>
                <w:sz w:val="21"/>
                <w:szCs w:val="21"/>
                <w:lang w:val="en-US" w:eastAsia="zh-CN" w:bidi="ar"/>
              </w:rPr>
              <w:t>氨</w:t>
            </w:r>
          </w:p>
        </w:tc>
        <w:tc>
          <w:tcPr>
            <w:tcW w:w="1119" w:type="pct"/>
            <w:tcBorders>
              <w:tl2br w:val="nil"/>
              <w:tr2bl w:val="nil"/>
            </w:tcBorders>
            <w:tcMar>
              <w:top w:w="15" w:type="dxa"/>
              <w:left w:w="15" w:type="dxa"/>
              <w:right w:w="15" w:type="dxa"/>
            </w:tcMar>
            <w:vAlign w:val="center"/>
          </w:tcPr>
          <w:p w14:paraId="3EEF9A1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八五二农场场部</w:t>
            </w:r>
          </w:p>
        </w:tc>
        <w:tc>
          <w:tcPr>
            <w:tcW w:w="647" w:type="pct"/>
            <w:tcBorders>
              <w:tl2br w:val="nil"/>
              <w:tr2bl w:val="nil"/>
            </w:tcBorders>
            <w:tcMar>
              <w:top w:w="15" w:type="dxa"/>
              <w:left w:w="15" w:type="dxa"/>
              <w:right w:w="15" w:type="dxa"/>
            </w:tcMar>
            <w:vAlign w:val="center"/>
          </w:tcPr>
          <w:p w14:paraId="2F3DCC4D">
            <w:pPr>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55F0D31F">
            <w:pPr>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0.11675</w:t>
            </w:r>
          </w:p>
        </w:tc>
        <w:tc>
          <w:tcPr>
            <w:tcW w:w="735" w:type="pct"/>
            <w:tcBorders>
              <w:tl2br w:val="nil"/>
              <w:tr2bl w:val="nil"/>
            </w:tcBorders>
            <w:noWrap/>
            <w:tcMar>
              <w:top w:w="15" w:type="dxa"/>
              <w:left w:w="15" w:type="dxa"/>
              <w:right w:w="15" w:type="dxa"/>
            </w:tcMar>
            <w:vAlign w:val="center"/>
          </w:tcPr>
          <w:p w14:paraId="7CB399D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24103012</w:t>
            </w:r>
          </w:p>
        </w:tc>
        <w:tc>
          <w:tcPr>
            <w:tcW w:w="726" w:type="pct"/>
            <w:tcBorders>
              <w:tl2br w:val="nil"/>
              <w:tr2bl w:val="nil"/>
            </w:tcBorders>
            <w:noWrap/>
            <w:tcMar>
              <w:top w:w="15" w:type="dxa"/>
              <w:left w:w="15" w:type="dxa"/>
              <w:right w:w="15" w:type="dxa"/>
            </w:tcMar>
            <w:vAlign w:val="center"/>
          </w:tcPr>
          <w:p w14:paraId="0A9F1086">
            <w:pPr>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0.06</w:t>
            </w:r>
          </w:p>
        </w:tc>
        <w:tc>
          <w:tcPr>
            <w:tcW w:w="606" w:type="pct"/>
            <w:tcBorders>
              <w:tl2br w:val="nil"/>
              <w:tr2bl w:val="nil"/>
            </w:tcBorders>
            <w:tcMar>
              <w:top w:w="15" w:type="dxa"/>
              <w:left w:w="15" w:type="dxa"/>
              <w:right w:w="15" w:type="dxa"/>
            </w:tcMar>
            <w:vAlign w:val="center"/>
          </w:tcPr>
          <w:p w14:paraId="0B37DC7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41DAA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3DD1E1EE">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2C6F0CC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和平管理区</w:t>
            </w:r>
          </w:p>
        </w:tc>
        <w:tc>
          <w:tcPr>
            <w:tcW w:w="647" w:type="pct"/>
            <w:tcBorders>
              <w:tl2br w:val="nil"/>
              <w:tr2bl w:val="nil"/>
            </w:tcBorders>
            <w:tcMar>
              <w:top w:w="15" w:type="dxa"/>
              <w:left w:w="15" w:type="dxa"/>
              <w:right w:w="15" w:type="dxa"/>
            </w:tcMar>
            <w:vAlign w:val="center"/>
          </w:tcPr>
          <w:p w14:paraId="753101E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1EF15AB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0.13532</w:t>
            </w:r>
          </w:p>
        </w:tc>
        <w:tc>
          <w:tcPr>
            <w:tcW w:w="735" w:type="pct"/>
            <w:tcBorders>
              <w:tl2br w:val="nil"/>
              <w:tr2bl w:val="nil"/>
            </w:tcBorders>
            <w:noWrap/>
            <w:tcMar>
              <w:top w:w="15" w:type="dxa"/>
              <w:left w:w="15" w:type="dxa"/>
              <w:right w:w="15" w:type="dxa"/>
            </w:tcMar>
            <w:vAlign w:val="center"/>
          </w:tcPr>
          <w:p w14:paraId="0A33812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24123111</w:t>
            </w:r>
          </w:p>
        </w:tc>
        <w:tc>
          <w:tcPr>
            <w:tcW w:w="726" w:type="pct"/>
            <w:tcBorders>
              <w:tl2br w:val="nil"/>
              <w:tr2bl w:val="nil"/>
            </w:tcBorders>
            <w:noWrap/>
            <w:tcMar>
              <w:top w:w="15" w:type="dxa"/>
              <w:left w:w="15" w:type="dxa"/>
              <w:right w:w="15" w:type="dxa"/>
            </w:tcMar>
            <w:vAlign w:val="center"/>
          </w:tcPr>
          <w:p w14:paraId="65D83A7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0.07</w:t>
            </w:r>
          </w:p>
        </w:tc>
        <w:tc>
          <w:tcPr>
            <w:tcW w:w="606" w:type="pct"/>
            <w:tcBorders>
              <w:tl2br w:val="nil"/>
              <w:tr2bl w:val="nil"/>
            </w:tcBorders>
            <w:tcMar>
              <w:top w:w="15" w:type="dxa"/>
              <w:left w:w="15" w:type="dxa"/>
              <w:right w:w="15" w:type="dxa"/>
            </w:tcMar>
            <w:vAlign w:val="center"/>
          </w:tcPr>
          <w:p w14:paraId="5C339B4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54E4C3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525BC3D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70DC4A2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南林小区</w:t>
            </w:r>
          </w:p>
        </w:tc>
        <w:tc>
          <w:tcPr>
            <w:tcW w:w="647" w:type="pct"/>
            <w:tcBorders>
              <w:tl2br w:val="nil"/>
              <w:tr2bl w:val="nil"/>
            </w:tcBorders>
            <w:tcMar>
              <w:top w:w="15" w:type="dxa"/>
              <w:left w:w="15" w:type="dxa"/>
              <w:right w:w="15" w:type="dxa"/>
            </w:tcMar>
            <w:vAlign w:val="center"/>
          </w:tcPr>
          <w:p w14:paraId="2BCBB34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65F85A3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0.10216</w:t>
            </w:r>
          </w:p>
        </w:tc>
        <w:tc>
          <w:tcPr>
            <w:tcW w:w="735" w:type="pct"/>
            <w:tcBorders>
              <w:tl2br w:val="nil"/>
              <w:tr2bl w:val="nil"/>
            </w:tcBorders>
            <w:noWrap/>
            <w:tcMar>
              <w:top w:w="15" w:type="dxa"/>
              <w:left w:w="15" w:type="dxa"/>
              <w:right w:w="15" w:type="dxa"/>
            </w:tcMar>
            <w:vAlign w:val="center"/>
          </w:tcPr>
          <w:p w14:paraId="4ABDF86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24100709</w:t>
            </w:r>
          </w:p>
        </w:tc>
        <w:tc>
          <w:tcPr>
            <w:tcW w:w="726" w:type="pct"/>
            <w:tcBorders>
              <w:tl2br w:val="nil"/>
              <w:tr2bl w:val="nil"/>
            </w:tcBorders>
            <w:noWrap/>
            <w:tcMar>
              <w:top w:w="15" w:type="dxa"/>
              <w:left w:w="15" w:type="dxa"/>
              <w:right w:w="15" w:type="dxa"/>
            </w:tcMar>
            <w:vAlign w:val="center"/>
          </w:tcPr>
          <w:p w14:paraId="0E9676A8">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0.05</w:t>
            </w:r>
          </w:p>
        </w:tc>
        <w:tc>
          <w:tcPr>
            <w:tcW w:w="606" w:type="pct"/>
            <w:tcBorders>
              <w:tl2br w:val="nil"/>
              <w:tr2bl w:val="nil"/>
            </w:tcBorders>
            <w:tcMar>
              <w:top w:w="15" w:type="dxa"/>
              <w:left w:w="15" w:type="dxa"/>
              <w:right w:w="15" w:type="dxa"/>
            </w:tcMar>
            <w:vAlign w:val="center"/>
          </w:tcPr>
          <w:p w14:paraId="07B084A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14A02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14EA7238">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6E4392F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八五二农场四分场</w:t>
            </w:r>
          </w:p>
        </w:tc>
        <w:tc>
          <w:tcPr>
            <w:tcW w:w="647" w:type="pct"/>
            <w:tcBorders>
              <w:tl2br w:val="nil"/>
              <w:tr2bl w:val="nil"/>
            </w:tcBorders>
            <w:tcMar>
              <w:top w:w="15" w:type="dxa"/>
              <w:left w:w="15" w:type="dxa"/>
              <w:right w:w="15" w:type="dxa"/>
            </w:tcMar>
            <w:vAlign w:val="center"/>
          </w:tcPr>
          <w:p w14:paraId="1F203CC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33E7783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0.06153</w:t>
            </w:r>
          </w:p>
        </w:tc>
        <w:tc>
          <w:tcPr>
            <w:tcW w:w="735" w:type="pct"/>
            <w:tcBorders>
              <w:tl2br w:val="nil"/>
              <w:tr2bl w:val="nil"/>
            </w:tcBorders>
            <w:noWrap/>
            <w:tcMar>
              <w:top w:w="15" w:type="dxa"/>
              <w:left w:w="15" w:type="dxa"/>
              <w:right w:w="15" w:type="dxa"/>
            </w:tcMar>
            <w:vAlign w:val="center"/>
          </w:tcPr>
          <w:p w14:paraId="7733CFE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24123111</w:t>
            </w:r>
          </w:p>
        </w:tc>
        <w:tc>
          <w:tcPr>
            <w:tcW w:w="726" w:type="pct"/>
            <w:tcBorders>
              <w:tl2br w:val="nil"/>
              <w:tr2bl w:val="nil"/>
            </w:tcBorders>
            <w:noWrap/>
            <w:tcMar>
              <w:top w:w="15" w:type="dxa"/>
              <w:left w:w="15" w:type="dxa"/>
              <w:right w:w="15" w:type="dxa"/>
            </w:tcMar>
            <w:vAlign w:val="center"/>
          </w:tcPr>
          <w:p w14:paraId="0487236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0.03</w:t>
            </w:r>
          </w:p>
        </w:tc>
        <w:tc>
          <w:tcPr>
            <w:tcW w:w="606" w:type="pct"/>
            <w:tcBorders>
              <w:tl2br w:val="nil"/>
              <w:tr2bl w:val="nil"/>
            </w:tcBorders>
            <w:tcMar>
              <w:top w:w="15" w:type="dxa"/>
              <w:left w:w="15" w:type="dxa"/>
              <w:right w:w="15" w:type="dxa"/>
            </w:tcMar>
            <w:vAlign w:val="center"/>
          </w:tcPr>
          <w:p w14:paraId="7616D48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554A9F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1AC8C7F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606A2CF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八五二农场副业队</w:t>
            </w:r>
          </w:p>
        </w:tc>
        <w:tc>
          <w:tcPr>
            <w:tcW w:w="647" w:type="pct"/>
            <w:tcBorders>
              <w:tl2br w:val="nil"/>
              <w:tr2bl w:val="nil"/>
            </w:tcBorders>
            <w:tcMar>
              <w:top w:w="15" w:type="dxa"/>
              <w:left w:w="15" w:type="dxa"/>
              <w:right w:w="15" w:type="dxa"/>
            </w:tcMar>
            <w:vAlign w:val="center"/>
          </w:tcPr>
          <w:p w14:paraId="67AAAB5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37C01D0A">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0.0933</w:t>
            </w:r>
          </w:p>
        </w:tc>
        <w:tc>
          <w:tcPr>
            <w:tcW w:w="735" w:type="pct"/>
            <w:tcBorders>
              <w:tl2br w:val="nil"/>
              <w:tr2bl w:val="nil"/>
            </w:tcBorders>
            <w:noWrap/>
            <w:tcMar>
              <w:top w:w="15" w:type="dxa"/>
              <w:left w:w="15" w:type="dxa"/>
              <w:right w:w="15" w:type="dxa"/>
            </w:tcMar>
            <w:vAlign w:val="center"/>
          </w:tcPr>
          <w:p w14:paraId="022748B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24123111</w:t>
            </w:r>
          </w:p>
        </w:tc>
        <w:tc>
          <w:tcPr>
            <w:tcW w:w="726" w:type="pct"/>
            <w:tcBorders>
              <w:tl2br w:val="nil"/>
              <w:tr2bl w:val="nil"/>
            </w:tcBorders>
            <w:noWrap/>
            <w:tcMar>
              <w:top w:w="15" w:type="dxa"/>
              <w:left w:w="15" w:type="dxa"/>
              <w:right w:w="15" w:type="dxa"/>
            </w:tcMar>
            <w:vAlign w:val="center"/>
          </w:tcPr>
          <w:p w14:paraId="19FFD38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0.05</w:t>
            </w:r>
          </w:p>
        </w:tc>
        <w:tc>
          <w:tcPr>
            <w:tcW w:w="606" w:type="pct"/>
            <w:tcBorders>
              <w:tl2br w:val="nil"/>
              <w:tr2bl w:val="nil"/>
            </w:tcBorders>
            <w:tcMar>
              <w:top w:w="15" w:type="dxa"/>
              <w:left w:w="15" w:type="dxa"/>
              <w:right w:w="15" w:type="dxa"/>
            </w:tcMar>
            <w:vAlign w:val="center"/>
          </w:tcPr>
          <w:p w14:paraId="2AABF3D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0EB71E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3BEB3CB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0B61BB5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八五二农场种畜站</w:t>
            </w:r>
          </w:p>
        </w:tc>
        <w:tc>
          <w:tcPr>
            <w:tcW w:w="647" w:type="pct"/>
            <w:tcBorders>
              <w:tl2br w:val="nil"/>
              <w:tr2bl w:val="nil"/>
            </w:tcBorders>
            <w:tcMar>
              <w:top w:w="15" w:type="dxa"/>
              <w:left w:w="15" w:type="dxa"/>
              <w:right w:w="15" w:type="dxa"/>
            </w:tcMar>
            <w:vAlign w:val="center"/>
          </w:tcPr>
          <w:p w14:paraId="4402548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0A484702">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0.05637</w:t>
            </w:r>
          </w:p>
        </w:tc>
        <w:tc>
          <w:tcPr>
            <w:tcW w:w="735" w:type="pct"/>
            <w:tcBorders>
              <w:tl2br w:val="nil"/>
              <w:tr2bl w:val="nil"/>
            </w:tcBorders>
            <w:noWrap/>
            <w:tcMar>
              <w:top w:w="15" w:type="dxa"/>
              <w:left w:w="15" w:type="dxa"/>
              <w:right w:w="15" w:type="dxa"/>
            </w:tcMar>
            <w:vAlign w:val="center"/>
          </w:tcPr>
          <w:p w14:paraId="712D45D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24032108</w:t>
            </w:r>
          </w:p>
        </w:tc>
        <w:tc>
          <w:tcPr>
            <w:tcW w:w="726" w:type="pct"/>
            <w:tcBorders>
              <w:tl2br w:val="nil"/>
              <w:tr2bl w:val="nil"/>
            </w:tcBorders>
            <w:noWrap/>
            <w:tcMar>
              <w:top w:w="15" w:type="dxa"/>
              <w:left w:w="15" w:type="dxa"/>
              <w:right w:w="15" w:type="dxa"/>
            </w:tcMar>
            <w:vAlign w:val="center"/>
          </w:tcPr>
          <w:p w14:paraId="73957AC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0.03</w:t>
            </w:r>
          </w:p>
        </w:tc>
        <w:tc>
          <w:tcPr>
            <w:tcW w:w="606" w:type="pct"/>
            <w:tcBorders>
              <w:tl2br w:val="nil"/>
              <w:tr2bl w:val="nil"/>
            </w:tcBorders>
            <w:tcMar>
              <w:top w:w="15" w:type="dxa"/>
              <w:left w:w="15" w:type="dxa"/>
              <w:right w:w="15" w:type="dxa"/>
            </w:tcMar>
            <w:vAlign w:val="center"/>
          </w:tcPr>
          <w:p w14:paraId="2567F14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40D1A1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7847FE7A">
            <w:pPr>
              <w:pStyle w:val="53"/>
              <w:keepNext w:val="0"/>
              <w:keepLines w:val="0"/>
              <w:pageBreakBefore w:val="0"/>
              <w:kinsoku/>
              <w:wordWrap/>
              <w:overflowPunct/>
              <w:topLinePunct w:val="0"/>
              <w:bidi w:val="0"/>
              <w:snapToGrid/>
              <w:spacing w:line="320" w:lineRule="exact"/>
              <w:ind w:firstLine="0" w:firstLineChars="0"/>
              <w:jc w:val="center"/>
              <w:rPr>
                <w:rFonts w:ascii="Times New Roman" w:hAnsi="Times New Roman"/>
                <w:color w:val="FF0000"/>
                <w:sz w:val="21"/>
                <w:szCs w:val="21"/>
              </w:rPr>
            </w:pPr>
          </w:p>
        </w:tc>
        <w:tc>
          <w:tcPr>
            <w:tcW w:w="1119" w:type="pct"/>
            <w:tcBorders>
              <w:tl2br w:val="nil"/>
              <w:tr2bl w:val="nil"/>
            </w:tcBorders>
            <w:tcMar>
              <w:top w:w="15" w:type="dxa"/>
              <w:left w:w="15" w:type="dxa"/>
              <w:right w:w="15" w:type="dxa"/>
            </w:tcMar>
            <w:vAlign w:val="center"/>
          </w:tcPr>
          <w:p w14:paraId="181A300C">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迎春林业局光明林场</w:t>
            </w:r>
          </w:p>
        </w:tc>
        <w:tc>
          <w:tcPr>
            <w:tcW w:w="647" w:type="pct"/>
            <w:tcBorders>
              <w:tl2br w:val="nil"/>
              <w:tr2bl w:val="nil"/>
            </w:tcBorders>
            <w:tcMar>
              <w:top w:w="15" w:type="dxa"/>
              <w:left w:w="15" w:type="dxa"/>
              <w:right w:w="15" w:type="dxa"/>
            </w:tcMar>
            <w:vAlign w:val="center"/>
          </w:tcPr>
          <w:p w14:paraId="4734D140">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2FF4BE8E">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0.05242</w:t>
            </w:r>
          </w:p>
        </w:tc>
        <w:tc>
          <w:tcPr>
            <w:tcW w:w="735" w:type="pct"/>
            <w:tcBorders>
              <w:tl2br w:val="nil"/>
              <w:tr2bl w:val="nil"/>
            </w:tcBorders>
            <w:noWrap/>
            <w:tcMar>
              <w:top w:w="15" w:type="dxa"/>
              <w:left w:w="15" w:type="dxa"/>
              <w:right w:w="15" w:type="dxa"/>
            </w:tcMar>
            <w:vAlign w:val="center"/>
          </w:tcPr>
          <w:p w14:paraId="134E0EC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24112910</w:t>
            </w:r>
          </w:p>
        </w:tc>
        <w:tc>
          <w:tcPr>
            <w:tcW w:w="726" w:type="pct"/>
            <w:tcBorders>
              <w:tl2br w:val="nil"/>
              <w:tr2bl w:val="nil"/>
            </w:tcBorders>
            <w:noWrap/>
            <w:tcMar>
              <w:top w:w="15" w:type="dxa"/>
              <w:left w:w="15" w:type="dxa"/>
              <w:right w:w="15" w:type="dxa"/>
            </w:tcMar>
            <w:vAlign w:val="center"/>
          </w:tcPr>
          <w:p w14:paraId="7ECD77E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0.03</w:t>
            </w:r>
          </w:p>
        </w:tc>
        <w:tc>
          <w:tcPr>
            <w:tcW w:w="606" w:type="pct"/>
            <w:tcBorders>
              <w:tl2br w:val="nil"/>
              <w:tr2bl w:val="nil"/>
            </w:tcBorders>
            <w:tcMar>
              <w:top w:w="15" w:type="dxa"/>
              <w:left w:w="15" w:type="dxa"/>
              <w:right w:w="15" w:type="dxa"/>
            </w:tcMar>
            <w:vAlign w:val="center"/>
          </w:tcPr>
          <w:p w14:paraId="5A2DDD21">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52B1E5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0AF66579">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6EDFFE6F">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kern w:val="0"/>
                <w:sz w:val="21"/>
                <w:szCs w:val="21"/>
                <w:lang w:bidi="ar"/>
              </w:rPr>
            </w:pPr>
            <w:r>
              <w:rPr>
                <w:rFonts w:hint="eastAsia" w:ascii="Times New Roman" w:hAnsi="Times New Roman" w:eastAsia="宋体" w:cs="Times New Roman"/>
                <w:color w:val="FF0000"/>
                <w:sz w:val="21"/>
                <w:szCs w:val="21"/>
              </w:rPr>
              <w:t>虎宝工厂南林工段</w:t>
            </w:r>
          </w:p>
        </w:tc>
        <w:tc>
          <w:tcPr>
            <w:tcW w:w="647" w:type="pct"/>
            <w:tcBorders>
              <w:tl2br w:val="nil"/>
              <w:tr2bl w:val="nil"/>
            </w:tcBorders>
            <w:tcMar>
              <w:top w:w="15" w:type="dxa"/>
              <w:left w:w="15" w:type="dxa"/>
              <w:right w:w="15" w:type="dxa"/>
            </w:tcMar>
            <w:vAlign w:val="center"/>
          </w:tcPr>
          <w:p w14:paraId="688BAFA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118E9DB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0.05147</w:t>
            </w:r>
          </w:p>
        </w:tc>
        <w:tc>
          <w:tcPr>
            <w:tcW w:w="735" w:type="pct"/>
            <w:tcBorders>
              <w:tl2br w:val="nil"/>
              <w:tr2bl w:val="nil"/>
            </w:tcBorders>
            <w:noWrap/>
            <w:tcMar>
              <w:top w:w="15" w:type="dxa"/>
              <w:left w:w="15" w:type="dxa"/>
              <w:right w:w="15" w:type="dxa"/>
            </w:tcMar>
            <w:vAlign w:val="center"/>
          </w:tcPr>
          <w:p w14:paraId="10F85427">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24112913</w:t>
            </w:r>
          </w:p>
        </w:tc>
        <w:tc>
          <w:tcPr>
            <w:tcW w:w="726" w:type="pct"/>
            <w:tcBorders>
              <w:tl2br w:val="nil"/>
              <w:tr2bl w:val="nil"/>
            </w:tcBorders>
            <w:noWrap/>
            <w:tcMar>
              <w:top w:w="15" w:type="dxa"/>
              <w:left w:w="15" w:type="dxa"/>
              <w:right w:w="15" w:type="dxa"/>
            </w:tcMar>
            <w:vAlign w:val="center"/>
          </w:tcPr>
          <w:p w14:paraId="6E3B34D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0.03</w:t>
            </w:r>
          </w:p>
        </w:tc>
        <w:tc>
          <w:tcPr>
            <w:tcW w:w="606" w:type="pct"/>
            <w:tcBorders>
              <w:tl2br w:val="nil"/>
              <w:tr2bl w:val="nil"/>
            </w:tcBorders>
            <w:tcMar>
              <w:top w:w="15" w:type="dxa"/>
              <w:left w:w="15" w:type="dxa"/>
              <w:right w:w="15" w:type="dxa"/>
            </w:tcMar>
            <w:vAlign w:val="center"/>
          </w:tcPr>
          <w:p w14:paraId="4B6DFB77">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6F75FE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682EBD22">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020F3D6B">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kern w:val="0"/>
                <w:sz w:val="21"/>
                <w:szCs w:val="21"/>
                <w:lang w:bidi="ar"/>
              </w:rPr>
            </w:pPr>
            <w:r>
              <w:rPr>
                <w:rFonts w:hint="eastAsia" w:ascii="Times New Roman" w:hAnsi="Times New Roman" w:eastAsia="宋体" w:cs="Times New Roman"/>
                <w:color w:val="FF0000"/>
                <w:sz w:val="21"/>
                <w:szCs w:val="21"/>
              </w:rPr>
              <w:t>虎宝村</w:t>
            </w:r>
          </w:p>
        </w:tc>
        <w:tc>
          <w:tcPr>
            <w:tcW w:w="647" w:type="pct"/>
            <w:tcBorders>
              <w:tl2br w:val="nil"/>
              <w:tr2bl w:val="nil"/>
            </w:tcBorders>
            <w:tcMar>
              <w:top w:w="15" w:type="dxa"/>
              <w:left w:w="15" w:type="dxa"/>
              <w:right w:w="15" w:type="dxa"/>
            </w:tcMar>
            <w:vAlign w:val="center"/>
          </w:tcPr>
          <w:p w14:paraId="0F8DD205">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396D82C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0.04224</w:t>
            </w:r>
          </w:p>
        </w:tc>
        <w:tc>
          <w:tcPr>
            <w:tcW w:w="735" w:type="pct"/>
            <w:tcBorders>
              <w:tl2br w:val="nil"/>
              <w:tr2bl w:val="nil"/>
            </w:tcBorders>
            <w:noWrap/>
            <w:tcMar>
              <w:top w:w="15" w:type="dxa"/>
              <w:left w:w="15" w:type="dxa"/>
              <w:right w:w="15" w:type="dxa"/>
            </w:tcMar>
            <w:vAlign w:val="center"/>
          </w:tcPr>
          <w:p w14:paraId="3C0BA023">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24112913</w:t>
            </w:r>
          </w:p>
        </w:tc>
        <w:tc>
          <w:tcPr>
            <w:tcW w:w="726" w:type="pct"/>
            <w:tcBorders>
              <w:tl2br w:val="nil"/>
              <w:tr2bl w:val="nil"/>
            </w:tcBorders>
            <w:noWrap/>
            <w:tcMar>
              <w:top w:w="15" w:type="dxa"/>
              <w:left w:w="15" w:type="dxa"/>
              <w:right w:w="15" w:type="dxa"/>
            </w:tcMar>
            <w:vAlign w:val="center"/>
          </w:tcPr>
          <w:p w14:paraId="37B05A29">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0.02</w:t>
            </w:r>
          </w:p>
        </w:tc>
        <w:tc>
          <w:tcPr>
            <w:tcW w:w="606" w:type="pct"/>
            <w:tcBorders>
              <w:tl2br w:val="nil"/>
              <w:tr2bl w:val="nil"/>
            </w:tcBorders>
            <w:tcMar>
              <w:top w:w="15" w:type="dxa"/>
              <w:left w:w="15" w:type="dxa"/>
              <w:right w:w="15" w:type="dxa"/>
            </w:tcMar>
            <w:vAlign w:val="center"/>
          </w:tcPr>
          <w:p w14:paraId="5481B66A">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达标</w:t>
            </w:r>
          </w:p>
        </w:tc>
      </w:tr>
      <w:tr w14:paraId="141E15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03" w:type="pct"/>
            <w:vMerge w:val="continue"/>
            <w:tcBorders>
              <w:tl2br w:val="nil"/>
              <w:tr2bl w:val="nil"/>
            </w:tcBorders>
            <w:tcMar>
              <w:top w:w="15" w:type="dxa"/>
              <w:left w:w="15" w:type="dxa"/>
              <w:right w:w="15" w:type="dxa"/>
            </w:tcMar>
            <w:vAlign w:val="center"/>
          </w:tcPr>
          <w:p w14:paraId="4B43EA74">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sz w:val="21"/>
                <w:szCs w:val="21"/>
              </w:rPr>
            </w:pPr>
          </w:p>
        </w:tc>
        <w:tc>
          <w:tcPr>
            <w:tcW w:w="1119" w:type="pct"/>
            <w:tcBorders>
              <w:tl2br w:val="nil"/>
              <w:tr2bl w:val="nil"/>
            </w:tcBorders>
            <w:tcMar>
              <w:top w:w="15" w:type="dxa"/>
              <w:left w:w="15" w:type="dxa"/>
              <w:right w:w="15" w:type="dxa"/>
            </w:tcMar>
            <w:vAlign w:val="center"/>
          </w:tcPr>
          <w:p w14:paraId="02974885">
            <w:pPr>
              <w:keepNext w:val="0"/>
              <w:keepLines w:val="0"/>
              <w:pageBreakBefore w:val="0"/>
              <w:kinsoku/>
              <w:wordWrap/>
              <w:overflowPunct/>
              <w:topLinePunct w:val="0"/>
              <w:bidi w:val="0"/>
              <w:snapToGrid/>
              <w:spacing w:line="320" w:lineRule="exact"/>
              <w:ind w:firstLine="0" w:firstLineChars="0"/>
              <w:jc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sz w:val="21"/>
                <w:szCs w:val="21"/>
              </w:rPr>
              <w:t>区域最大落地浓度</w:t>
            </w:r>
          </w:p>
        </w:tc>
        <w:tc>
          <w:tcPr>
            <w:tcW w:w="647" w:type="pct"/>
            <w:tcBorders>
              <w:tl2br w:val="nil"/>
              <w:tr2bl w:val="nil"/>
            </w:tcBorders>
            <w:tcMar>
              <w:top w:w="15" w:type="dxa"/>
              <w:left w:w="15" w:type="dxa"/>
              <w:right w:w="15" w:type="dxa"/>
            </w:tcMar>
            <w:vAlign w:val="center"/>
          </w:tcPr>
          <w:p w14:paraId="4E11CD5B">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lang w:val="en-US" w:eastAsia="zh-CN"/>
              </w:rPr>
              <w:t>1小时</w:t>
            </w:r>
          </w:p>
        </w:tc>
        <w:tc>
          <w:tcPr>
            <w:tcW w:w="660" w:type="pct"/>
            <w:tcBorders>
              <w:tl2br w:val="nil"/>
              <w:tr2bl w:val="nil"/>
            </w:tcBorders>
            <w:noWrap/>
            <w:tcMar>
              <w:top w:w="15" w:type="dxa"/>
              <w:left w:w="15" w:type="dxa"/>
              <w:right w:w="15" w:type="dxa"/>
            </w:tcMar>
            <w:vAlign w:val="center"/>
          </w:tcPr>
          <w:p w14:paraId="00085071">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0.46251</w:t>
            </w:r>
          </w:p>
        </w:tc>
        <w:tc>
          <w:tcPr>
            <w:tcW w:w="735" w:type="pct"/>
            <w:tcBorders>
              <w:tl2br w:val="nil"/>
              <w:tr2bl w:val="nil"/>
            </w:tcBorders>
            <w:noWrap/>
            <w:tcMar>
              <w:top w:w="15" w:type="dxa"/>
              <w:left w:w="15" w:type="dxa"/>
              <w:right w:w="15" w:type="dxa"/>
            </w:tcMar>
            <w:vAlign w:val="center"/>
          </w:tcPr>
          <w:p w14:paraId="05AA71EC">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24012618</w:t>
            </w:r>
          </w:p>
        </w:tc>
        <w:tc>
          <w:tcPr>
            <w:tcW w:w="726" w:type="pct"/>
            <w:tcBorders>
              <w:tl2br w:val="nil"/>
              <w:tr2bl w:val="nil"/>
            </w:tcBorders>
            <w:noWrap/>
            <w:tcMar>
              <w:top w:w="15" w:type="dxa"/>
              <w:left w:w="15" w:type="dxa"/>
              <w:right w:w="15" w:type="dxa"/>
            </w:tcMar>
            <w:vAlign w:val="center"/>
          </w:tcPr>
          <w:p w14:paraId="1AB2366C">
            <w:pPr>
              <w:keepNext w:val="0"/>
              <w:keepLines w:val="0"/>
              <w:pageBreakBefore w:val="0"/>
              <w:kinsoku/>
              <w:wordWrap/>
              <w:overflowPunct/>
              <w:topLinePunct w:val="0"/>
              <w:bidi w:val="0"/>
              <w:snapToGrid/>
              <w:spacing w:line="320" w:lineRule="exact"/>
              <w:ind w:firstLine="0" w:firstLineChars="0"/>
              <w:jc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0.23</w:t>
            </w:r>
          </w:p>
        </w:tc>
        <w:tc>
          <w:tcPr>
            <w:tcW w:w="606" w:type="pct"/>
            <w:tcBorders>
              <w:tl2br w:val="nil"/>
              <w:tr2bl w:val="nil"/>
            </w:tcBorders>
            <w:tcMar>
              <w:top w:w="15" w:type="dxa"/>
              <w:left w:w="15" w:type="dxa"/>
              <w:right w:w="15" w:type="dxa"/>
            </w:tcMar>
            <w:vAlign w:val="center"/>
          </w:tcPr>
          <w:p w14:paraId="66652476">
            <w:pPr>
              <w:keepNext w:val="0"/>
              <w:keepLines w:val="0"/>
              <w:pageBreakBefore w:val="0"/>
              <w:kinsoku/>
              <w:wordWrap/>
              <w:overflowPunct/>
              <w:topLinePunct w:val="0"/>
              <w:bidi w:val="0"/>
              <w:snapToGrid/>
              <w:spacing w:line="320" w:lineRule="exact"/>
              <w:ind w:firstLine="0" w:firstLineChars="0"/>
              <w:jc w:val="center"/>
              <w:rPr>
                <w:rFonts w:hint="eastAsia"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达标</w:t>
            </w:r>
          </w:p>
        </w:tc>
      </w:tr>
    </w:tbl>
    <w:p w14:paraId="63E015E3">
      <w:pPr>
        <w:keepNext w:val="0"/>
        <w:keepLines w:val="0"/>
        <w:pageBreakBefore w:val="0"/>
        <w:widowControl w:val="0"/>
        <w:kinsoku/>
        <w:wordWrap/>
        <w:overflowPunct/>
        <w:topLinePunct w:val="0"/>
        <w:autoSpaceDE w:val="0"/>
        <w:autoSpaceDN w:val="0"/>
        <w:bidi w:val="0"/>
        <w:adjustRightInd w:val="0"/>
        <w:snapToGrid/>
        <w:spacing w:line="500" w:lineRule="exact"/>
        <w:ind w:firstLine="480"/>
        <w:textAlignment w:val="bottom"/>
        <w:rPr>
          <w:rFonts w:ascii="Times New Roman" w:hAnsi="Times New Roman" w:eastAsia="宋体" w:cs="Times New Roman"/>
          <w:color w:val="auto"/>
          <w:szCs w:val="24"/>
        </w:rPr>
      </w:pPr>
      <w:r>
        <w:rPr>
          <w:rFonts w:ascii="Times New Roman" w:hAnsi="Times New Roman" w:eastAsia="宋体" w:cs="Times New Roman"/>
          <w:color w:val="auto"/>
          <w:szCs w:val="24"/>
        </w:rPr>
        <w:t>②本项目叠加环境质量浓度预测分析</w:t>
      </w:r>
    </w:p>
    <w:p w14:paraId="5EDAB57F">
      <w:pPr>
        <w:pStyle w:val="122"/>
        <w:keepNext w:val="0"/>
        <w:keepLines w:val="0"/>
        <w:pageBreakBefore w:val="0"/>
        <w:widowControl w:val="0"/>
        <w:kinsoku/>
        <w:wordWrap/>
        <w:overflowPunct/>
        <w:topLinePunct w:val="0"/>
        <w:bidi w:val="0"/>
        <w:snapToGrid/>
        <w:spacing w:line="500" w:lineRule="exact"/>
        <w:ind w:firstLine="480"/>
        <w:jc w:val="both"/>
        <w:rPr>
          <w:rFonts w:ascii="Times New Roman" w:hAnsi="Times New Roman" w:eastAsia="宋体" w:cs="Times New Roman"/>
          <w:color w:val="auto"/>
          <w:kern w:val="2"/>
          <w:szCs w:val="24"/>
        </w:rPr>
      </w:pPr>
      <w:r>
        <w:rPr>
          <w:rFonts w:ascii="Times New Roman" w:hAnsi="Times New Roman" w:eastAsia="宋体" w:cs="Times New Roman"/>
          <w:color w:val="auto"/>
          <w:szCs w:val="24"/>
        </w:rPr>
        <w:t>本项目以环境空气质量达标区的评价要求进行大气环境影响预测分析，本次叠加预测分析考虑PM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PM</w:t>
      </w:r>
      <w:r>
        <w:rPr>
          <w:rFonts w:hint="eastAsia" w:ascii="Times New Roman" w:hAnsi="Times New Roman" w:eastAsia="宋体" w:cs="Times New Roman"/>
          <w:color w:val="auto"/>
          <w:szCs w:val="24"/>
          <w:vertAlign w:val="subscript"/>
          <w:lang w:val="en-US" w:eastAsia="zh-CN"/>
        </w:rPr>
        <w:t>2.5</w:t>
      </w:r>
      <w:r>
        <w:rPr>
          <w:rFonts w:hint="eastAsia" w:ascii="Times New Roman" w:hAnsi="Times New Roman" w:eastAsia="宋体" w:cs="Times New Roman"/>
          <w:color w:val="auto"/>
          <w:szCs w:val="24"/>
          <w:vertAlign w:val="baseline"/>
          <w:lang w:val="en-US" w:eastAsia="zh-CN"/>
        </w:rPr>
        <w:t>、</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、Hg</w:t>
      </w:r>
      <w:r>
        <w:rPr>
          <w:rFonts w:hint="eastAsia" w:ascii="Times New Roman" w:hAnsi="Times New Roman" w:eastAsia="宋体" w:cs="Times New Roman"/>
          <w:color w:val="auto"/>
          <w:szCs w:val="24"/>
          <w:lang w:eastAsia="zh-CN"/>
        </w:rPr>
        <w:t>、</w:t>
      </w:r>
      <w:r>
        <w:rPr>
          <w:rFonts w:ascii="Times New Roman" w:hAnsi="Times New Roman" w:eastAsia="宋体" w:cs="Times New Roman"/>
          <w:color w:val="FF0000"/>
          <w:szCs w:val="24"/>
        </w:rPr>
        <w:t>NH</w:t>
      </w:r>
      <w:r>
        <w:rPr>
          <w:rFonts w:ascii="Times New Roman" w:hAnsi="Times New Roman" w:eastAsia="宋体" w:cs="Times New Roman"/>
          <w:color w:val="FF0000"/>
          <w:szCs w:val="24"/>
          <w:vertAlign w:val="subscript"/>
        </w:rPr>
        <w:t>3</w:t>
      </w:r>
      <w:r>
        <w:rPr>
          <w:rFonts w:ascii="Times New Roman" w:hAnsi="Times New Roman" w:eastAsia="宋体" w:cs="Times New Roman"/>
          <w:color w:val="auto"/>
          <w:szCs w:val="24"/>
        </w:rPr>
        <w:t>和TSP。污染物PM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PM</w:t>
      </w:r>
      <w:r>
        <w:rPr>
          <w:rFonts w:hint="eastAsia" w:ascii="Times New Roman" w:hAnsi="Times New Roman" w:eastAsia="宋体" w:cs="Times New Roman"/>
          <w:color w:val="auto"/>
          <w:szCs w:val="24"/>
          <w:vertAlign w:val="subscript"/>
          <w:lang w:val="en-US" w:eastAsia="zh-CN"/>
        </w:rPr>
        <w:t>2.5</w:t>
      </w:r>
      <w:r>
        <w:rPr>
          <w:rFonts w:hint="eastAsia" w:ascii="Times New Roman" w:hAnsi="Times New Roman" w:eastAsia="宋体" w:cs="Times New Roman"/>
          <w:color w:val="auto"/>
          <w:szCs w:val="24"/>
          <w:vertAlign w:val="baseline"/>
          <w:lang w:val="en-US" w:eastAsia="zh-CN"/>
        </w:rPr>
        <w:t>、</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、NH</w:t>
      </w:r>
      <w:r>
        <w:rPr>
          <w:rFonts w:ascii="Times New Roman" w:hAnsi="Times New Roman" w:eastAsia="宋体" w:cs="Times New Roman"/>
          <w:color w:val="auto"/>
          <w:szCs w:val="24"/>
          <w:vertAlign w:val="subscript"/>
        </w:rPr>
        <w:t>3</w:t>
      </w:r>
      <w:r>
        <w:rPr>
          <w:rFonts w:ascii="Times New Roman" w:hAnsi="Times New Roman" w:eastAsia="宋体" w:cs="Times New Roman"/>
          <w:color w:val="auto"/>
          <w:szCs w:val="24"/>
        </w:rPr>
        <w:t>、Hg、TSP叠加浓度预测分析为</w:t>
      </w:r>
      <w:r>
        <w:rPr>
          <w:rFonts w:ascii="Times New Roman" w:hAnsi="Times New Roman" w:eastAsia="宋体" w:cs="Times New Roman"/>
          <w:bCs/>
          <w:color w:val="auto"/>
          <w:szCs w:val="24"/>
        </w:rPr>
        <w:t>本项目</w:t>
      </w:r>
      <w:r>
        <w:rPr>
          <w:rFonts w:ascii="Times New Roman" w:hAnsi="Times New Roman" w:eastAsia="宋体" w:cs="Times New Roman"/>
          <w:color w:val="auto"/>
          <w:szCs w:val="24"/>
        </w:rPr>
        <w:t>新增污染源</w:t>
      </w:r>
      <w:r>
        <w:rPr>
          <w:rFonts w:ascii="Times New Roman" w:hAnsi="Times New Roman" w:eastAsia="宋体" w:cs="Times New Roman"/>
          <w:bCs/>
          <w:color w:val="auto"/>
          <w:szCs w:val="24"/>
        </w:rPr>
        <w:t>贡献浓度值</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“以新带老”</w:t>
      </w:r>
      <w:r>
        <w:rPr>
          <w:rFonts w:ascii="Times New Roman" w:hAnsi="Times New Roman" w:eastAsia="宋体" w:cs="Times New Roman"/>
          <w:color w:val="auto"/>
          <w:szCs w:val="24"/>
        </w:rPr>
        <w:t>污染源+区域其他在建、拟建污染源</w:t>
      </w:r>
      <w:r>
        <w:rPr>
          <w:rFonts w:ascii="Times New Roman" w:hAnsi="Times New Roman" w:eastAsia="宋体" w:cs="Times New Roman"/>
          <w:bCs/>
          <w:color w:val="auto"/>
          <w:szCs w:val="24"/>
        </w:rPr>
        <w:t>+现状背景浓度，</w:t>
      </w:r>
      <w:r>
        <w:rPr>
          <w:rFonts w:ascii="Times New Roman" w:hAnsi="Times New Roman" w:eastAsia="宋体" w:cs="Times New Roman"/>
          <w:color w:val="auto"/>
          <w:szCs w:val="24"/>
        </w:rPr>
        <w:t>本项目叠加后的环境空气保护目标和网格点主要污染物保证率日平均质量浓度和年平均质量浓度的达标情况见表6.2-</w:t>
      </w:r>
      <w:r>
        <w:rPr>
          <w:rFonts w:hint="eastAsia" w:ascii="Times New Roman" w:hAnsi="Times New Roman" w:eastAsia="宋体" w:cs="Times New Roman"/>
          <w:color w:val="auto"/>
          <w:szCs w:val="24"/>
          <w:lang w:val="en-US" w:eastAsia="zh-CN"/>
        </w:rPr>
        <w:t>20</w:t>
      </w:r>
      <w:r>
        <w:rPr>
          <w:rFonts w:ascii="Times New Roman" w:hAnsi="Times New Roman" w:eastAsia="宋体" w:cs="Times New Roman"/>
          <w:color w:val="auto"/>
          <w:szCs w:val="24"/>
        </w:rPr>
        <w:t>~表6.2</w:t>
      </w:r>
      <w:r>
        <w:rPr>
          <w:rFonts w:hint="eastAsia" w:ascii="Times New Roman" w:hAnsi="Times New Roman" w:eastAsia="宋体" w:cs="Times New Roman"/>
          <w:color w:val="auto"/>
          <w:szCs w:val="24"/>
          <w:lang w:val="en-US" w:eastAsia="zh-CN"/>
        </w:rPr>
        <w:t>-26</w:t>
      </w:r>
      <w:r>
        <w:rPr>
          <w:rFonts w:ascii="Times New Roman" w:hAnsi="Times New Roman" w:eastAsia="宋体" w:cs="Times New Roman"/>
          <w:color w:val="auto"/>
          <w:szCs w:val="24"/>
        </w:rPr>
        <w:t>及图6</w:t>
      </w:r>
      <w:r>
        <w:rPr>
          <w:rFonts w:hint="eastAsia" w:ascii="Times New Roman" w:hAnsi="Times New Roman" w:eastAsia="宋体" w:cs="Times New Roman"/>
          <w:color w:val="auto"/>
          <w:szCs w:val="24"/>
        </w:rPr>
        <w:t>.2-6</w:t>
      </w:r>
      <w:r>
        <w:rPr>
          <w:rFonts w:ascii="Times New Roman" w:hAnsi="Times New Roman" w:eastAsia="宋体" w:cs="Times New Roman"/>
          <w:color w:val="auto"/>
          <w:szCs w:val="24"/>
        </w:rPr>
        <w:t>~图6</w:t>
      </w:r>
      <w:r>
        <w:rPr>
          <w:rFonts w:hint="eastAsia" w:ascii="Times New Roman" w:hAnsi="Times New Roman" w:eastAsia="宋体" w:cs="Times New Roman"/>
          <w:color w:val="auto"/>
          <w:szCs w:val="24"/>
        </w:rPr>
        <w:t>.2-1</w:t>
      </w:r>
      <w:r>
        <w:rPr>
          <w:rFonts w:hint="eastAsia" w:ascii="Times New Roman" w:hAnsi="Times New Roman" w:eastAsia="宋体" w:cs="Times New Roman"/>
          <w:color w:val="auto"/>
          <w:szCs w:val="24"/>
          <w:lang w:val="en-US" w:eastAsia="zh-CN"/>
        </w:rPr>
        <w:t>6</w:t>
      </w:r>
      <w:r>
        <w:rPr>
          <w:rFonts w:ascii="Times New Roman" w:hAnsi="Times New Roman" w:eastAsia="宋体" w:cs="Times New Roman"/>
          <w:color w:val="auto"/>
          <w:szCs w:val="24"/>
        </w:rPr>
        <w:t>。</w:t>
      </w:r>
    </w:p>
    <w:p w14:paraId="60CB532D">
      <w:pPr>
        <w:pStyle w:val="122"/>
        <w:keepNext w:val="0"/>
        <w:keepLines w:val="0"/>
        <w:pageBreakBefore w:val="0"/>
        <w:widowControl w:val="0"/>
        <w:kinsoku/>
        <w:wordWrap/>
        <w:overflowPunct/>
        <w:topLinePunct w:val="0"/>
        <w:bidi w:val="0"/>
        <w:snapToGrid/>
        <w:spacing w:line="500" w:lineRule="exact"/>
        <w:ind w:firstLine="0" w:firstLineChars="0"/>
        <w:jc w:val="both"/>
        <w:rPr>
          <w:rFonts w:ascii="Times New Roman" w:hAnsi="Times New Roman" w:eastAsia="宋体" w:cs="Times New Roman"/>
          <w:color w:val="auto"/>
          <w:kern w:val="2"/>
          <w:szCs w:val="24"/>
        </w:rPr>
        <w:sectPr>
          <w:pgSz w:w="11906" w:h="16838"/>
          <w:pgMar w:top="1440" w:right="1803" w:bottom="1440" w:left="1803" w:header="1134" w:footer="1191" w:gutter="0"/>
          <w:pgBorders>
            <w:top w:val="none" w:sz="0" w:space="0"/>
            <w:left w:val="none" w:sz="0" w:space="0"/>
            <w:bottom w:val="none" w:sz="0" w:space="0"/>
            <w:right w:val="none" w:sz="0" w:space="0"/>
          </w:pgBorders>
          <w:pgNumType w:fmt="decimal"/>
          <w:cols w:space="720" w:num="1"/>
          <w:docGrid w:linePitch="286" w:charSpace="0"/>
        </w:sectPr>
      </w:pPr>
    </w:p>
    <w:p w14:paraId="1FC966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表6.2-</w:t>
      </w:r>
      <w:r>
        <w:rPr>
          <w:rFonts w:hint="eastAsia" w:ascii="Times New Roman" w:hAnsi="Times New Roman" w:eastAsia="宋体" w:cs="Times New Roman"/>
          <w:b/>
          <w:bCs/>
          <w:color w:val="auto"/>
          <w:sz w:val="24"/>
          <w:szCs w:val="24"/>
          <w:lang w:val="en-US" w:eastAsia="zh-CN"/>
        </w:rPr>
        <w:t>20</w:t>
      </w:r>
      <w:r>
        <w:rPr>
          <w:rFonts w:hint="default" w:ascii="Times New Roman" w:hAnsi="Times New Roman" w:eastAsia="宋体" w:cs="Times New Roman"/>
          <w:b/>
          <w:bCs/>
          <w:color w:val="auto"/>
          <w:sz w:val="24"/>
          <w:szCs w:val="24"/>
          <w:lang w:val="en-US" w:eastAsia="zh-CN"/>
        </w:rPr>
        <w:t xml:space="preserve">  本项目PM</w:t>
      </w:r>
      <w:r>
        <w:rPr>
          <w:rFonts w:hint="default" w:ascii="Times New Roman" w:hAnsi="Times New Roman" w:eastAsia="宋体" w:cs="Times New Roman"/>
          <w:b/>
          <w:bCs/>
          <w:color w:val="auto"/>
          <w:sz w:val="24"/>
          <w:szCs w:val="24"/>
          <w:vertAlign w:val="subscript"/>
          <w:lang w:val="en-US" w:eastAsia="zh-CN"/>
        </w:rPr>
        <w:t>10</w:t>
      </w:r>
      <w:r>
        <w:rPr>
          <w:rFonts w:hint="eastAsia" w:ascii="Times New Roman" w:hAnsi="Times New Roman" w:eastAsia="宋体" w:cs="Times New Roman"/>
          <w:b/>
          <w:bCs/>
          <w:color w:val="auto"/>
          <w:sz w:val="24"/>
          <w:szCs w:val="24"/>
          <w:lang w:val="en-US" w:eastAsia="zh-CN"/>
        </w:rPr>
        <w:t>叠加后</w:t>
      </w:r>
      <w:r>
        <w:rPr>
          <w:rFonts w:hint="default" w:ascii="Times New Roman" w:hAnsi="Times New Roman" w:eastAsia="宋体" w:cs="Times New Roman"/>
          <w:b/>
          <w:bCs/>
          <w:color w:val="auto"/>
          <w:sz w:val="24"/>
          <w:szCs w:val="24"/>
          <w:lang w:val="en-US" w:eastAsia="zh-CN"/>
        </w:rPr>
        <w:t>环境质量浓度预测结果表</w:t>
      </w:r>
    </w:p>
    <w:tbl>
      <w:tblPr>
        <w:tblStyle w:val="4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2"/>
        <w:gridCol w:w="1226"/>
        <w:gridCol w:w="3032"/>
        <w:gridCol w:w="1394"/>
        <w:gridCol w:w="1732"/>
        <w:gridCol w:w="1732"/>
        <w:gridCol w:w="2019"/>
        <w:gridCol w:w="1115"/>
        <w:gridCol w:w="987"/>
      </w:tblGrid>
      <w:tr w14:paraId="5CB8B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tcBorders>
              <w:tl2br w:val="nil"/>
              <w:tr2bl w:val="nil"/>
            </w:tcBorders>
            <w:vAlign w:val="center"/>
          </w:tcPr>
          <w:p w14:paraId="2463375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污染物</w:t>
            </w:r>
          </w:p>
        </w:tc>
        <w:tc>
          <w:tcPr>
            <w:tcW w:w="431" w:type="pct"/>
            <w:tcBorders>
              <w:tl2br w:val="nil"/>
              <w:tr2bl w:val="nil"/>
            </w:tcBorders>
            <w:vAlign w:val="center"/>
          </w:tcPr>
          <w:p w14:paraId="03FA949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预测点</w:t>
            </w:r>
          </w:p>
        </w:tc>
        <w:tc>
          <w:tcPr>
            <w:tcW w:w="1066" w:type="pct"/>
            <w:tcBorders>
              <w:tl2br w:val="nil"/>
              <w:tr2bl w:val="nil"/>
            </w:tcBorders>
            <w:vAlign w:val="center"/>
          </w:tcPr>
          <w:p w14:paraId="150B808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平均时段</w:t>
            </w:r>
          </w:p>
        </w:tc>
        <w:tc>
          <w:tcPr>
            <w:tcW w:w="490" w:type="pct"/>
            <w:tcBorders>
              <w:tl2br w:val="nil"/>
              <w:tr2bl w:val="nil"/>
            </w:tcBorders>
            <w:vAlign w:val="center"/>
          </w:tcPr>
          <w:p w14:paraId="27702D0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贡献值/（μg/m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609" w:type="pct"/>
            <w:tcBorders>
              <w:tl2br w:val="nil"/>
              <w:tr2bl w:val="nil"/>
            </w:tcBorders>
            <w:vAlign w:val="center"/>
          </w:tcPr>
          <w:p w14:paraId="52EA8DA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出现时间</w:t>
            </w:r>
          </w:p>
        </w:tc>
        <w:tc>
          <w:tcPr>
            <w:tcW w:w="609" w:type="pct"/>
            <w:tcBorders>
              <w:tl2br w:val="nil"/>
              <w:tr2bl w:val="nil"/>
            </w:tcBorders>
            <w:vAlign w:val="center"/>
          </w:tcPr>
          <w:p w14:paraId="51060C4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现状浓度/（μg/m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710" w:type="pct"/>
            <w:tcBorders>
              <w:tl2br w:val="nil"/>
              <w:tr2bl w:val="nil"/>
            </w:tcBorders>
            <w:vAlign w:val="center"/>
          </w:tcPr>
          <w:p w14:paraId="02DAAA0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叠加后浓度/（μg/m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392" w:type="pct"/>
            <w:tcBorders>
              <w:tl2br w:val="nil"/>
              <w:tr2bl w:val="nil"/>
            </w:tcBorders>
            <w:vAlign w:val="center"/>
          </w:tcPr>
          <w:p w14:paraId="00B11FC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占标率/%</w:t>
            </w:r>
          </w:p>
        </w:tc>
        <w:tc>
          <w:tcPr>
            <w:tcW w:w="347" w:type="pct"/>
            <w:tcBorders>
              <w:tl2br w:val="nil"/>
              <w:tr2bl w:val="nil"/>
            </w:tcBorders>
            <w:vAlign w:val="center"/>
          </w:tcPr>
          <w:p w14:paraId="113DEF4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达标情况</w:t>
            </w:r>
          </w:p>
        </w:tc>
      </w:tr>
      <w:tr w14:paraId="467FC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restart"/>
            <w:tcBorders>
              <w:tl2br w:val="nil"/>
              <w:tr2bl w:val="nil"/>
            </w:tcBorders>
            <w:vAlign w:val="center"/>
          </w:tcPr>
          <w:p w14:paraId="729B70C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PM</w:t>
            </w:r>
            <w:r>
              <w:rPr>
                <w:rFonts w:ascii="Times New Roman" w:hAnsi="Times New Roman" w:eastAsia="宋体" w:cs="Times New Roman"/>
                <w:color w:val="auto"/>
                <w:kern w:val="0"/>
                <w:sz w:val="21"/>
                <w:szCs w:val="21"/>
                <w:vertAlign w:val="subscript"/>
                <w:lang w:bidi="ar"/>
              </w:rPr>
              <w:t>10</w:t>
            </w:r>
          </w:p>
        </w:tc>
        <w:tc>
          <w:tcPr>
            <w:tcW w:w="1226" w:type="dxa"/>
            <w:vMerge w:val="restart"/>
            <w:tcBorders>
              <w:tl2br w:val="nil"/>
              <w:tr2bl w:val="nil"/>
            </w:tcBorders>
            <w:vAlign w:val="center"/>
          </w:tcPr>
          <w:p w14:paraId="1AAA304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八五二农场场部</w:t>
            </w:r>
          </w:p>
        </w:tc>
        <w:tc>
          <w:tcPr>
            <w:tcW w:w="1066" w:type="pct"/>
            <w:tcBorders>
              <w:tl2br w:val="nil"/>
              <w:tr2bl w:val="nil"/>
            </w:tcBorders>
            <w:vAlign w:val="center"/>
          </w:tcPr>
          <w:p w14:paraId="7D385C5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67AEC18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24F65CE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6B75008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0100366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392" w:type="pct"/>
            <w:tcBorders>
              <w:tl2br w:val="nil"/>
              <w:tr2bl w:val="nil"/>
            </w:tcBorders>
            <w:vAlign w:val="center"/>
          </w:tcPr>
          <w:p w14:paraId="5192752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0E776E9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BE6C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15D64F8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5A7B272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1D7F2CF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33BEBF9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-0.003578</w:t>
            </w:r>
          </w:p>
        </w:tc>
        <w:tc>
          <w:tcPr>
            <w:tcW w:w="609" w:type="pct"/>
            <w:tcBorders>
              <w:tl2br w:val="nil"/>
              <w:tr2bl w:val="nil"/>
            </w:tcBorders>
            <w:vAlign w:val="center"/>
          </w:tcPr>
          <w:p w14:paraId="109B39C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3EA4728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1A51111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40.31853</w:t>
            </w:r>
          </w:p>
        </w:tc>
        <w:tc>
          <w:tcPr>
            <w:tcW w:w="392" w:type="pct"/>
            <w:tcBorders>
              <w:tl2br w:val="nil"/>
              <w:tr2bl w:val="nil"/>
            </w:tcBorders>
            <w:vAlign w:val="center"/>
          </w:tcPr>
          <w:p w14:paraId="37B8FCA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0B3C9DC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6FC6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0103B84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009FF85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和平管理区</w:t>
            </w:r>
          </w:p>
        </w:tc>
        <w:tc>
          <w:tcPr>
            <w:tcW w:w="1066" w:type="pct"/>
            <w:tcBorders>
              <w:tl2br w:val="nil"/>
              <w:tr2bl w:val="nil"/>
            </w:tcBorders>
            <w:vAlign w:val="center"/>
          </w:tcPr>
          <w:p w14:paraId="516B62A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068F525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-0.000702</w:t>
            </w:r>
          </w:p>
        </w:tc>
        <w:tc>
          <w:tcPr>
            <w:tcW w:w="609" w:type="pct"/>
            <w:tcBorders>
              <w:tl2br w:val="nil"/>
              <w:tr2bl w:val="nil"/>
            </w:tcBorders>
            <w:vAlign w:val="center"/>
          </w:tcPr>
          <w:p w14:paraId="50E1EF8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20AD86A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6DA1586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90.9993</w:t>
            </w:r>
          </w:p>
        </w:tc>
        <w:tc>
          <w:tcPr>
            <w:tcW w:w="392" w:type="pct"/>
            <w:tcBorders>
              <w:tl2br w:val="nil"/>
              <w:tr2bl w:val="nil"/>
            </w:tcBorders>
            <w:vAlign w:val="center"/>
          </w:tcPr>
          <w:p w14:paraId="228D64D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3AC7CAF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07465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6336214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07D68A7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456DEEE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4E61D4F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-0.000419</w:t>
            </w:r>
          </w:p>
        </w:tc>
        <w:tc>
          <w:tcPr>
            <w:tcW w:w="609" w:type="pct"/>
            <w:tcBorders>
              <w:tl2br w:val="nil"/>
              <w:tr2bl w:val="nil"/>
            </w:tcBorders>
            <w:vAlign w:val="center"/>
          </w:tcPr>
          <w:p w14:paraId="6A75DF9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4232FCC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5334794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40.32169</w:t>
            </w:r>
          </w:p>
        </w:tc>
        <w:tc>
          <w:tcPr>
            <w:tcW w:w="392" w:type="pct"/>
            <w:tcBorders>
              <w:tl2br w:val="nil"/>
              <w:tr2bl w:val="nil"/>
            </w:tcBorders>
            <w:vAlign w:val="center"/>
          </w:tcPr>
          <w:p w14:paraId="22DF00E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02C5F5A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5955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51A9749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2F1CF3C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南林小区</w:t>
            </w:r>
          </w:p>
        </w:tc>
        <w:tc>
          <w:tcPr>
            <w:tcW w:w="1066" w:type="pct"/>
            <w:tcBorders>
              <w:tl2br w:val="nil"/>
              <w:tr2bl w:val="nil"/>
            </w:tcBorders>
            <w:vAlign w:val="center"/>
          </w:tcPr>
          <w:p w14:paraId="1705B90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24250FD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3146BE6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42D9AFE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26175D6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392" w:type="pct"/>
            <w:tcBorders>
              <w:tl2br w:val="nil"/>
              <w:tr2bl w:val="nil"/>
            </w:tcBorders>
            <w:vAlign w:val="center"/>
          </w:tcPr>
          <w:p w14:paraId="59F6AA4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644AA99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2157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52400D1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6BEE22B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78DD41E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2F360C0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-0.001067</w:t>
            </w:r>
          </w:p>
        </w:tc>
        <w:tc>
          <w:tcPr>
            <w:tcW w:w="609" w:type="pct"/>
            <w:tcBorders>
              <w:tl2br w:val="nil"/>
              <w:tr2bl w:val="nil"/>
            </w:tcBorders>
            <w:vAlign w:val="center"/>
          </w:tcPr>
          <w:p w14:paraId="0DFF8D4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22B1EAC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488EA8A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40.32104</w:t>
            </w:r>
          </w:p>
        </w:tc>
        <w:tc>
          <w:tcPr>
            <w:tcW w:w="392" w:type="pct"/>
            <w:tcBorders>
              <w:tl2br w:val="nil"/>
              <w:tr2bl w:val="nil"/>
            </w:tcBorders>
            <w:vAlign w:val="center"/>
          </w:tcPr>
          <w:p w14:paraId="71A5900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780BFAC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E8BC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44BC92D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427EAE6E">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八五二农场四分场</w:t>
            </w:r>
          </w:p>
        </w:tc>
        <w:tc>
          <w:tcPr>
            <w:tcW w:w="1066" w:type="pct"/>
            <w:tcBorders>
              <w:tl2br w:val="nil"/>
              <w:tr2bl w:val="nil"/>
            </w:tcBorders>
            <w:vAlign w:val="center"/>
          </w:tcPr>
          <w:p w14:paraId="34A6049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71C0333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7D326AD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38A1BA0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725F027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392" w:type="pct"/>
            <w:tcBorders>
              <w:tl2br w:val="nil"/>
              <w:tr2bl w:val="nil"/>
            </w:tcBorders>
            <w:vAlign w:val="center"/>
          </w:tcPr>
          <w:p w14:paraId="7377050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4414E34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0C94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38C05F5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010284B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6EEECFB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57F12B4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-0.000043</w:t>
            </w:r>
          </w:p>
        </w:tc>
        <w:tc>
          <w:tcPr>
            <w:tcW w:w="609" w:type="pct"/>
            <w:tcBorders>
              <w:tl2br w:val="nil"/>
              <w:tr2bl w:val="nil"/>
            </w:tcBorders>
            <w:vAlign w:val="center"/>
          </w:tcPr>
          <w:p w14:paraId="115CE9B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2AA0D04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70A3894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40.32207</w:t>
            </w:r>
          </w:p>
        </w:tc>
        <w:tc>
          <w:tcPr>
            <w:tcW w:w="392" w:type="pct"/>
            <w:tcBorders>
              <w:tl2br w:val="nil"/>
              <w:tr2bl w:val="nil"/>
            </w:tcBorders>
            <w:vAlign w:val="center"/>
          </w:tcPr>
          <w:p w14:paraId="3F2070B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481958D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080EF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3F9AD8A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2DF9B3E3">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八五二农场副业队</w:t>
            </w:r>
          </w:p>
        </w:tc>
        <w:tc>
          <w:tcPr>
            <w:tcW w:w="1066" w:type="pct"/>
            <w:tcBorders>
              <w:tl2br w:val="nil"/>
              <w:tr2bl w:val="nil"/>
            </w:tcBorders>
            <w:vAlign w:val="center"/>
          </w:tcPr>
          <w:p w14:paraId="2627918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461EF47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-0.000084</w:t>
            </w:r>
          </w:p>
        </w:tc>
        <w:tc>
          <w:tcPr>
            <w:tcW w:w="609" w:type="pct"/>
            <w:tcBorders>
              <w:tl2br w:val="nil"/>
              <w:tr2bl w:val="nil"/>
            </w:tcBorders>
            <w:vAlign w:val="center"/>
          </w:tcPr>
          <w:p w14:paraId="413AD3B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7E0D5B9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0D4D1F8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90.99992</w:t>
            </w:r>
          </w:p>
        </w:tc>
        <w:tc>
          <w:tcPr>
            <w:tcW w:w="392" w:type="pct"/>
            <w:tcBorders>
              <w:tl2br w:val="nil"/>
              <w:tr2bl w:val="nil"/>
            </w:tcBorders>
            <w:vAlign w:val="center"/>
          </w:tcPr>
          <w:p w14:paraId="55AC077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7791712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5E9A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05C6EA6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3EB3B26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02C45F8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28CC779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-0.000119</w:t>
            </w:r>
          </w:p>
        </w:tc>
        <w:tc>
          <w:tcPr>
            <w:tcW w:w="609" w:type="pct"/>
            <w:tcBorders>
              <w:tl2br w:val="nil"/>
              <w:tr2bl w:val="nil"/>
            </w:tcBorders>
            <w:vAlign w:val="center"/>
          </w:tcPr>
          <w:p w14:paraId="77755F7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6BF3496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6910736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40.32199</w:t>
            </w:r>
          </w:p>
        </w:tc>
        <w:tc>
          <w:tcPr>
            <w:tcW w:w="392" w:type="pct"/>
            <w:tcBorders>
              <w:tl2br w:val="nil"/>
              <w:tr2bl w:val="nil"/>
            </w:tcBorders>
            <w:vAlign w:val="center"/>
          </w:tcPr>
          <w:p w14:paraId="0CAD256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0CEDF4F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6151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39A4A6C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23113007">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八五二农场种畜站</w:t>
            </w:r>
          </w:p>
        </w:tc>
        <w:tc>
          <w:tcPr>
            <w:tcW w:w="1066" w:type="pct"/>
            <w:tcBorders>
              <w:tl2br w:val="nil"/>
              <w:tr2bl w:val="nil"/>
            </w:tcBorders>
            <w:vAlign w:val="center"/>
          </w:tcPr>
          <w:p w14:paraId="28DEF84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4A8BAE5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-0.000877</w:t>
            </w:r>
          </w:p>
        </w:tc>
        <w:tc>
          <w:tcPr>
            <w:tcW w:w="609" w:type="pct"/>
            <w:tcBorders>
              <w:tl2br w:val="nil"/>
              <w:tr2bl w:val="nil"/>
            </w:tcBorders>
            <w:vAlign w:val="center"/>
          </w:tcPr>
          <w:p w14:paraId="1E5813C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119FA1F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451F3CE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90.99912</w:t>
            </w:r>
          </w:p>
        </w:tc>
        <w:tc>
          <w:tcPr>
            <w:tcW w:w="392" w:type="pct"/>
            <w:tcBorders>
              <w:tl2br w:val="nil"/>
              <w:tr2bl w:val="nil"/>
            </w:tcBorders>
            <w:vAlign w:val="center"/>
          </w:tcPr>
          <w:p w14:paraId="452F504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5B9CC0D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50A7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2DC1B9F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0F20143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7DE8758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730DA99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-0.000291</w:t>
            </w:r>
          </w:p>
        </w:tc>
        <w:tc>
          <w:tcPr>
            <w:tcW w:w="609" w:type="pct"/>
            <w:tcBorders>
              <w:tl2br w:val="nil"/>
              <w:tr2bl w:val="nil"/>
            </w:tcBorders>
            <w:vAlign w:val="center"/>
          </w:tcPr>
          <w:p w14:paraId="5FA9E18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66089F8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48D2C56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40.32182</w:t>
            </w:r>
          </w:p>
        </w:tc>
        <w:tc>
          <w:tcPr>
            <w:tcW w:w="392" w:type="pct"/>
            <w:tcBorders>
              <w:tl2br w:val="nil"/>
              <w:tr2bl w:val="nil"/>
            </w:tcBorders>
            <w:vAlign w:val="center"/>
          </w:tcPr>
          <w:p w14:paraId="121DEC6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61D1335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63A4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2E35B27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4E569D12">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迎春林业局光明林场</w:t>
            </w:r>
          </w:p>
        </w:tc>
        <w:tc>
          <w:tcPr>
            <w:tcW w:w="1066" w:type="pct"/>
            <w:tcBorders>
              <w:tl2br w:val="nil"/>
              <w:tr2bl w:val="nil"/>
            </w:tcBorders>
            <w:vAlign w:val="center"/>
          </w:tcPr>
          <w:p w14:paraId="35851B0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0E7442B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1004AFE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7E74B83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7CCAF50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392" w:type="pct"/>
            <w:tcBorders>
              <w:tl2br w:val="nil"/>
              <w:tr2bl w:val="nil"/>
            </w:tcBorders>
            <w:vAlign w:val="center"/>
          </w:tcPr>
          <w:p w14:paraId="61135FA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2F1E44E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5B58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23118A8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20CF88D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53BE00E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4E077A3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-0.000084</w:t>
            </w:r>
          </w:p>
        </w:tc>
        <w:tc>
          <w:tcPr>
            <w:tcW w:w="609" w:type="pct"/>
            <w:tcBorders>
              <w:tl2br w:val="nil"/>
              <w:tr2bl w:val="nil"/>
            </w:tcBorders>
            <w:vAlign w:val="center"/>
          </w:tcPr>
          <w:p w14:paraId="57E4E21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4027F4A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0A1707F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40.32203</w:t>
            </w:r>
          </w:p>
        </w:tc>
        <w:tc>
          <w:tcPr>
            <w:tcW w:w="392" w:type="pct"/>
            <w:tcBorders>
              <w:tl2br w:val="nil"/>
              <w:tr2bl w:val="nil"/>
            </w:tcBorders>
            <w:vAlign w:val="center"/>
          </w:tcPr>
          <w:p w14:paraId="7EB9345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5960B8D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94AD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1B93571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13C1C2DC">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虎宝工厂南林工段</w:t>
            </w:r>
          </w:p>
        </w:tc>
        <w:tc>
          <w:tcPr>
            <w:tcW w:w="1066" w:type="pct"/>
            <w:tcBorders>
              <w:tl2br w:val="nil"/>
              <w:tr2bl w:val="nil"/>
            </w:tcBorders>
            <w:vAlign w:val="center"/>
          </w:tcPr>
          <w:p w14:paraId="73CCB74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62BB8BB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6C798E0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292132C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1CF9916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392" w:type="pct"/>
            <w:tcBorders>
              <w:tl2br w:val="nil"/>
              <w:tr2bl w:val="nil"/>
            </w:tcBorders>
            <w:vAlign w:val="center"/>
          </w:tcPr>
          <w:p w14:paraId="73A0508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176AB1A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EBDC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2DB7F68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00953F2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2E7EC7D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259793C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-0.000211</w:t>
            </w:r>
          </w:p>
        </w:tc>
        <w:tc>
          <w:tcPr>
            <w:tcW w:w="609" w:type="pct"/>
            <w:tcBorders>
              <w:tl2br w:val="nil"/>
              <w:tr2bl w:val="nil"/>
            </w:tcBorders>
            <w:vAlign w:val="center"/>
          </w:tcPr>
          <w:p w14:paraId="73A78F8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1907B85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7447FA9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40.3219</w:t>
            </w:r>
          </w:p>
        </w:tc>
        <w:tc>
          <w:tcPr>
            <w:tcW w:w="392" w:type="pct"/>
            <w:tcBorders>
              <w:tl2br w:val="nil"/>
              <w:tr2bl w:val="nil"/>
            </w:tcBorders>
            <w:vAlign w:val="center"/>
          </w:tcPr>
          <w:p w14:paraId="0B58AA9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4EFD2C8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4FFA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2F96A7F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4F035C2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虎宝村</w:t>
            </w:r>
          </w:p>
        </w:tc>
        <w:tc>
          <w:tcPr>
            <w:tcW w:w="1066" w:type="pct"/>
            <w:tcBorders>
              <w:tl2br w:val="nil"/>
              <w:tr2bl w:val="nil"/>
            </w:tcBorders>
            <w:vAlign w:val="center"/>
          </w:tcPr>
          <w:p w14:paraId="29242AC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4380728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34CAA9F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1F49ED7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3C65278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392" w:type="pct"/>
            <w:tcBorders>
              <w:tl2br w:val="nil"/>
              <w:tr2bl w:val="nil"/>
            </w:tcBorders>
            <w:vAlign w:val="center"/>
          </w:tcPr>
          <w:p w14:paraId="63A3604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75.83</w:t>
            </w:r>
          </w:p>
        </w:tc>
        <w:tc>
          <w:tcPr>
            <w:tcW w:w="347" w:type="pct"/>
            <w:tcBorders>
              <w:tl2br w:val="nil"/>
              <w:tr2bl w:val="nil"/>
            </w:tcBorders>
            <w:vAlign w:val="center"/>
          </w:tcPr>
          <w:p w14:paraId="3CCFCAE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B484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71D7E8C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4FE38CF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2AB315C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78B1C49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0.000096</w:t>
            </w:r>
          </w:p>
        </w:tc>
        <w:tc>
          <w:tcPr>
            <w:tcW w:w="609" w:type="pct"/>
            <w:tcBorders>
              <w:tl2br w:val="nil"/>
              <w:tr2bl w:val="nil"/>
            </w:tcBorders>
            <w:vAlign w:val="center"/>
          </w:tcPr>
          <w:p w14:paraId="387C104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1D06D01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3570300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40.3222</w:t>
            </w:r>
          </w:p>
        </w:tc>
        <w:tc>
          <w:tcPr>
            <w:tcW w:w="392" w:type="pct"/>
            <w:tcBorders>
              <w:tl2br w:val="nil"/>
              <w:tr2bl w:val="nil"/>
            </w:tcBorders>
            <w:vAlign w:val="center"/>
          </w:tcPr>
          <w:p w14:paraId="18A2F2A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67.20</w:t>
            </w:r>
          </w:p>
        </w:tc>
        <w:tc>
          <w:tcPr>
            <w:tcW w:w="347" w:type="pct"/>
            <w:tcBorders>
              <w:tl2br w:val="nil"/>
              <w:tr2bl w:val="nil"/>
            </w:tcBorders>
            <w:vAlign w:val="center"/>
          </w:tcPr>
          <w:p w14:paraId="50742DD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E116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6C5B80A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226" w:type="dxa"/>
            <w:vMerge w:val="restart"/>
            <w:tcBorders>
              <w:tl2br w:val="nil"/>
              <w:tr2bl w:val="nil"/>
            </w:tcBorders>
            <w:vAlign w:val="center"/>
          </w:tcPr>
          <w:p w14:paraId="1A327FFF">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区域最大落地浓度</w:t>
            </w:r>
          </w:p>
        </w:tc>
        <w:tc>
          <w:tcPr>
            <w:tcW w:w="1066" w:type="pct"/>
            <w:tcBorders>
              <w:tl2br w:val="nil"/>
              <w:tr2bl w:val="nil"/>
            </w:tcBorders>
            <w:vAlign w:val="center"/>
          </w:tcPr>
          <w:p w14:paraId="771A266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90" w:type="pct"/>
            <w:tcBorders>
              <w:tl2br w:val="nil"/>
              <w:tr2bl w:val="nil"/>
            </w:tcBorders>
            <w:vAlign w:val="center"/>
          </w:tcPr>
          <w:p w14:paraId="30D3731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0.009689</w:t>
            </w:r>
          </w:p>
        </w:tc>
        <w:tc>
          <w:tcPr>
            <w:tcW w:w="609" w:type="pct"/>
            <w:tcBorders>
              <w:tl2br w:val="nil"/>
              <w:tr2bl w:val="nil"/>
            </w:tcBorders>
            <w:vAlign w:val="center"/>
          </w:tcPr>
          <w:p w14:paraId="3BBD667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240415</w:t>
            </w:r>
          </w:p>
        </w:tc>
        <w:tc>
          <w:tcPr>
            <w:tcW w:w="609" w:type="pct"/>
            <w:tcBorders>
              <w:tl2br w:val="nil"/>
              <w:tr2bl w:val="nil"/>
            </w:tcBorders>
            <w:vAlign w:val="center"/>
          </w:tcPr>
          <w:p w14:paraId="56FFB4D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w:t>
            </w:r>
          </w:p>
        </w:tc>
        <w:tc>
          <w:tcPr>
            <w:tcW w:w="710" w:type="pct"/>
            <w:tcBorders>
              <w:tl2br w:val="nil"/>
              <w:tr2bl w:val="nil"/>
            </w:tcBorders>
            <w:vAlign w:val="center"/>
          </w:tcPr>
          <w:p w14:paraId="4DB39E7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91.00969</w:t>
            </w:r>
          </w:p>
        </w:tc>
        <w:tc>
          <w:tcPr>
            <w:tcW w:w="392" w:type="pct"/>
            <w:tcBorders>
              <w:tl2br w:val="nil"/>
              <w:tr2bl w:val="nil"/>
            </w:tcBorders>
            <w:vAlign w:val="center"/>
          </w:tcPr>
          <w:p w14:paraId="7B3708A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75.84</w:t>
            </w:r>
          </w:p>
        </w:tc>
        <w:tc>
          <w:tcPr>
            <w:tcW w:w="347" w:type="pct"/>
            <w:tcBorders>
              <w:tl2br w:val="nil"/>
              <w:tr2bl w:val="nil"/>
            </w:tcBorders>
            <w:vAlign w:val="center"/>
          </w:tcPr>
          <w:p w14:paraId="2AAD10A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68A4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2" w:type="pct"/>
            <w:vMerge w:val="continue"/>
            <w:tcBorders>
              <w:tl2br w:val="nil"/>
              <w:tr2bl w:val="nil"/>
            </w:tcBorders>
            <w:vAlign w:val="center"/>
          </w:tcPr>
          <w:p w14:paraId="131169E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31" w:type="pct"/>
            <w:vMerge w:val="continue"/>
            <w:tcBorders>
              <w:tl2br w:val="nil"/>
              <w:tr2bl w:val="nil"/>
            </w:tcBorders>
            <w:vAlign w:val="center"/>
          </w:tcPr>
          <w:p w14:paraId="27EBD33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6" w:type="pct"/>
            <w:tcBorders>
              <w:tl2br w:val="nil"/>
              <w:tr2bl w:val="nil"/>
            </w:tcBorders>
            <w:vAlign w:val="center"/>
          </w:tcPr>
          <w:p w14:paraId="3DD038D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90" w:type="pct"/>
            <w:tcBorders>
              <w:tl2br w:val="nil"/>
              <w:tr2bl w:val="nil"/>
            </w:tcBorders>
            <w:vAlign w:val="center"/>
          </w:tcPr>
          <w:p w14:paraId="06D3B29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0.001917</w:t>
            </w:r>
          </w:p>
        </w:tc>
        <w:tc>
          <w:tcPr>
            <w:tcW w:w="609" w:type="pct"/>
            <w:tcBorders>
              <w:tl2br w:val="nil"/>
              <w:tr2bl w:val="nil"/>
            </w:tcBorders>
            <w:vAlign w:val="center"/>
          </w:tcPr>
          <w:p w14:paraId="798BE73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1913AB3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40.32211</w:t>
            </w:r>
          </w:p>
        </w:tc>
        <w:tc>
          <w:tcPr>
            <w:tcW w:w="710" w:type="pct"/>
            <w:tcBorders>
              <w:tl2br w:val="nil"/>
              <w:tr2bl w:val="nil"/>
            </w:tcBorders>
            <w:vAlign w:val="center"/>
          </w:tcPr>
          <w:p w14:paraId="49CB651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40.32403</w:t>
            </w:r>
          </w:p>
        </w:tc>
        <w:tc>
          <w:tcPr>
            <w:tcW w:w="392" w:type="pct"/>
            <w:tcBorders>
              <w:tl2br w:val="nil"/>
              <w:tr2bl w:val="nil"/>
            </w:tcBorders>
            <w:vAlign w:val="center"/>
          </w:tcPr>
          <w:p w14:paraId="6CA0321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67.21</w:t>
            </w:r>
          </w:p>
        </w:tc>
        <w:tc>
          <w:tcPr>
            <w:tcW w:w="347" w:type="pct"/>
            <w:tcBorders>
              <w:tl2br w:val="nil"/>
              <w:tr2bl w:val="nil"/>
            </w:tcBorders>
            <w:vAlign w:val="center"/>
          </w:tcPr>
          <w:p w14:paraId="3A15BE8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bl>
    <w:p w14:paraId="1BD3901F">
      <w:pPr>
        <w:pStyle w:val="119"/>
        <w:rPr>
          <w:rFonts w:eastAsia="宋体"/>
          <w:color w:val="auto"/>
        </w:rPr>
      </w:pPr>
    </w:p>
    <w:p w14:paraId="7B28A41F">
      <w:pPr>
        <w:pStyle w:val="119"/>
        <w:rPr>
          <w:rFonts w:eastAsia="宋体"/>
          <w:color w:val="auto"/>
        </w:rPr>
      </w:pPr>
    </w:p>
    <w:p w14:paraId="13773A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表6.2-21  本项目PM</w:t>
      </w:r>
      <w:r>
        <w:rPr>
          <w:rFonts w:hint="eastAsia" w:ascii="Times New Roman" w:hAnsi="Times New Roman" w:eastAsia="宋体" w:cs="Times New Roman"/>
          <w:b/>
          <w:bCs/>
          <w:color w:val="auto"/>
          <w:sz w:val="24"/>
          <w:szCs w:val="24"/>
          <w:vertAlign w:val="subscript"/>
          <w:lang w:val="en-US" w:eastAsia="zh-CN"/>
        </w:rPr>
        <w:t>2.5</w:t>
      </w:r>
      <w:r>
        <w:rPr>
          <w:rFonts w:hint="eastAsia" w:ascii="Times New Roman" w:hAnsi="Times New Roman" w:eastAsia="宋体" w:cs="Times New Roman"/>
          <w:b/>
          <w:bCs/>
          <w:color w:val="auto"/>
          <w:sz w:val="24"/>
          <w:szCs w:val="24"/>
          <w:lang w:val="en-US" w:eastAsia="zh-CN"/>
        </w:rPr>
        <w:t>叠加后环境质量浓度预测结果表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0"/>
        <w:gridCol w:w="1223"/>
        <w:gridCol w:w="3090"/>
        <w:gridCol w:w="1343"/>
        <w:gridCol w:w="1733"/>
        <w:gridCol w:w="1733"/>
        <w:gridCol w:w="2020"/>
        <w:gridCol w:w="1115"/>
        <w:gridCol w:w="987"/>
      </w:tblGrid>
      <w:tr w14:paraId="42E0C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tcBorders>
              <w:tl2br w:val="nil"/>
              <w:tr2bl w:val="nil"/>
            </w:tcBorders>
            <w:vAlign w:val="center"/>
          </w:tcPr>
          <w:p w14:paraId="65F82EE6">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污染物</w:t>
            </w:r>
          </w:p>
        </w:tc>
        <w:tc>
          <w:tcPr>
            <w:tcW w:w="430" w:type="pct"/>
            <w:tcBorders>
              <w:tl2br w:val="nil"/>
              <w:tr2bl w:val="nil"/>
            </w:tcBorders>
            <w:vAlign w:val="center"/>
          </w:tcPr>
          <w:p w14:paraId="5F1CCF89">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预测点</w:t>
            </w:r>
          </w:p>
        </w:tc>
        <w:tc>
          <w:tcPr>
            <w:tcW w:w="1086" w:type="pct"/>
            <w:tcBorders>
              <w:tl2br w:val="nil"/>
              <w:tr2bl w:val="nil"/>
            </w:tcBorders>
            <w:vAlign w:val="center"/>
          </w:tcPr>
          <w:p w14:paraId="113C296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平均时段</w:t>
            </w:r>
          </w:p>
        </w:tc>
        <w:tc>
          <w:tcPr>
            <w:tcW w:w="472" w:type="pct"/>
            <w:tcBorders>
              <w:tl2br w:val="nil"/>
              <w:tr2bl w:val="nil"/>
            </w:tcBorders>
            <w:vAlign w:val="center"/>
          </w:tcPr>
          <w:p w14:paraId="334FF94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贡献值/（μg/m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609" w:type="pct"/>
            <w:tcBorders>
              <w:tl2br w:val="nil"/>
              <w:tr2bl w:val="nil"/>
            </w:tcBorders>
            <w:vAlign w:val="center"/>
          </w:tcPr>
          <w:p w14:paraId="7035647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val="en-US" w:eastAsia="zh-CN" w:bidi="ar"/>
              </w:rPr>
              <w:t>出现时间</w:t>
            </w:r>
          </w:p>
        </w:tc>
        <w:tc>
          <w:tcPr>
            <w:tcW w:w="609" w:type="pct"/>
            <w:tcBorders>
              <w:tl2br w:val="nil"/>
              <w:tr2bl w:val="nil"/>
            </w:tcBorders>
            <w:vAlign w:val="center"/>
          </w:tcPr>
          <w:p w14:paraId="55EAC5E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现状浓度/（μg/m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710" w:type="pct"/>
            <w:tcBorders>
              <w:tl2br w:val="nil"/>
              <w:tr2bl w:val="nil"/>
            </w:tcBorders>
            <w:vAlign w:val="center"/>
          </w:tcPr>
          <w:p w14:paraId="29E3988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叠加后浓度/（μg/m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392" w:type="pct"/>
            <w:tcBorders>
              <w:tl2br w:val="nil"/>
              <w:tr2bl w:val="nil"/>
            </w:tcBorders>
            <w:vAlign w:val="center"/>
          </w:tcPr>
          <w:p w14:paraId="541EBE4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占标率/%</w:t>
            </w:r>
          </w:p>
        </w:tc>
        <w:tc>
          <w:tcPr>
            <w:tcW w:w="347" w:type="pct"/>
            <w:tcBorders>
              <w:tl2br w:val="nil"/>
              <w:tr2bl w:val="nil"/>
            </w:tcBorders>
            <w:vAlign w:val="center"/>
          </w:tcPr>
          <w:p w14:paraId="4AC0768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达标情况</w:t>
            </w:r>
          </w:p>
        </w:tc>
      </w:tr>
      <w:tr w14:paraId="017E6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restart"/>
            <w:tcBorders>
              <w:tl2br w:val="nil"/>
              <w:tr2bl w:val="nil"/>
            </w:tcBorders>
            <w:vAlign w:val="center"/>
          </w:tcPr>
          <w:p w14:paraId="59EA67D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PM</w:t>
            </w:r>
            <w:r>
              <w:rPr>
                <w:rFonts w:ascii="Times New Roman" w:hAnsi="Times New Roman" w:eastAsia="宋体" w:cs="Times New Roman"/>
                <w:color w:val="auto"/>
                <w:kern w:val="0"/>
                <w:sz w:val="21"/>
                <w:szCs w:val="21"/>
                <w:vertAlign w:val="subscript"/>
                <w:lang w:bidi="ar"/>
              </w:rPr>
              <w:t>10</w:t>
            </w:r>
          </w:p>
        </w:tc>
        <w:tc>
          <w:tcPr>
            <w:tcW w:w="430" w:type="pct"/>
            <w:vMerge w:val="restart"/>
            <w:tcBorders>
              <w:tl2br w:val="nil"/>
              <w:tr2bl w:val="nil"/>
            </w:tcBorders>
            <w:vAlign w:val="center"/>
          </w:tcPr>
          <w:p w14:paraId="4E89501E">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八五二农场场部</w:t>
            </w:r>
          </w:p>
        </w:tc>
        <w:tc>
          <w:tcPr>
            <w:tcW w:w="1086" w:type="pct"/>
            <w:tcBorders>
              <w:tl2br w:val="nil"/>
              <w:tr2bl w:val="nil"/>
            </w:tcBorders>
            <w:vAlign w:val="center"/>
          </w:tcPr>
          <w:p w14:paraId="45FB421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0D49EE7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-0.000805</w:t>
            </w:r>
          </w:p>
        </w:tc>
        <w:tc>
          <w:tcPr>
            <w:tcW w:w="609" w:type="pct"/>
            <w:tcBorders>
              <w:tl2br w:val="nil"/>
              <w:tr2bl w:val="nil"/>
            </w:tcBorders>
            <w:vAlign w:val="center"/>
          </w:tcPr>
          <w:p w14:paraId="0F6E8D4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477E3C5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6BECB14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56.9992</w:t>
            </w:r>
          </w:p>
        </w:tc>
        <w:tc>
          <w:tcPr>
            <w:tcW w:w="392" w:type="pct"/>
            <w:tcBorders>
              <w:tl2br w:val="nil"/>
              <w:tr2bl w:val="nil"/>
            </w:tcBorders>
            <w:vAlign w:val="center"/>
          </w:tcPr>
          <w:p w14:paraId="2F9476A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96.00</w:t>
            </w:r>
          </w:p>
        </w:tc>
        <w:tc>
          <w:tcPr>
            <w:tcW w:w="347" w:type="pct"/>
            <w:tcBorders>
              <w:tl2br w:val="nil"/>
              <w:tr2bl w:val="nil"/>
            </w:tcBorders>
            <w:vAlign w:val="center"/>
          </w:tcPr>
          <w:p w14:paraId="16E007E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8F69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5CBA6F06">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1BEED7E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2211883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0CAAEA9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-0.002325</w:t>
            </w:r>
          </w:p>
        </w:tc>
        <w:tc>
          <w:tcPr>
            <w:tcW w:w="609" w:type="pct"/>
            <w:tcBorders>
              <w:tl2br w:val="nil"/>
              <w:tr2bl w:val="nil"/>
            </w:tcBorders>
            <w:vAlign w:val="center"/>
          </w:tcPr>
          <w:p w14:paraId="307CC47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112E924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61E4F67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w:t>
            </w:r>
          </w:p>
        </w:tc>
        <w:tc>
          <w:tcPr>
            <w:tcW w:w="392" w:type="pct"/>
            <w:tcBorders>
              <w:tl2br w:val="nil"/>
              <w:tr2bl w:val="nil"/>
            </w:tcBorders>
            <w:vAlign w:val="center"/>
          </w:tcPr>
          <w:p w14:paraId="44B630B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53.96</w:t>
            </w:r>
          </w:p>
        </w:tc>
        <w:tc>
          <w:tcPr>
            <w:tcW w:w="347" w:type="pct"/>
            <w:tcBorders>
              <w:tl2br w:val="nil"/>
              <w:tr2bl w:val="nil"/>
            </w:tcBorders>
            <w:vAlign w:val="center"/>
          </w:tcPr>
          <w:p w14:paraId="25FF639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D689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3D06E4F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00651E77">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和平管理区</w:t>
            </w:r>
          </w:p>
        </w:tc>
        <w:tc>
          <w:tcPr>
            <w:tcW w:w="1086" w:type="pct"/>
            <w:tcBorders>
              <w:tl2br w:val="nil"/>
              <w:tr2bl w:val="nil"/>
            </w:tcBorders>
            <w:vAlign w:val="center"/>
          </w:tcPr>
          <w:p w14:paraId="48E6A25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6B4BB95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0.000008</w:t>
            </w:r>
          </w:p>
        </w:tc>
        <w:tc>
          <w:tcPr>
            <w:tcW w:w="609" w:type="pct"/>
            <w:tcBorders>
              <w:tl2br w:val="nil"/>
              <w:tr2bl w:val="nil"/>
            </w:tcBorders>
            <w:vAlign w:val="center"/>
          </w:tcPr>
          <w:p w14:paraId="648DFF7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520CA30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0EC76C8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57.00001</w:t>
            </w:r>
          </w:p>
        </w:tc>
        <w:tc>
          <w:tcPr>
            <w:tcW w:w="392" w:type="pct"/>
            <w:tcBorders>
              <w:tl2br w:val="nil"/>
              <w:tr2bl w:val="nil"/>
            </w:tcBorders>
            <w:vAlign w:val="center"/>
          </w:tcPr>
          <w:p w14:paraId="29D7512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96.00</w:t>
            </w:r>
          </w:p>
        </w:tc>
        <w:tc>
          <w:tcPr>
            <w:tcW w:w="347" w:type="pct"/>
            <w:tcBorders>
              <w:tl2br w:val="nil"/>
              <w:tr2bl w:val="nil"/>
            </w:tcBorders>
            <w:vAlign w:val="center"/>
          </w:tcPr>
          <w:p w14:paraId="3A9C0BD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CAFD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2BAD109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1B71B91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7E9B246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7CB0449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-0.000271</w:t>
            </w:r>
          </w:p>
        </w:tc>
        <w:tc>
          <w:tcPr>
            <w:tcW w:w="609" w:type="pct"/>
            <w:tcBorders>
              <w:tl2br w:val="nil"/>
              <w:tr2bl w:val="nil"/>
            </w:tcBorders>
            <w:vAlign w:val="center"/>
          </w:tcPr>
          <w:p w14:paraId="16AFAC2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79D10F4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7C997D3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26.11206</w:t>
            </w:r>
          </w:p>
        </w:tc>
        <w:tc>
          <w:tcPr>
            <w:tcW w:w="392" w:type="pct"/>
            <w:tcBorders>
              <w:tl2br w:val="nil"/>
              <w:tr2bl w:val="nil"/>
            </w:tcBorders>
            <w:vAlign w:val="center"/>
          </w:tcPr>
          <w:p w14:paraId="47B0A2E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53.93</w:t>
            </w:r>
          </w:p>
        </w:tc>
        <w:tc>
          <w:tcPr>
            <w:tcW w:w="347" w:type="pct"/>
            <w:tcBorders>
              <w:tl2br w:val="nil"/>
              <w:tr2bl w:val="nil"/>
            </w:tcBorders>
            <w:vAlign w:val="center"/>
          </w:tcPr>
          <w:p w14:paraId="4877C00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DB10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0DC58A5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33C016BF">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南林小区</w:t>
            </w:r>
          </w:p>
        </w:tc>
        <w:tc>
          <w:tcPr>
            <w:tcW w:w="1086" w:type="pct"/>
            <w:tcBorders>
              <w:tl2br w:val="nil"/>
              <w:tr2bl w:val="nil"/>
            </w:tcBorders>
            <w:vAlign w:val="center"/>
          </w:tcPr>
          <w:p w14:paraId="6DE15DF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0CEB60E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0.002098</w:t>
            </w:r>
          </w:p>
        </w:tc>
        <w:tc>
          <w:tcPr>
            <w:tcW w:w="609" w:type="pct"/>
            <w:tcBorders>
              <w:tl2br w:val="nil"/>
              <w:tr2bl w:val="nil"/>
            </w:tcBorders>
            <w:vAlign w:val="center"/>
          </w:tcPr>
          <w:p w14:paraId="479B1F1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6C90E1C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0450983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57.0021</w:t>
            </w:r>
          </w:p>
        </w:tc>
        <w:tc>
          <w:tcPr>
            <w:tcW w:w="392" w:type="pct"/>
            <w:tcBorders>
              <w:tl2br w:val="nil"/>
              <w:tr2bl w:val="nil"/>
            </w:tcBorders>
            <w:vAlign w:val="center"/>
          </w:tcPr>
          <w:p w14:paraId="4E439F2E">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95.94</w:t>
            </w:r>
          </w:p>
        </w:tc>
        <w:tc>
          <w:tcPr>
            <w:tcW w:w="347" w:type="pct"/>
            <w:tcBorders>
              <w:tl2br w:val="nil"/>
              <w:tr2bl w:val="nil"/>
            </w:tcBorders>
            <w:vAlign w:val="center"/>
          </w:tcPr>
          <w:p w14:paraId="58868E7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FB7A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59244AC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329DE836">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7F0B87D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0951968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-0.000692</w:t>
            </w:r>
          </w:p>
        </w:tc>
        <w:tc>
          <w:tcPr>
            <w:tcW w:w="609" w:type="pct"/>
            <w:tcBorders>
              <w:tl2br w:val="nil"/>
              <w:tr2bl w:val="nil"/>
            </w:tcBorders>
            <w:vAlign w:val="center"/>
          </w:tcPr>
          <w:p w14:paraId="6DDE200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5A04A3D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0A48785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26.11164</w:t>
            </w:r>
          </w:p>
        </w:tc>
        <w:tc>
          <w:tcPr>
            <w:tcW w:w="392" w:type="pct"/>
            <w:tcBorders>
              <w:tl2br w:val="nil"/>
              <w:tr2bl w:val="nil"/>
            </w:tcBorders>
            <w:vAlign w:val="center"/>
          </w:tcPr>
          <w:p w14:paraId="3115F8D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53.81</w:t>
            </w:r>
          </w:p>
        </w:tc>
        <w:tc>
          <w:tcPr>
            <w:tcW w:w="347" w:type="pct"/>
            <w:tcBorders>
              <w:tl2br w:val="nil"/>
              <w:tr2bl w:val="nil"/>
            </w:tcBorders>
            <w:vAlign w:val="center"/>
          </w:tcPr>
          <w:p w14:paraId="4BD9DB5D">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0CAA8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69433E2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0DA8F376">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八五二农场四分场</w:t>
            </w:r>
          </w:p>
        </w:tc>
        <w:tc>
          <w:tcPr>
            <w:tcW w:w="1086" w:type="pct"/>
            <w:tcBorders>
              <w:tl2br w:val="nil"/>
              <w:tr2bl w:val="nil"/>
            </w:tcBorders>
            <w:vAlign w:val="center"/>
          </w:tcPr>
          <w:p w14:paraId="7554D0E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7DAED3F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0.000065</w:t>
            </w:r>
          </w:p>
        </w:tc>
        <w:tc>
          <w:tcPr>
            <w:tcW w:w="609" w:type="pct"/>
            <w:tcBorders>
              <w:tl2br w:val="nil"/>
              <w:tr2bl w:val="nil"/>
            </w:tcBorders>
            <w:vAlign w:val="center"/>
          </w:tcPr>
          <w:p w14:paraId="3EDEB62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156E3FD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77AE692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57.00006</w:t>
            </w:r>
          </w:p>
        </w:tc>
        <w:tc>
          <w:tcPr>
            <w:tcW w:w="392" w:type="pct"/>
            <w:tcBorders>
              <w:tl2br w:val="nil"/>
              <w:tr2bl w:val="nil"/>
            </w:tcBorders>
            <w:vAlign w:val="center"/>
          </w:tcPr>
          <w:p w14:paraId="270F3415">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96.00</w:t>
            </w:r>
          </w:p>
        </w:tc>
        <w:tc>
          <w:tcPr>
            <w:tcW w:w="347" w:type="pct"/>
            <w:tcBorders>
              <w:tl2br w:val="nil"/>
              <w:tr2bl w:val="nil"/>
            </w:tcBorders>
            <w:vAlign w:val="center"/>
          </w:tcPr>
          <w:p w14:paraId="3E93B30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7071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5CEE1F5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0E194D6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5CE4603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481A301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-0.000027</w:t>
            </w:r>
          </w:p>
        </w:tc>
        <w:tc>
          <w:tcPr>
            <w:tcW w:w="609" w:type="pct"/>
            <w:tcBorders>
              <w:tl2br w:val="nil"/>
              <w:tr2bl w:val="nil"/>
            </w:tcBorders>
            <w:vAlign w:val="center"/>
          </w:tcPr>
          <w:p w14:paraId="2981FB5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0317DD2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3101B8F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w:t>
            </w:r>
          </w:p>
        </w:tc>
        <w:tc>
          <w:tcPr>
            <w:tcW w:w="392" w:type="pct"/>
            <w:tcBorders>
              <w:tl2br w:val="nil"/>
              <w:tr2bl w:val="nil"/>
            </w:tcBorders>
            <w:vAlign w:val="center"/>
          </w:tcPr>
          <w:p w14:paraId="77D5566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53.96</w:t>
            </w:r>
          </w:p>
        </w:tc>
        <w:tc>
          <w:tcPr>
            <w:tcW w:w="347" w:type="pct"/>
            <w:tcBorders>
              <w:tl2br w:val="nil"/>
              <w:tr2bl w:val="nil"/>
            </w:tcBorders>
            <w:vAlign w:val="center"/>
          </w:tcPr>
          <w:p w14:paraId="201C45ED">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C159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2971485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37449FAE">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八五二农场副业队</w:t>
            </w:r>
          </w:p>
        </w:tc>
        <w:tc>
          <w:tcPr>
            <w:tcW w:w="1086" w:type="pct"/>
            <w:tcBorders>
              <w:tl2br w:val="nil"/>
              <w:tr2bl w:val="nil"/>
            </w:tcBorders>
            <w:vAlign w:val="center"/>
          </w:tcPr>
          <w:p w14:paraId="2870208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10BFD57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0.000004</w:t>
            </w:r>
          </w:p>
        </w:tc>
        <w:tc>
          <w:tcPr>
            <w:tcW w:w="609" w:type="pct"/>
            <w:tcBorders>
              <w:tl2br w:val="nil"/>
              <w:tr2bl w:val="nil"/>
            </w:tcBorders>
            <w:vAlign w:val="center"/>
          </w:tcPr>
          <w:p w14:paraId="3E27091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778A88A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69D84F5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392" w:type="pct"/>
            <w:tcBorders>
              <w:tl2br w:val="nil"/>
              <w:tr2bl w:val="nil"/>
            </w:tcBorders>
            <w:vAlign w:val="center"/>
          </w:tcPr>
          <w:p w14:paraId="3B8A1AE9">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95.81</w:t>
            </w:r>
          </w:p>
        </w:tc>
        <w:tc>
          <w:tcPr>
            <w:tcW w:w="347" w:type="pct"/>
            <w:tcBorders>
              <w:tl2br w:val="nil"/>
              <w:tr2bl w:val="nil"/>
            </w:tcBorders>
            <w:vAlign w:val="center"/>
          </w:tcPr>
          <w:p w14:paraId="5928E52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510C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1B49475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1DB4A85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320EA85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0A4DD68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-0.000077</w:t>
            </w:r>
          </w:p>
        </w:tc>
        <w:tc>
          <w:tcPr>
            <w:tcW w:w="609" w:type="pct"/>
            <w:tcBorders>
              <w:tl2br w:val="nil"/>
              <w:tr2bl w:val="nil"/>
            </w:tcBorders>
            <w:vAlign w:val="center"/>
          </w:tcPr>
          <w:p w14:paraId="7C8C4A8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1C94222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019E7B2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26.11225</w:t>
            </w:r>
          </w:p>
        </w:tc>
        <w:tc>
          <w:tcPr>
            <w:tcW w:w="392" w:type="pct"/>
            <w:tcBorders>
              <w:tl2br w:val="nil"/>
              <w:tr2bl w:val="nil"/>
            </w:tcBorders>
            <w:vAlign w:val="center"/>
          </w:tcPr>
          <w:p w14:paraId="6D9924B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53.77</w:t>
            </w:r>
          </w:p>
        </w:tc>
        <w:tc>
          <w:tcPr>
            <w:tcW w:w="347" w:type="pct"/>
            <w:tcBorders>
              <w:tl2br w:val="nil"/>
              <w:tr2bl w:val="nil"/>
            </w:tcBorders>
            <w:vAlign w:val="center"/>
          </w:tcPr>
          <w:p w14:paraId="699A7C4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0F0C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19789A7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19AA31EB">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八五二农场种畜站</w:t>
            </w:r>
          </w:p>
        </w:tc>
        <w:tc>
          <w:tcPr>
            <w:tcW w:w="1086" w:type="pct"/>
            <w:tcBorders>
              <w:tl2br w:val="nil"/>
              <w:tr2bl w:val="nil"/>
            </w:tcBorders>
            <w:vAlign w:val="center"/>
          </w:tcPr>
          <w:p w14:paraId="349DFCF9">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5EAA897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0B11A86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5111B42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26FD1AD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392" w:type="pct"/>
            <w:tcBorders>
              <w:tl2br w:val="nil"/>
              <w:tr2bl w:val="nil"/>
            </w:tcBorders>
            <w:vAlign w:val="center"/>
          </w:tcPr>
          <w:p w14:paraId="1558FD72">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95.80</w:t>
            </w:r>
          </w:p>
        </w:tc>
        <w:tc>
          <w:tcPr>
            <w:tcW w:w="347" w:type="pct"/>
            <w:tcBorders>
              <w:tl2br w:val="nil"/>
              <w:tr2bl w:val="nil"/>
            </w:tcBorders>
            <w:vAlign w:val="center"/>
          </w:tcPr>
          <w:p w14:paraId="27CD26B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088A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13FBD20D">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60FC8559">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64B769E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52CB31E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-0.000188</w:t>
            </w:r>
          </w:p>
        </w:tc>
        <w:tc>
          <w:tcPr>
            <w:tcW w:w="609" w:type="pct"/>
            <w:tcBorders>
              <w:tl2br w:val="nil"/>
              <w:tr2bl w:val="nil"/>
            </w:tcBorders>
            <w:vAlign w:val="center"/>
          </w:tcPr>
          <w:p w14:paraId="4292F7B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2FFC529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3182DA8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26.11214</w:t>
            </w:r>
          </w:p>
        </w:tc>
        <w:tc>
          <w:tcPr>
            <w:tcW w:w="392" w:type="pct"/>
            <w:tcBorders>
              <w:tl2br w:val="nil"/>
              <w:tr2bl w:val="nil"/>
            </w:tcBorders>
            <w:vAlign w:val="center"/>
          </w:tcPr>
          <w:p w14:paraId="60758BE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53.77</w:t>
            </w:r>
          </w:p>
        </w:tc>
        <w:tc>
          <w:tcPr>
            <w:tcW w:w="347" w:type="pct"/>
            <w:tcBorders>
              <w:tl2br w:val="nil"/>
              <w:tr2bl w:val="nil"/>
            </w:tcBorders>
            <w:vAlign w:val="center"/>
          </w:tcPr>
          <w:p w14:paraId="537CD56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08E3F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6883B7B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7810313A">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迎春林业局光明林场</w:t>
            </w:r>
          </w:p>
        </w:tc>
        <w:tc>
          <w:tcPr>
            <w:tcW w:w="1086" w:type="pct"/>
            <w:tcBorders>
              <w:tl2br w:val="nil"/>
              <w:tr2bl w:val="nil"/>
            </w:tcBorders>
            <w:vAlign w:val="center"/>
          </w:tcPr>
          <w:p w14:paraId="321C3A3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7A97A56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71B51CD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14DC053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33A46E0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392" w:type="pct"/>
            <w:tcBorders>
              <w:tl2br w:val="nil"/>
              <w:tr2bl w:val="nil"/>
            </w:tcBorders>
            <w:vAlign w:val="center"/>
          </w:tcPr>
          <w:p w14:paraId="315014BC">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95.95</w:t>
            </w:r>
          </w:p>
        </w:tc>
        <w:tc>
          <w:tcPr>
            <w:tcW w:w="347" w:type="pct"/>
            <w:tcBorders>
              <w:tl2br w:val="nil"/>
              <w:tr2bl w:val="nil"/>
            </w:tcBorders>
            <w:vAlign w:val="center"/>
          </w:tcPr>
          <w:p w14:paraId="47133A6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1727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73B039E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2704DBD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517AC74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319E503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-0.000054</w:t>
            </w:r>
          </w:p>
        </w:tc>
        <w:tc>
          <w:tcPr>
            <w:tcW w:w="609" w:type="pct"/>
            <w:tcBorders>
              <w:tl2br w:val="nil"/>
              <w:tr2bl w:val="nil"/>
            </w:tcBorders>
            <w:vAlign w:val="center"/>
          </w:tcPr>
          <w:p w14:paraId="773077B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6F8E016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27B317B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26.11228</w:t>
            </w:r>
          </w:p>
        </w:tc>
        <w:tc>
          <w:tcPr>
            <w:tcW w:w="392" w:type="pct"/>
            <w:tcBorders>
              <w:tl2br w:val="nil"/>
              <w:tr2bl w:val="nil"/>
            </w:tcBorders>
            <w:vAlign w:val="center"/>
          </w:tcPr>
          <w:p w14:paraId="35E7EAB2">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53.91</w:t>
            </w:r>
          </w:p>
        </w:tc>
        <w:tc>
          <w:tcPr>
            <w:tcW w:w="347" w:type="pct"/>
            <w:tcBorders>
              <w:tl2br w:val="nil"/>
              <w:tr2bl w:val="nil"/>
            </w:tcBorders>
            <w:vAlign w:val="center"/>
          </w:tcPr>
          <w:p w14:paraId="0BAFC2B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FD18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194AFCE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09EAD463">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虎宝工厂南林工段</w:t>
            </w:r>
          </w:p>
        </w:tc>
        <w:tc>
          <w:tcPr>
            <w:tcW w:w="1086" w:type="pct"/>
            <w:tcBorders>
              <w:tl2br w:val="nil"/>
              <w:tr2bl w:val="nil"/>
            </w:tcBorders>
            <w:vAlign w:val="center"/>
          </w:tcPr>
          <w:p w14:paraId="3A800FF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590BDC1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5984A84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0F1F0C0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0D44389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392" w:type="pct"/>
            <w:tcBorders>
              <w:tl2br w:val="nil"/>
              <w:tr2bl w:val="nil"/>
            </w:tcBorders>
            <w:vAlign w:val="center"/>
          </w:tcPr>
          <w:p w14:paraId="0E147778">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95.95</w:t>
            </w:r>
          </w:p>
        </w:tc>
        <w:tc>
          <w:tcPr>
            <w:tcW w:w="347" w:type="pct"/>
            <w:tcBorders>
              <w:tl2br w:val="nil"/>
              <w:tr2bl w:val="nil"/>
            </w:tcBorders>
            <w:vAlign w:val="center"/>
          </w:tcPr>
          <w:p w14:paraId="303FC10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77B43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42B0A45D">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593EEBCA">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3D2D79D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3B23A53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-0.000136</w:t>
            </w:r>
          </w:p>
        </w:tc>
        <w:tc>
          <w:tcPr>
            <w:tcW w:w="609" w:type="pct"/>
            <w:tcBorders>
              <w:tl2br w:val="nil"/>
              <w:tr2bl w:val="nil"/>
            </w:tcBorders>
            <w:vAlign w:val="center"/>
          </w:tcPr>
          <w:p w14:paraId="71D81D4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778BE05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2AE7CC1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26.11219</w:t>
            </w:r>
          </w:p>
        </w:tc>
        <w:tc>
          <w:tcPr>
            <w:tcW w:w="392" w:type="pct"/>
            <w:tcBorders>
              <w:tl2br w:val="nil"/>
              <w:tr2bl w:val="nil"/>
            </w:tcBorders>
            <w:vAlign w:val="center"/>
          </w:tcPr>
          <w:p w14:paraId="720FA017">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53.90</w:t>
            </w:r>
          </w:p>
        </w:tc>
        <w:tc>
          <w:tcPr>
            <w:tcW w:w="347" w:type="pct"/>
            <w:tcBorders>
              <w:tl2br w:val="nil"/>
              <w:tr2bl w:val="nil"/>
            </w:tcBorders>
            <w:vAlign w:val="center"/>
          </w:tcPr>
          <w:p w14:paraId="3D2244F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CED4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2237784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1E5526F7">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虎宝村</w:t>
            </w:r>
          </w:p>
        </w:tc>
        <w:tc>
          <w:tcPr>
            <w:tcW w:w="1086" w:type="pct"/>
            <w:tcBorders>
              <w:tl2br w:val="nil"/>
              <w:tr2bl w:val="nil"/>
            </w:tcBorders>
            <w:vAlign w:val="center"/>
          </w:tcPr>
          <w:p w14:paraId="1A840976">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7BFEC1F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0.000008</w:t>
            </w:r>
          </w:p>
        </w:tc>
        <w:tc>
          <w:tcPr>
            <w:tcW w:w="609" w:type="pct"/>
            <w:tcBorders>
              <w:tl2br w:val="nil"/>
              <w:tr2bl w:val="nil"/>
            </w:tcBorders>
            <w:vAlign w:val="center"/>
          </w:tcPr>
          <w:p w14:paraId="6A628B5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25C9C40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58FBDA0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57.00001</w:t>
            </w:r>
          </w:p>
        </w:tc>
        <w:tc>
          <w:tcPr>
            <w:tcW w:w="392" w:type="pct"/>
            <w:tcBorders>
              <w:tl2br w:val="nil"/>
              <w:tr2bl w:val="nil"/>
            </w:tcBorders>
            <w:vAlign w:val="center"/>
          </w:tcPr>
          <w:p w14:paraId="4F9B0380">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96.00</w:t>
            </w:r>
          </w:p>
        </w:tc>
        <w:tc>
          <w:tcPr>
            <w:tcW w:w="347" w:type="pct"/>
            <w:tcBorders>
              <w:tl2br w:val="nil"/>
              <w:tr2bl w:val="nil"/>
            </w:tcBorders>
            <w:vAlign w:val="center"/>
          </w:tcPr>
          <w:p w14:paraId="0D5D4BA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7B2F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6759FAD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68D5C85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75AFAE4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4AC10B8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0.000063</w:t>
            </w:r>
          </w:p>
        </w:tc>
        <w:tc>
          <w:tcPr>
            <w:tcW w:w="609" w:type="pct"/>
            <w:tcBorders>
              <w:tl2br w:val="nil"/>
              <w:tr2bl w:val="nil"/>
            </w:tcBorders>
            <w:vAlign w:val="center"/>
          </w:tcPr>
          <w:p w14:paraId="3EFD8A0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3D79C1D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0220034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26.11239</w:t>
            </w:r>
          </w:p>
        </w:tc>
        <w:tc>
          <w:tcPr>
            <w:tcW w:w="392" w:type="pct"/>
            <w:tcBorders>
              <w:tl2br w:val="nil"/>
              <w:tr2bl w:val="nil"/>
            </w:tcBorders>
            <w:vAlign w:val="center"/>
          </w:tcPr>
          <w:p w14:paraId="386CAF1A">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53.96</w:t>
            </w:r>
          </w:p>
        </w:tc>
        <w:tc>
          <w:tcPr>
            <w:tcW w:w="347" w:type="pct"/>
            <w:tcBorders>
              <w:tl2br w:val="nil"/>
              <w:tr2bl w:val="nil"/>
            </w:tcBorders>
            <w:vAlign w:val="center"/>
          </w:tcPr>
          <w:p w14:paraId="1980CBAD">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3F9C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07D973E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restart"/>
            <w:tcBorders>
              <w:tl2br w:val="nil"/>
              <w:tr2bl w:val="nil"/>
            </w:tcBorders>
            <w:vAlign w:val="center"/>
          </w:tcPr>
          <w:p w14:paraId="02CA8B04">
            <w:pPr>
              <w:spacing w:line="240" w:lineRule="auto"/>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区域最大落地浓度</w:t>
            </w:r>
          </w:p>
        </w:tc>
        <w:tc>
          <w:tcPr>
            <w:tcW w:w="1086" w:type="pct"/>
            <w:tcBorders>
              <w:tl2br w:val="nil"/>
              <w:tr2bl w:val="nil"/>
            </w:tcBorders>
            <w:vAlign w:val="center"/>
          </w:tcPr>
          <w:p w14:paraId="72C9305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第95百分位数日平均质量浓度</w:t>
            </w:r>
          </w:p>
        </w:tc>
        <w:tc>
          <w:tcPr>
            <w:tcW w:w="472" w:type="pct"/>
            <w:tcBorders>
              <w:tl2br w:val="nil"/>
              <w:tr2bl w:val="nil"/>
            </w:tcBorders>
            <w:vAlign w:val="center"/>
          </w:tcPr>
          <w:p w14:paraId="20A0642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0.013458</w:t>
            </w:r>
          </w:p>
        </w:tc>
        <w:tc>
          <w:tcPr>
            <w:tcW w:w="609" w:type="pct"/>
            <w:tcBorders>
              <w:tl2br w:val="nil"/>
              <w:tr2bl w:val="nil"/>
            </w:tcBorders>
            <w:vAlign w:val="center"/>
          </w:tcPr>
          <w:p w14:paraId="3B215E5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240102</w:t>
            </w:r>
          </w:p>
        </w:tc>
        <w:tc>
          <w:tcPr>
            <w:tcW w:w="609" w:type="pct"/>
            <w:tcBorders>
              <w:tl2br w:val="nil"/>
              <w:tr2bl w:val="nil"/>
            </w:tcBorders>
            <w:vAlign w:val="center"/>
          </w:tcPr>
          <w:p w14:paraId="622EDD3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w:t>
            </w:r>
          </w:p>
        </w:tc>
        <w:tc>
          <w:tcPr>
            <w:tcW w:w="710" w:type="pct"/>
            <w:tcBorders>
              <w:tl2br w:val="nil"/>
              <w:tr2bl w:val="nil"/>
            </w:tcBorders>
            <w:vAlign w:val="center"/>
          </w:tcPr>
          <w:p w14:paraId="17C9E48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57.01346</w:t>
            </w:r>
          </w:p>
        </w:tc>
        <w:tc>
          <w:tcPr>
            <w:tcW w:w="392" w:type="pct"/>
            <w:tcBorders>
              <w:tl2br w:val="nil"/>
              <w:tr2bl w:val="nil"/>
            </w:tcBorders>
            <w:vAlign w:val="center"/>
          </w:tcPr>
          <w:p w14:paraId="19371EF3">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96.00</w:t>
            </w:r>
          </w:p>
        </w:tc>
        <w:tc>
          <w:tcPr>
            <w:tcW w:w="347" w:type="pct"/>
            <w:tcBorders>
              <w:tl2br w:val="nil"/>
              <w:tr2bl w:val="nil"/>
            </w:tcBorders>
            <w:vAlign w:val="center"/>
          </w:tcPr>
          <w:p w14:paraId="6BA6D02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82A0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1" w:type="pct"/>
            <w:vMerge w:val="continue"/>
            <w:tcBorders>
              <w:tl2br w:val="nil"/>
              <w:tr2bl w:val="nil"/>
            </w:tcBorders>
            <w:vAlign w:val="center"/>
          </w:tcPr>
          <w:p w14:paraId="7E1C5CE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30" w:type="pct"/>
            <w:vMerge w:val="continue"/>
            <w:tcBorders>
              <w:tl2br w:val="nil"/>
              <w:tr2bl w:val="nil"/>
            </w:tcBorders>
            <w:vAlign w:val="center"/>
          </w:tcPr>
          <w:p w14:paraId="1A1EBBDA">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86" w:type="pct"/>
            <w:tcBorders>
              <w:tl2br w:val="nil"/>
              <w:tr2bl w:val="nil"/>
            </w:tcBorders>
            <w:vAlign w:val="center"/>
          </w:tcPr>
          <w:p w14:paraId="0EECBA0A">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472" w:type="pct"/>
            <w:tcBorders>
              <w:tl2br w:val="nil"/>
              <w:tr2bl w:val="nil"/>
            </w:tcBorders>
            <w:vAlign w:val="center"/>
          </w:tcPr>
          <w:p w14:paraId="73F5AF5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0.001247</w:t>
            </w:r>
          </w:p>
        </w:tc>
        <w:tc>
          <w:tcPr>
            <w:tcW w:w="609" w:type="pct"/>
            <w:tcBorders>
              <w:tl2br w:val="nil"/>
              <w:tr2bl w:val="nil"/>
            </w:tcBorders>
            <w:vAlign w:val="center"/>
          </w:tcPr>
          <w:p w14:paraId="146EAA0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0E39BA1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26.11233</w:t>
            </w:r>
          </w:p>
        </w:tc>
        <w:tc>
          <w:tcPr>
            <w:tcW w:w="710" w:type="pct"/>
            <w:tcBorders>
              <w:tl2br w:val="nil"/>
              <w:tr2bl w:val="nil"/>
            </w:tcBorders>
            <w:vAlign w:val="center"/>
          </w:tcPr>
          <w:p w14:paraId="6311CF0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26.11358</w:t>
            </w:r>
          </w:p>
        </w:tc>
        <w:tc>
          <w:tcPr>
            <w:tcW w:w="392" w:type="pct"/>
            <w:tcBorders>
              <w:tl2br w:val="nil"/>
              <w:tr2bl w:val="nil"/>
            </w:tcBorders>
            <w:vAlign w:val="center"/>
          </w:tcPr>
          <w:p w14:paraId="6D9F434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53.97</w:t>
            </w:r>
          </w:p>
        </w:tc>
        <w:tc>
          <w:tcPr>
            <w:tcW w:w="347" w:type="pct"/>
            <w:tcBorders>
              <w:tl2br w:val="nil"/>
              <w:tr2bl w:val="nil"/>
            </w:tcBorders>
            <w:vAlign w:val="center"/>
          </w:tcPr>
          <w:p w14:paraId="2DD8C48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bl>
    <w:p w14:paraId="01B37900">
      <w:pPr>
        <w:rPr>
          <w:rFonts w:eastAsia="宋体"/>
          <w:color w:val="auto"/>
        </w:rPr>
      </w:pPr>
      <w:r>
        <w:rPr>
          <w:rFonts w:eastAsia="宋体"/>
          <w:color w:val="auto"/>
        </w:rPr>
        <w:br w:type="page"/>
      </w:r>
    </w:p>
    <w:p w14:paraId="4EA05D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表6.2-22  本项目SO</w:t>
      </w:r>
      <w:r>
        <w:rPr>
          <w:rFonts w:hint="eastAsia" w:ascii="Times New Roman" w:hAnsi="Times New Roman" w:eastAsia="宋体" w:cs="Times New Roman"/>
          <w:b/>
          <w:bCs/>
          <w:color w:val="auto"/>
          <w:sz w:val="24"/>
          <w:szCs w:val="24"/>
          <w:vertAlign w:val="subscript"/>
          <w:lang w:val="en-US" w:eastAsia="zh-CN"/>
        </w:rPr>
        <w:t>2</w:t>
      </w:r>
      <w:r>
        <w:rPr>
          <w:rFonts w:hint="eastAsia" w:ascii="Times New Roman" w:hAnsi="Times New Roman" w:eastAsia="宋体" w:cs="Times New Roman"/>
          <w:b/>
          <w:bCs/>
          <w:color w:val="auto"/>
          <w:sz w:val="24"/>
          <w:szCs w:val="24"/>
          <w:lang w:val="en-US" w:eastAsia="zh-CN"/>
        </w:rPr>
        <w:t>叠加后环境质量浓度预测结果表</w:t>
      </w:r>
    </w:p>
    <w:tbl>
      <w:tblPr>
        <w:tblStyle w:val="4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
        <w:gridCol w:w="1192"/>
        <w:gridCol w:w="3037"/>
        <w:gridCol w:w="1541"/>
        <w:gridCol w:w="1732"/>
        <w:gridCol w:w="1732"/>
        <w:gridCol w:w="2019"/>
        <w:gridCol w:w="1115"/>
        <w:gridCol w:w="988"/>
      </w:tblGrid>
      <w:tr w14:paraId="01F55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tcBorders>
              <w:tl2br w:val="nil"/>
              <w:tr2bl w:val="nil"/>
            </w:tcBorders>
            <w:vAlign w:val="center"/>
          </w:tcPr>
          <w:p w14:paraId="765402D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污染物</w:t>
            </w:r>
          </w:p>
        </w:tc>
        <w:tc>
          <w:tcPr>
            <w:tcW w:w="419" w:type="pct"/>
            <w:tcBorders>
              <w:tl2br w:val="nil"/>
              <w:tr2bl w:val="nil"/>
            </w:tcBorders>
            <w:vAlign w:val="center"/>
          </w:tcPr>
          <w:p w14:paraId="03582EE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预测点</w:t>
            </w:r>
          </w:p>
        </w:tc>
        <w:tc>
          <w:tcPr>
            <w:tcW w:w="1068" w:type="pct"/>
            <w:tcBorders>
              <w:tl2br w:val="nil"/>
              <w:tr2bl w:val="nil"/>
            </w:tcBorders>
            <w:vAlign w:val="center"/>
          </w:tcPr>
          <w:p w14:paraId="27DF254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平均时段</w:t>
            </w:r>
          </w:p>
        </w:tc>
        <w:tc>
          <w:tcPr>
            <w:tcW w:w="542" w:type="pct"/>
            <w:tcBorders>
              <w:tl2br w:val="nil"/>
              <w:tr2bl w:val="nil"/>
            </w:tcBorders>
            <w:vAlign w:val="center"/>
          </w:tcPr>
          <w:p w14:paraId="2E44965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贡献值/（μg/m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609" w:type="pct"/>
            <w:tcBorders>
              <w:tl2br w:val="nil"/>
              <w:tr2bl w:val="nil"/>
            </w:tcBorders>
            <w:vAlign w:val="center"/>
          </w:tcPr>
          <w:p w14:paraId="7C0A31C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出现时间</w:t>
            </w:r>
          </w:p>
        </w:tc>
        <w:tc>
          <w:tcPr>
            <w:tcW w:w="609" w:type="pct"/>
            <w:tcBorders>
              <w:tl2br w:val="nil"/>
              <w:tr2bl w:val="nil"/>
            </w:tcBorders>
            <w:vAlign w:val="center"/>
          </w:tcPr>
          <w:p w14:paraId="0A53FC5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现状浓度/（μg/m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710" w:type="pct"/>
            <w:tcBorders>
              <w:tl2br w:val="nil"/>
              <w:tr2bl w:val="nil"/>
            </w:tcBorders>
            <w:vAlign w:val="center"/>
          </w:tcPr>
          <w:p w14:paraId="3A45A0C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叠加后浓度/（μg/m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392" w:type="pct"/>
            <w:tcBorders>
              <w:tl2br w:val="nil"/>
              <w:tr2bl w:val="nil"/>
            </w:tcBorders>
            <w:vAlign w:val="center"/>
          </w:tcPr>
          <w:p w14:paraId="160372F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占标率/%</w:t>
            </w:r>
          </w:p>
        </w:tc>
        <w:tc>
          <w:tcPr>
            <w:tcW w:w="347" w:type="pct"/>
            <w:tcBorders>
              <w:tl2br w:val="nil"/>
              <w:tr2bl w:val="nil"/>
            </w:tcBorders>
            <w:vAlign w:val="center"/>
          </w:tcPr>
          <w:p w14:paraId="434FDCA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达标情况</w:t>
            </w:r>
          </w:p>
        </w:tc>
      </w:tr>
      <w:tr w14:paraId="5F039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restart"/>
            <w:tcBorders>
              <w:tl2br w:val="nil"/>
              <w:tr2bl w:val="nil"/>
            </w:tcBorders>
            <w:vAlign w:val="center"/>
          </w:tcPr>
          <w:p w14:paraId="013DB77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vertAlign w:val="subscript"/>
                <w:lang w:bidi="ar"/>
              </w:rPr>
            </w:pPr>
            <w:r>
              <w:rPr>
                <w:rFonts w:hint="eastAsia" w:ascii="Times New Roman" w:hAnsi="Times New Roman" w:eastAsia="宋体" w:cs="Times New Roman"/>
                <w:color w:val="auto"/>
                <w:kern w:val="0"/>
                <w:sz w:val="21"/>
                <w:szCs w:val="21"/>
                <w:lang w:bidi="ar"/>
              </w:rPr>
              <w:t>SO</w:t>
            </w:r>
            <w:r>
              <w:rPr>
                <w:rFonts w:hint="eastAsia" w:ascii="Times New Roman" w:hAnsi="Times New Roman" w:eastAsia="宋体" w:cs="Times New Roman"/>
                <w:color w:val="auto"/>
                <w:kern w:val="0"/>
                <w:sz w:val="21"/>
                <w:szCs w:val="21"/>
                <w:vertAlign w:val="subscript"/>
                <w:lang w:bidi="ar"/>
              </w:rPr>
              <w:t>2</w:t>
            </w:r>
          </w:p>
        </w:tc>
        <w:tc>
          <w:tcPr>
            <w:tcW w:w="419" w:type="pct"/>
            <w:vMerge w:val="restart"/>
            <w:tcBorders>
              <w:tl2br w:val="nil"/>
              <w:tr2bl w:val="nil"/>
            </w:tcBorders>
            <w:vAlign w:val="center"/>
          </w:tcPr>
          <w:p w14:paraId="3C61811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八五二农场场部</w:t>
            </w:r>
          </w:p>
        </w:tc>
        <w:tc>
          <w:tcPr>
            <w:tcW w:w="1068" w:type="pct"/>
            <w:tcBorders>
              <w:tl2br w:val="nil"/>
              <w:tr2bl w:val="nil"/>
            </w:tcBorders>
            <w:vAlign w:val="center"/>
          </w:tcPr>
          <w:p w14:paraId="1A50B98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18C7946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01B53F5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0A1EF82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6B5797D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4C23D54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1C90315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1ADD8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47D034F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2DBDEAA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3BEDC75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02F88C6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-0.054133</w:t>
            </w:r>
          </w:p>
        </w:tc>
        <w:tc>
          <w:tcPr>
            <w:tcW w:w="609" w:type="pct"/>
            <w:tcBorders>
              <w:tl2br w:val="nil"/>
              <w:tr2bl w:val="nil"/>
            </w:tcBorders>
            <w:vAlign w:val="center"/>
          </w:tcPr>
          <w:p w14:paraId="2CC9B93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6BCD612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2CE94BE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9.636278</w:t>
            </w:r>
          </w:p>
        </w:tc>
        <w:tc>
          <w:tcPr>
            <w:tcW w:w="392" w:type="pct"/>
            <w:tcBorders>
              <w:tl2br w:val="nil"/>
              <w:tr2bl w:val="nil"/>
            </w:tcBorders>
            <w:vAlign w:val="center"/>
          </w:tcPr>
          <w:p w14:paraId="3E2C108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16.06</w:t>
            </w:r>
          </w:p>
        </w:tc>
        <w:tc>
          <w:tcPr>
            <w:tcW w:w="347" w:type="pct"/>
            <w:tcBorders>
              <w:tl2br w:val="nil"/>
              <w:tr2bl w:val="nil"/>
            </w:tcBorders>
            <w:vAlign w:val="center"/>
          </w:tcPr>
          <w:p w14:paraId="61A370D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09E43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6795F8D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557DC8E8">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和平管理区</w:t>
            </w:r>
          </w:p>
        </w:tc>
        <w:tc>
          <w:tcPr>
            <w:tcW w:w="1068" w:type="pct"/>
            <w:tcBorders>
              <w:tl2br w:val="nil"/>
              <w:tr2bl w:val="nil"/>
            </w:tcBorders>
            <w:vAlign w:val="center"/>
          </w:tcPr>
          <w:p w14:paraId="056C806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55EBAB0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05B2383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0AC3E3D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32C8834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1F0CFB9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13D3429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1D206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6A472C5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4E605A2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25F4E18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50BF082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-0.034256</w:t>
            </w:r>
          </w:p>
        </w:tc>
        <w:tc>
          <w:tcPr>
            <w:tcW w:w="609" w:type="pct"/>
            <w:tcBorders>
              <w:tl2br w:val="nil"/>
              <w:tr2bl w:val="nil"/>
            </w:tcBorders>
            <w:vAlign w:val="center"/>
          </w:tcPr>
          <w:p w14:paraId="6BAAB7B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4A7C7C8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0FC620F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9.656155</w:t>
            </w:r>
          </w:p>
        </w:tc>
        <w:tc>
          <w:tcPr>
            <w:tcW w:w="392" w:type="pct"/>
            <w:tcBorders>
              <w:tl2br w:val="nil"/>
              <w:tr2bl w:val="nil"/>
            </w:tcBorders>
            <w:vAlign w:val="center"/>
          </w:tcPr>
          <w:p w14:paraId="08DD89A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16.09</w:t>
            </w:r>
          </w:p>
        </w:tc>
        <w:tc>
          <w:tcPr>
            <w:tcW w:w="347" w:type="pct"/>
            <w:tcBorders>
              <w:tl2br w:val="nil"/>
              <w:tr2bl w:val="nil"/>
            </w:tcBorders>
            <w:vAlign w:val="center"/>
          </w:tcPr>
          <w:p w14:paraId="546BB0A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6F61D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16BD8BC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6C60275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南林小区</w:t>
            </w:r>
          </w:p>
        </w:tc>
        <w:tc>
          <w:tcPr>
            <w:tcW w:w="1068" w:type="pct"/>
            <w:tcBorders>
              <w:tl2br w:val="nil"/>
              <w:tr2bl w:val="nil"/>
            </w:tcBorders>
            <w:vAlign w:val="center"/>
          </w:tcPr>
          <w:p w14:paraId="7F690B1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2EAF9D9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4E0B0A7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298B143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696D502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7705109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24A2ADB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39540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1D2EC75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001E4BD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338E655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1C0EB79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-0.063625</w:t>
            </w:r>
          </w:p>
        </w:tc>
        <w:tc>
          <w:tcPr>
            <w:tcW w:w="609" w:type="pct"/>
            <w:tcBorders>
              <w:tl2br w:val="nil"/>
              <w:tr2bl w:val="nil"/>
            </w:tcBorders>
            <w:vAlign w:val="center"/>
          </w:tcPr>
          <w:p w14:paraId="5759C71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24D5CBC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5608714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9.626785</w:t>
            </w:r>
          </w:p>
        </w:tc>
        <w:tc>
          <w:tcPr>
            <w:tcW w:w="392" w:type="pct"/>
            <w:tcBorders>
              <w:tl2br w:val="nil"/>
              <w:tr2bl w:val="nil"/>
            </w:tcBorders>
            <w:vAlign w:val="center"/>
          </w:tcPr>
          <w:p w14:paraId="2AF6CF0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16.04</w:t>
            </w:r>
          </w:p>
        </w:tc>
        <w:tc>
          <w:tcPr>
            <w:tcW w:w="347" w:type="pct"/>
            <w:tcBorders>
              <w:tl2br w:val="nil"/>
              <w:tr2bl w:val="nil"/>
            </w:tcBorders>
            <w:vAlign w:val="center"/>
          </w:tcPr>
          <w:p w14:paraId="4FD80ED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617A0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5DEE7C1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22EF759D">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八五二农场四分场</w:t>
            </w:r>
          </w:p>
        </w:tc>
        <w:tc>
          <w:tcPr>
            <w:tcW w:w="1068" w:type="pct"/>
            <w:tcBorders>
              <w:tl2br w:val="nil"/>
              <w:tr2bl w:val="nil"/>
            </w:tcBorders>
            <w:vAlign w:val="center"/>
          </w:tcPr>
          <w:p w14:paraId="639FB02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19D6EDB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7F27EF5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67866E3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71C867A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1E24D1F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59FD36C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6FB08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23C5C87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393E451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338513D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77F0ED3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-0.015748</w:t>
            </w:r>
          </w:p>
        </w:tc>
        <w:tc>
          <w:tcPr>
            <w:tcW w:w="609" w:type="pct"/>
            <w:tcBorders>
              <w:tl2br w:val="nil"/>
              <w:tr2bl w:val="nil"/>
            </w:tcBorders>
            <w:vAlign w:val="center"/>
          </w:tcPr>
          <w:p w14:paraId="3D94413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4E7BB17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4383780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9.674663</w:t>
            </w:r>
          </w:p>
        </w:tc>
        <w:tc>
          <w:tcPr>
            <w:tcW w:w="392" w:type="pct"/>
            <w:tcBorders>
              <w:tl2br w:val="nil"/>
              <w:tr2bl w:val="nil"/>
            </w:tcBorders>
            <w:vAlign w:val="center"/>
          </w:tcPr>
          <w:p w14:paraId="658CA75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16.12</w:t>
            </w:r>
          </w:p>
        </w:tc>
        <w:tc>
          <w:tcPr>
            <w:tcW w:w="347" w:type="pct"/>
            <w:tcBorders>
              <w:tl2br w:val="nil"/>
              <w:tr2bl w:val="nil"/>
            </w:tcBorders>
            <w:vAlign w:val="center"/>
          </w:tcPr>
          <w:p w14:paraId="597678F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29E20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663A340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4E986585">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八五二农场副业队</w:t>
            </w:r>
          </w:p>
        </w:tc>
        <w:tc>
          <w:tcPr>
            <w:tcW w:w="1068" w:type="pct"/>
            <w:tcBorders>
              <w:tl2br w:val="nil"/>
              <w:tr2bl w:val="nil"/>
            </w:tcBorders>
            <w:vAlign w:val="center"/>
          </w:tcPr>
          <w:p w14:paraId="0606E7C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6B479F7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690BEC4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2D90FEF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2E359DD9">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143B5CC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613A7DC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4C5B9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67A070E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6922B12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58EB2FD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21FA781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-0.020127</w:t>
            </w:r>
          </w:p>
        </w:tc>
        <w:tc>
          <w:tcPr>
            <w:tcW w:w="609" w:type="pct"/>
            <w:tcBorders>
              <w:tl2br w:val="nil"/>
              <w:tr2bl w:val="nil"/>
            </w:tcBorders>
            <w:vAlign w:val="center"/>
          </w:tcPr>
          <w:p w14:paraId="7F8E8CB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059E21B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616453E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9.670283</w:t>
            </w:r>
          </w:p>
        </w:tc>
        <w:tc>
          <w:tcPr>
            <w:tcW w:w="392" w:type="pct"/>
            <w:tcBorders>
              <w:tl2br w:val="nil"/>
              <w:tr2bl w:val="nil"/>
            </w:tcBorders>
            <w:vAlign w:val="center"/>
          </w:tcPr>
          <w:p w14:paraId="4F17663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16.12</w:t>
            </w:r>
          </w:p>
        </w:tc>
        <w:tc>
          <w:tcPr>
            <w:tcW w:w="347" w:type="pct"/>
            <w:tcBorders>
              <w:tl2br w:val="nil"/>
              <w:tr2bl w:val="nil"/>
            </w:tcBorders>
            <w:vAlign w:val="center"/>
          </w:tcPr>
          <w:p w14:paraId="2018884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7A750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0E28624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34D927BC">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八五二农场种畜站</w:t>
            </w:r>
          </w:p>
        </w:tc>
        <w:tc>
          <w:tcPr>
            <w:tcW w:w="1068" w:type="pct"/>
            <w:tcBorders>
              <w:tl2br w:val="nil"/>
              <w:tr2bl w:val="nil"/>
            </w:tcBorders>
            <w:vAlign w:val="center"/>
          </w:tcPr>
          <w:p w14:paraId="29C3C7F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7DC9F04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1E29506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0EBB95D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565BEA6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4510790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510E1C6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06794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0B6B8BC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4BD779F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522A8E2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69400000">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-0.029539</w:t>
            </w:r>
          </w:p>
        </w:tc>
        <w:tc>
          <w:tcPr>
            <w:tcW w:w="609" w:type="pct"/>
            <w:tcBorders>
              <w:tl2br w:val="nil"/>
              <w:tr2bl w:val="nil"/>
            </w:tcBorders>
            <w:vAlign w:val="center"/>
          </w:tcPr>
          <w:p w14:paraId="792CE3B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49076A4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25C4587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9.660872</w:t>
            </w:r>
          </w:p>
        </w:tc>
        <w:tc>
          <w:tcPr>
            <w:tcW w:w="392" w:type="pct"/>
            <w:tcBorders>
              <w:tl2br w:val="nil"/>
              <w:tr2bl w:val="nil"/>
            </w:tcBorders>
            <w:vAlign w:val="center"/>
          </w:tcPr>
          <w:p w14:paraId="2A1AB21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16.10</w:t>
            </w:r>
          </w:p>
        </w:tc>
        <w:tc>
          <w:tcPr>
            <w:tcW w:w="347" w:type="pct"/>
            <w:tcBorders>
              <w:tl2br w:val="nil"/>
              <w:tr2bl w:val="nil"/>
            </w:tcBorders>
            <w:vAlign w:val="center"/>
          </w:tcPr>
          <w:p w14:paraId="146458A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0A8C9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442FD23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601A6F0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迎春林业局光明林场</w:t>
            </w:r>
          </w:p>
        </w:tc>
        <w:tc>
          <w:tcPr>
            <w:tcW w:w="1068" w:type="pct"/>
            <w:tcBorders>
              <w:tl2br w:val="nil"/>
              <w:tr2bl w:val="nil"/>
            </w:tcBorders>
            <w:vAlign w:val="center"/>
          </w:tcPr>
          <w:p w14:paraId="7BB051E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612EBEE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1778B36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4562684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04B98A0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0A6847F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5EC1E6A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33528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192B149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732C4E4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04A453C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338A287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-0.017477</w:t>
            </w:r>
          </w:p>
        </w:tc>
        <w:tc>
          <w:tcPr>
            <w:tcW w:w="609" w:type="pct"/>
            <w:tcBorders>
              <w:tl2br w:val="nil"/>
              <w:tr2bl w:val="nil"/>
            </w:tcBorders>
            <w:vAlign w:val="center"/>
          </w:tcPr>
          <w:p w14:paraId="701FA8B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0618D91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6CC8A5E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9.672934</w:t>
            </w:r>
          </w:p>
        </w:tc>
        <w:tc>
          <w:tcPr>
            <w:tcW w:w="392" w:type="pct"/>
            <w:tcBorders>
              <w:tl2br w:val="nil"/>
              <w:tr2bl w:val="nil"/>
            </w:tcBorders>
            <w:vAlign w:val="center"/>
          </w:tcPr>
          <w:p w14:paraId="19983BF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16.12</w:t>
            </w:r>
          </w:p>
        </w:tc>
        <w:tc>
          <w:tcPr>
            <w:tcW w:w="347" w:type="pct"/>
            <w:tcBorders>
              <w:tl2br w:val="nil"/>
              <w:tr2bl w:val="nil"/>
            </w:tcBorders>
            <w:vAlign w:val="center"/>
          </w:tcPr>
          <w:p w14:paraId="1D33CC2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2FF40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60D0B74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65FFBDDD">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虎宝工厂南林工段</w:t>
            </w:r>
          </w:p>
        </w:tc>
        <w:tc>
          <w:tcPr>
            <w:tcW w:w="1068" w:type="pct"/>
            <w:tcBorders>
              <w:tl2br w:val="nil"/>
              <w:tr2bl w:val="nil"/>
            </w:tcBorders>
            <w:vAlign w:val="center"/>
          </w:tcPr>
          <w:p w14:paraId="7B22FA8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2F0D89DE">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0905C08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03EF7F87">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6C940CC4">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2638405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3727A5A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51D51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6FE465D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7511673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53A29B2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2883460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-0.055491</w:t>
            </w:r>
          </w:p>
        </w:tc>
        <w:tc>
          <w:tcPr>
            <w:tcW w:w="609" w:type="pct"/>
            <w:tcBorders>
              <w:tl2br w:val="nil"/>
              <w:tr2bl w:val="nil"/>
            </w:tcBorders>
            <w:vAlign w:val="center"/>
          </w:tcPr>
          <w:p w14:paraId="01A7AB8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18581C0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69841AE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9.63492</w:t>
            </w:r>
          </w:p>
        </w:tc>
        <w:tc>
          <w:tcPr>
            <w:tcW w:w="392" w:type="pct"/>
            <w:tcBorders>
              <w:tl2br w:val="nil"/>
              <w:tr2bl w:val="nil"/>
            </w:tcBorders>
            <w:vAlign w:val="center"/>
          </w:tcPr>
          <w:p w14:paraId="62719C2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16.06</w:t>
            </w:r>
          </w:p>
        </w:tc>
        <w:tc>
          <w:tcPr>
            <w:tcW w:w="347" w:type="pct"/>
            <w:tcBorders>
              <w:tl2br w:val="nil"/>
              <w:tr2bl w:val="nil"/>
            </w:tcBorders>
            <w:vAlign w:val="center"/>
          </w:tcPr>
          <w:p w14:paraId="4AD5DFF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5097B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1E8ECCA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30421335">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虎宝村</w:t>
            </w:r>
          </w:p>
        </w:tc>
        <w:tc>
          <w:tcPr>
            <w:tcW w:w="1068" w:type="pct"/>
            <w:tcBorders>
              <w:tl2br w:val="nil"/>
              <w:tr2bl w:val="nil"/>
            </w:tcBorders>
            <w:vAlign w:val="center"/>
          </w:tcPr>
          <w:p w14:paraId="213DE83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0B9165D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3FBC4EB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03330175">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5DCA3CA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7AE7529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627609B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2014A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525A078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0A70821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1627C68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6903588C">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-0.028676</w:t>
            </w:r>
          </w:p>
        </w:tc>
        <w:tc>
          <w:tcPr>
            <w:tcW w:w="609" w:type="pct"/>
            <w:tcBorders>
              <w:tl2br w:val="nil"/>
              <w:tr2bl w:val="nil"/>
            </w:tcBorders>
            <w:vAlign w:val="center"/>
          </w:tcPr>
          <w:p w14:paraId="0B12238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3AFC99B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64CDE6A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9.661735</w:t>
            </w:r>
          </w:p>
        </w:tc>
        <w:tc>
          <w:tcPr>
            <w:tcW w:w="392" w:type="pct"/>
            <w:tcBorders>
              <w:tl2br w:val="nil"/>
              <w:tr2bl w:val="nil"/>
            </w:tcBorders>
            <w:vAlign w:val="center"/>
          </w:tcPr>
          <w:p w14:paraId="5CAB308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16.10</w:t>
            </w:r>
          </w:p>
        </w:tc>
        <w:tc>
          <w:tcPr>
            <w:tcW w:w="347" w:type="pct"/>
            <w:tcBorders>
              <w:tl2br w:val="nil"/>
              <w:tr2bl w:val="nil"/>
            </w:tcBorders>
            <w:vAlign w:val="center"/>
          </w:tcPr>
          <w:p w14:paraId="324A7D9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51515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24C6B46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restart"/>
            <w:tcBorders>
              <w:tl2br w:val="nil"/>
              <w:tr2bl w:val="nil"/>
            </w:tcBorders>
            <w:vAlign w:val="center"/>
          </w:tcPr>
          <w:p w14:paraId="061DF64E">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区域最大落地浓度</w:t>
            </w:r>
          </w:p>
        </w:tc>
        <w:tc>
          <w:tcPr>
            <w:tcW w:w="1068" w:type="pct"/>
            <w:tcBorders>
              <w:tl2br w:val="nil"/>
              <w:tr2bl w:val="nil"/>
            </w:tcBorders>
            <w:vAlign w:val="center"/>
          </w:tcPr>
          <w:p w14:paraId="5C82379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42" w:type="pct"/>
            <w:tcBorders>
              <w:tl2br w:val="nil"/>
              <w:tr2bl w:val="nil"/>
            </w:tcBorders>
            <w:vAlign w:val="center"/>
          </w:tcPr>
          <w:p w14:paraId="3BAE5D2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9" w:type="pct"/>
            <w:tcBorders>
              <w:tl2br w:val="nil"/>
              <w:tr2bl w:val="nil"/>
            </w:tcBorders>
            <w:vAlign w:val="center"/>
          </w:tcPr>
          <w:p w14:paraId="197668F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240511</w:t>
            </w:r>
          </w:p>
        </w:tc>
        <w:tc>
          <w:tcPr>
            <w:tcW w:w="609" w:type="pct"/>
            <w:tcBorders>
              <w:tl2br w:val="nil"/>
              <w:tr2bl w:val="nil"/>
            </w:tcBorders>
            <w:vAlign w:val="center"/>
          </w:tcPr>
          <w:p w14:paraId="7590E30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710" w:type="pct"/>
            <w:tcBorders>
              <w:tl2br w:val="nil"/>
              <w:tr2bl w:val="nil"/>
            </w:tcBorders>
            <w:vAlign w:val="center"/>
          </w:tcPr>
          <w:p w14:paraId="4D1B3AC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19.0</w:t>
            </w:r>
          </w:p>
        </w:tc>
        <w:tc>
          <w:tcPr>
            <w:tcW w:w="392" w:type="pct"/>
            <w:tcBorders>
              <w:tl2br w:val="nil"/>
              <w:tr2bl w:val="nil"/>
            </w:tcBorders>
            <w:vAlign w:val="center"/>
          </w:tcPr>
          <w:p w14:paraId="6A77ADC3">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12.67</w:t>
            </w:r>
          </w:p>
        </w:tc>
        <w:tc>
          <w:tcPr>
            <w:tcW w:w="347" w:type="pct"/>
            <w:tcBorders>
              <w:tl2br w:val="nil"/>
              <w:tr2bl w:val="nil"/>
            </w:tcBorders>
            <w:vAlign w:val="center"/>
          </w:tcPr>
          <w:p w14:paraId="0F4F953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r w14:paraId="56871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 w:type="pct"/>
            <w:vMerge w:val="continue"/>
            <w:tcBorders>
              <w:tl2br w:val="nil"/>
              <w:tr2bl w:val="nil"/>
            </w:tcBorders>
            <w:vAlign w:val="center"/>
          </w:tcPr>
          <w:p w14:paraId="3C68AA2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19" w:type="pct"/>
            <w:vMerge w:val="continue"/>
            <w:tcBorders>
              <w:tl2br w:val="nil"/>
              <w:tr2bl w:val="nil"/>
            </w:tcBorders>
            <w:vAlign w:val="center"/>
          </w:tcPr>
          <w:p w14:paraId="208BAE4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1068" w:type="pct"/>
            <w:tcBorders>
              <w:tl2br w:val="nil"/>
              <w:tr2bl w:val="nil"/>
            </w:tcBorders>
            <w:vAlign w:val="center"/>
          </w:tcPr>
          <w:p w14:paraId="26E769D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42" w:type="pct"/>
            <w:tcBorders>
              <w:tl2br w:val="nil"/>
              <w:tr2bl w:val="nil"/>
            </w:tcBorders>
            <w:vAlign w:val="center"/>
          </w:tcPr>
          <w:p w14:paraId="2649B8EB">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-0.000007</w:t>
            </w:r>
          </w:p>
        </w:tc>
        <w:tc>
          <w:tcPr>
            <w:tcW w:w="609" w:type="pct"/>
            <w:tcBorders>
              <w:tl2br w:val="nil"/>
              <w:tr2bl w:val="nil"/>
            </w:tcBorders>
            <w:vAlign w:val="center"/>
          </w:tcPr>
          <w:p w14:paraId="7E3C7A9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9" w:type="pct"/>
            <w:tcBorders>
              <w:tl2br w:val="nil"/>
              <w:tr2bl w:val="nil"/>
            </w:tcBorders>
            <w:vAlign w:val="center"/>
          </w:tcPr>
          <w:p w14:paraId="5588D926">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9.690411</w:t>
            </w:r>
          </w:p>
        </w:tc>
        <w:tc>
          <w:tcPr>
            <w:tcW w:w="710" w:type="pct"/>
            <w:tcBorders>
              <w:tl2br w:val="nil"/>
              <w:tr2bl w:val="nil"/>
            </w:tcBorders>
            <w:vAlign w:val="center"/>
          </w:tcPr>
          <w:p w14:paraId="697F4722">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9.690404</w:t>
            </w:r>
          </w:p>
        </w:tc>
        <w:tc>
          <w:tcPr>
            <w:tcW w:w="392" w:type="pct"/>
            <w:tcBorders>
              <w:tl2br w:val="nil"/>
              <w:tr2bl w:val="nil"/>
            </w:tcBorders>
            <w:vAlign w:val="center"/>
          </w:tcPr>
          <w:p w14:paraId="3883D1D1">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16.15</w:t>
            </w:r>
          </w:p>
        </w:tc>
        <w:tc>
          <w:tcPr>
            <w:tcW w:w="347" w:type="pct"/>
            <w:tcBorders>
              <w:tl2br w:val="nil"/>
              <w:tr2bl w:val="nil"/>
            </w:tcBorders>
            <w:vAlign w:val="center"/>
          </w:tcPr>
          <w:p w14:paraId="1F4BD0E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达标</w:t>
            </w:r>
          </w:p>
        </w:tc>
      </w:tr>
    </w:tbl>
    <w:p w14:paraId="00DC73D6">
      <w:pPr>
        <w:rPr>
          <w:rFonts w:eastAsia="宋体"/>
          <w:color w:val="auto"/>
        </w:rPr>
      </w:pPr>
      <w:r>
        <w:rPr>
          <w:rFonts w:eastAsia="宋体"/>
          <w:color w:val="auto"/>
        </w:rPr>
        <w:br w:type="page"/>
      </w:r>
    </w:p>
    <w:p w14:paraId="23E421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表6.2-23  本项目NO</w:t>
      </w:r>
      <w:r>
        <w:rPr>
          <w:rFonts w:hint="eastAsia" w:ascii="Times New Roman" w:hAnsi="Times New Roman" w:eastAsia="宋体" w:cs="Times New Roman"/>
          <w:b/>
          <w:bCs/>
          <w:color w:val="auto"/>
          <w:sz w:val="24"/>
          <w:szCs w:val="24"/>
          <w:vertAlign w:val="subscript"/>
          <w:lang w:val="en-US" w:eastAsia="zh-CN"/>
        </w:rPr>
        <w:t>2</w:t>
      </w:r>
      <w:r>
        <w:rPr>
          <w:rFonts w:hint="eastAsia" w:ascii="Times New Roman" w:hAnsi="Times New Roman" w:eastAsia="宋体" w:cs="Times New Roman"/>
          <w:b/>
          <w:bCs/>
          <w:color w:val="auto"/>
          <w:sz w:val="24"/>
          <w:szCs w:val="24"/>
          <w:lang w:val="en-US" w:eastAsia="zh-CN"/>
        </w:rPr>
        <w:t>叠加后环境质量浓度预测结果表</w:t>
      </w:r>
    </w:p>
    <w:tbl>
      <w:tblPr>
        <w:tblStyle w:val="4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183"/>
        <w:gridCol w:w="3026"/>
        <w:gridCol w:w="1567"/>
        <w:gridCol w:w="1729"/>
        <w:gridCol w:w="1729"/>
        <w:gridCol w:w="2016"/>
        <w:gridCol w:w="1112"/>
        <w:gridCol w:w="985"/>
      </w:tblGrid>
      <w:tr w14:paraId="56A4B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tcBorders>
              <w:tl2br w:val="nil"/>
              <w:tr2bl w:val="nil"/>
            </w:tcBorders>
            <w:vAlign w:val="center"/>
          </w:tcPr>
          <w:p w14:paraId="7AFB49B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污染物</w:t>
            </w:r>
          </w:p>
        </w:tc>
        <w:tc>
          <w:tcPr>
            <w:tcW w:w="416" w:type="pct"/>
            <w:tcBorders>
              <w:tl2br w:val="nil"/>
              <w:tr2bl w:val="nil"/>
            </w:tcBorders>
            <w:vAlign w:val="center"/>
          </w:tcPr>
          <w:p w14:paraId="366DF64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预测点</w:t>
            </w:r>
          </w:p>
        </w:tc>
        <w:tc>
          <w:tcPr>
            <w:tcW w:w="1064" w:type="pct"/>
            <w:tcBorders>
              <w:tl2br w:val="nil"/>
              <w:tr2bl w:val="nil"/>
            </w:tcBorders>
            <w:vAlign w:val="center"/>
          </w:tcPr>
          <w:p w14:paraId="7A62CE96">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平均时段</w:t>
            </w:r>
          </w:p>
        </w:tc>
        <w:tc>
          <w:tcPr>
            <w:tcW w:w="551" w:type="pct"/>
            <w:tcBorders>
              <w:tl2br w:val="nil"/>
              <w:tr2bl w:val="nil"/>
            </w:tcBorders>
            <w:vAlign w:val="center"/>
          </w:tcPr>
          <w:p w14:paraId="0A9EDDA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贡献值/（μg/m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608" w:type="pct"/>
            <w:tcBorders>
              <w:tl2br w:val="nil"/>
              <w:tr2bl w:val="nil"/>
            </w:tcBorders>
            <w:vAlign w:val="center"/>
          </w:tcPr>
          <w:p w14:paraId="3AC76011">
            <w:pPr>
              <w:widowControl/>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出现时间</w:t>
            </w:r>
          </w:p>
        </w:tc>
        <w:tc>
          <w:tcPr>
            <w:tcW w:w="608" w:type="pct"/>
            <w:tcBorders>
              <w:tl2br w:val="nil"/>
              <w:tr2bl w:val="nil"/>
            </w:tcBorders>
            <w:vAlign w:val="center"/>
          </w:tcPr>
          <w:p w14:paraId="3D46F71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现状浓度/（μg/m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709" w:type="pct"/>
            <w:tcBorders>
              <w:tl2br w:val="nil"/>
              <w:tr2bl w:val="nil"/>
            </w:tcBorders>
            <w:vAlign w:val="center"/>
          </w:tcPr>
          <w:p w14:paraId="1B5A58E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叠加后浓度/（μg/m</w:t>
            </w:r>
            <w:r>
              <w:rPr>
                <w:rFonts w:ascii="Times New Roman" w:hAnsi="Times New Roman" w:eastAsia="宋体" w:cs="Times New Roman"/>
                <w:color w:val="auto"/>
                <w:kern w:val="0"/>
                <w:sz w:val="21"/>
                <w:szCs w:val="21"/>
                <w:vertAlign w:val="superscript"/>
                <w:lang w:bidi="ar"/>
              </w:rPr>
              <w:t>3</w:t>
            </w:r>
            <w:r>
              <w:rPr>
                <w:rFonts w:ascii="Times New Roman" w:hAnsi="Times New Roman" w:eastAsia="宋体" w:cs="Times New Roman"/>
                <w:color w:val="auto"/>
                <w:kern w:val="0"/>
                <w:sz w:val="21"/>
                <w:szCs w:val="21"/>
                <w:lang w:bidi="ar"/>
              </w:rPr>
              <w:t>）</w:t>
            </w:r>
          </w:p>
        </w:tc>
        <w:tc>
          <w:tcPr>
            <w:tcW w:w="391" w:type="pct"/>
            <w:tcBorders>
              <w:tl2br w:val="nil"/>
              <w:tr2bl w:val="nil"/>
            </w:tcBorders>
            <w:vAlign w:val="center"/>
          </w:tcPr>
          <w:p w14:paraId="7F23766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占标率/%</w:t>
            </w:r>
          </w:p>
        </w:tc>
        <w:tc>
          <w:tcPr>
            <w:tcW w:w="346" w:type="pct"/>
            <w:tcBorders>
              <w:tl2br w:val="nil"/>
              <w:tr2bl w:val="nil"/>
            </w:tcBorders>
            <w:vAlign w:val="center"/>
          </w:tcPr>
          <w:p w14:paraId="529E2A3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达标情况</w:t>
            </w:r>
          </w:p>
        </w:tc>
      </w:tr>
      <w:tr w14:paraId="58625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restart"/>
            <w:tcBorders>
              <w:tl2br w:val="nil"/>
              <w:tr2bl w:val="nil"/>
            </w:tcBorders>
            <w:vAlign w:val="center"/>
          </w:tcPr>
          <w:p w14:paraId="274FDA93">
            <w:pPr>
              <w:widowControl/>
              <w:spacing w:line="240" w:lineRule="auto"/>
              <w:ind w:firstLine="0" w:firstLineChars="0"/>
              <w:jc w:val="center"/>
              <w:textAlignment w:val="center"/>
              <w:rPr>
                <w:rFonts w:ascii="Times New Roman" w:hAnsi="Times New Roman" w:eastAsia="宋体" w:cs="Times New Roman"/>
                <w:color w:val="auto"/>
                <w:kern w:val="0"/>
                <w:sz w:val="21"/>
                <w:szCs w:val="21"/>
                <w:vertAlign w:val="subscript"/>
                <w:lang w:bidi="ar"/>
              </w:rPr>
            </w:pPr>
            <w:r>
              <w:rPr>
                <w:rFonts w:hint="eastAsia" w:ascii="Times New Roman" w:hAnsi="Times New Roman" w:eastAsia="宋体" w:cs="Times New Roman"/>
                <w:color w:val="auto"/>
                <w:kern w:val="0"/>
                <w:sz w:val="21"/>
                <w:szCs w:val="21"/>
                <w:lang w:bidi="ar"/>
              </w:rPr>
              <w:t>NO</w:t>
            </w:r>
            <w:r>
              <w:rPr>
                <w:rFonts w:hint="eastAsia" w:ascii="Times New Roman" w:hAnsi="Times New Roman" w:eastAsia="宋体" w:cs="Times New Roman"/>
                <w:color w:val="auto"/>
                <w:kern w:val="0"/>
                <w:sz w:val="21"/>
                <w:szCs w:val="21"/>
                <w:vertAlign w:val="subscript"/>
                <w:lang w:bidi="ar"/>
              </w:rPr>
              <w:t>2</w:t>
            </w:r>
          </w:p>
        </w:tc>
        <w:tc>
          <w:tcPr>
            <w:tcW w:w="416" w:type="pct"/>
            <w:vMerge w:val="restart"/>
            <w:tcBorders>
              <w:tl2br w:val="nil"/>
              <w:tr2bl w:val="nil"/>
            </w:tcBorders>
            <w:vAlign w:val="center"/>
          </w:tcPr>
          <w:p w14:paraId="2A7789BF">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八五二农场场部</w:t>
            </w:r>
          </w:p>
        </w:tc>
        <w:tc>
          <w:tcPr>
            <w:tcW w:w="1064" w:type="pct"/>
            <w:tcBorders>
              <w:tl2br w:val="nil"/>
              <w:tr2bl w:val="nil"/>
            </w:tcBorders>
            <w:vAlign w:val="center"/>
          </w:tcPr>
          <w:p w14:paraId="08908F6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0A82904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8" w:type="pct"/>
            <w:tcBorders>
              <w:tl2br w:val="nil"/>
              <w:tr2bl w:val="nil"/>
            </w:tcBorders>
            <w:vAlign w:val="bottom"/>
          </w:tcPr>
          <w:p w14:paraId="58C7C20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241110</w:t>
            </w:r>
          </w:p>
        </w:tc>
        <w:tc>
          <w:tcPr>
            <w:tcW w:w="608" w:type="pct"/>
            <w:tcBorders>
              <w:tl2br w:val="nil"/>
              <w:tr2bl w:val="nil"/>
            </w:tcBorders>
            <w:vAlign w:val="bottom"/>
          </w:tcPr>
          <w:p w14:paraId="529D3EC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2CC2502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391" w:type="pct"/>
            <w:tcBorders>
              <w:tl2br w:val="nil"/>
              <w:tr2bl w:val="nil"/>
            </w:tcBorders>
            <w:vAlign w:val="bottom"/>
          </w:tcPr>
          <w:p w14:paraId="3443ED8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5ADC18DA">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028B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7A67B4C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3F7EE4A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41F6A38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4841F89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-0.06451</w:t>
            </w:r>
          </w:p>
        </w:tc>
        <w:tc>
          <w:tcPr>
            <w:tcW w:w="608" w:type="pct"/>
            <w:tcBorders>
              <w:tl2br w:val="nil"/>
              <w:tr2bl w:val="nil"/>
            </w:tcBorders>
            <w:vAlign w:val="center"/>
          </w:tcPr>
          <w:p w14:paraId="1F2760A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4A8F5A2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095C61F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13.43823</w:t>
            </w:r>
          </w:p>
        </w:tc>
        <w:tc>
          <w:tcPr>
            <w:tcW w:w="391" w:type="pct"/>
            <w:tcBorders>
              <w:tl2br w:val="nil"/>
              <w:tr2bl w:val="nil"/>
            </w:tcBorders>
            <w:vAlign w:val="center"/>
          </w:tcPr>
          <w:p w14:paraId="79C67D3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33.60</w:t>
            </w:r>
          </w:p>
        </w:tc>
        <w:tc>
          <w:tcPr>
            <w:tcW w:w="346" w:type="pct"/>
            <w:tcBorders>
              <w:tl2br w:val="nil"/>
              <w:tr2bl w:val="nil"/>
            </w:tcBorders>
            <w:vAlign w:val="center"/>
          </w:tcPr>
          <w:p w14:paraId="2CF296A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DDBC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2B9B243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763D6BDB">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和平管理区</w:t>
            </w:r>
          </w:p>
        </w:tc>
        <w:tc>
          <w:tcPr>
            <w:tcW w:w="1064" w:type="pct"/>
            <w:tcBorders>
              <w:tl2br w:val="nil"/>
              <w:tr2bl w:val="nil"/>
            </w:tcBorders>
            <w:vAlign w:val="center"/>
          </w:tcPr>
          <w:p w14:paraId="1C7504F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00AE819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-0.042061</w:t>
            </w:r>
          </w:p>
        </w:tc>
        <w:tc>
          <w:tcPr>
            <w:tcW w:w="608" w:type="pct"/>
            <w:tcBorders>
              <w:tl2br w:val="nil"/>
              <w:tr2bl w:val="nil"/>
            </w:tcBorders>
            <w:vAlign w:val="bottom"/>
          </w:tcPr>
          <w:p w14:paraId="32EBCF3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241110</w:t>
            </w:r>
          </w:p>
        </w:tc>
        <w:tc>
          <w:tcPr>
            <w:tcW w:w="608" w:type="pct"/>
            <w:tcBorders>
              <w:tl2br w:val="nil"/>
              <w:tr2bl w:val="nil"/>
            </w:tcBorders>
            <w:vAlign w:val="bottom"/>
          </w:tcPr>
          <w:p w14:paraId="2FA8384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47CE863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33.95794</w:t>
            </w:r>
          </w:p>
        </w:tc>
        <w:tc>
          <w:tcPr>
            <w:tcW w:w="391" w:type="pct"/>
            <w:tcBorders>
              <w:tl2br w:val="nil"/>
              <w:tr2bl w:val="nil"/>
            </w:tcBorders>
            <w:vAlign w:val="bottom"/>
          </w:tcPr>
          <w:p w14:paraId="3C3DB34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42.45</w:t>
            </w:r>
          </w:p>
        </w:tc>
        <w:tc>
          <w:tcPr>
            <w:tcW w:w="346" w:type="pct"/>
            <w:tcBorders>
              <w:tl2br w:val="nil"/>
              <w:tr2bl w:val="nil"/>
            </w:tcBorders>
            <w:vAlign w:val="center"/>
          </w:tcPr>
          <w:p w14:paraId="010A8B5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745D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0B97BEB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7291FD19">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4D4C2C29">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589819B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-0.033281</w:t>
            </w:r>
          </w:p>
        </w:tc>
        <w:tc>
          <w:tcPr>
            <w:tcW w:w="608" w:type="pct"/>
            <w:tcBorders>
              <w:tl2br w:val="nil"/>
              <w:tr2bl w:val="nil"/>
            </w:tcBorders>
            <w:vAlign w:val="center"/>
          </w:tcPr>
          <w:p w14:paraId="343F4A6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3D6FD4C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7A87372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13.46946</w:t>
            </w:r>
          </w:p>
        </w:tc>
        <w:tc>
          <w:tcPr>
            <w:tcW w:w="391" w:type="pct"/>
            <w:tcBorders>
              <w:tl2br w:val="nil"/>
              <w:tr2bl w:val="nil"/>
            </w:tcBorders>
            <w:vAlign w:val="center"/>
          </w:tcPr>
          <w:p w14:paraId="0EDD167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33.67</w:t>
            </w:r>
          </w:p>
        </w:tc>
        <w:tc>
          <w:tcPr>
            <w:tcW w:w="346" w:type="pct"/>
            <w:tcBorders>
              <w:tl2br w:val="nil"/>
              <w:tr2bl w:val="nil"/>
            </w:tcBorders>
            <w:vAlign w:val="center"/>
          </w:tcPr>
          <w:p w14:paraId="30EE7E0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055F1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3B24370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7AB7C327">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南林小区</w:t>
            </w:r>
          </w:p>
        </w:tc>
        <w:tc>
          <w:tcPr>
            <w:tcW w:w="1064" w:type="pct"/>
            <w:tcBorders>
              <w:tl2br w:val="nil"/>
              <w:tr2bl w:val="nil"/>
            </w:tcBorders>
            <w:vAlign w:val="center"/>
          </w:tcPr>
          <w:p w14:paraId="3CE7598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30F8174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-0.000015</w:t>
            </w:r>
          </w:p>
        </w:tc>
        <w:tc>
          <w:tcPr>
            <w:tcW w:w="608" w:type="pct"/>
            <w:tcBorders>
              <w:tl2br w:val="nil"/>
              <w:tr2bl w:val="nil"/>
            </w:tcBorders>
            <w:vAlign w:val="bottom"/>
          </w:tcPr>
          <w:p w14:paraId="27B86C8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2C0CB28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31D13EE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33.99998</w:t>
            </w:r>
          </w:p>
        </w:tc>
        <w:tc>
          <w:tcPr>
            <w:tcW w:w="391" w:type="pct"/>
            <w:tcBorders>
              <w:tl2br w:val="nil"/>
              <w:tr2bl w:val="nil"/>
            </w:tcBorders>
            <w:vAlign w:val="bottom"/>
          </w:tcPr>
          <w:p w14:paraId="030B70CE">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4C09D31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8A7C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59249D9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67931D8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1674DB4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4D27661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-0.063</w:t>
            </w:r>
          </w:p>
        </w:tc>
        <w:tc>
          <w:tcPr>
            <w:tcW w:w="608" w:type="pct"/>
            <w:tcBorders>
              <w:tl2br w:val="nil"/>
              <w:tr2bl w:val="nil"/>
            </w:tcBorders>
            <w:vAlign w:val="center"/>
          </w:tcPr>
          <w:p w14:paraId="41C9B51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38FC05E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4C8403B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13.43974</w:t>
            </w:r>
          </w:p>
        </w:tc>
        <w:tc>
          <w:tcPr>
            <w:tcW w:w="391" w:type="pct"/>
            <w:tcBorders>
              <w:tl2br w:val="nil"/>
              <w:tr2bl w:val="nil"/>
            </w:tcBorders>
            <w:vAlign w:val="center"/>
          </w:tcPr>
          <w:p w14:paraId="6B6AD58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33.60</w:t>
            </w:r>
          </w:p>
        </w:tc>
        <w:tc>
          <w:tcPr>
            <w:tcW w:w="346" w:type="pct"/>
            <w:tcBorders>
              <w:tl2br w:val="nil"/>
              <w:tr2bl w:val="nil"/>
            </w:tcBorders>
            <w:vAlign w:val="center"/>
          </w:tcPr>
          <w:p w14:paraId="47CD139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64FC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67453F5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3B95554A">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八五二农场四分场</w:t>
            </w:r>
          </w:p>
        </w:tc>
        <w:tc>
          <w:tcPr>
            <w:tcW w:w="1064" w:type="pct"/>
            <w:tcBorders>
              <w:tl2br w:val="nil"/>
              <w:tr2bl w:val="nil"/>
            </w:tcBorders>
            <w:vAlign w:val="center"/>
          </w:tcPr>
          <w:p w14:paraId="4D40FB1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62D1E9F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-0.000008</w:t>
            </w:r>
          </w:p>
        </w:tc>
        <w:tc>
          <w:tcPr>
            <w:tcW w:w="608" w:type="pct"/>
            <w:tcBorders>
              <w:tl2br w:val="nil"/>
              <w:tr2bl w:val="nil"/>
            </w:tcBorders>
            <w:vAlign w:val="bottom"/>
          </w:tcPr>
          <w:p w14:paraId="558E6C5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2D1CF06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48DB6D5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33.99999</w:t>
            </w:r>
          </w:p>
        </w:tc>
        <w:tc>
          <w:tcPr>
            <w:tcW w:w="391" w:type="pct"/>
            <w:tcBorders>
              <w:tl2br w:val="nil"/>
              <w:tr2bl w:val="nil"/>
            </w:tcBorders>
            <w:vAlign w:val="bottom"/>
          </w:tcPr>
          <w:p w14:paraId="151809E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4E7108B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B92C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75C78549">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50725D16">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4065AC3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7759790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-0.014688</w:t>
            </w:r>
          </w:p>
        </w:tc>
        <w:tc>
          <w:tcPr>
            <w:tcW w:w="608" w:type="pct"/>
            <w:tcBorders>
              <w:tl2br w:val="nil"/>
              <w:tr2bl w:val="nil"/>
            </w:tcBorders>
            <w:vAlign w:val="center"/>
          </w:tcPr>
          <w:p w14:paraId="66B9D41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2EB83FD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1B26746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13.48805</w:t>
            </w:r>
          </w:p>
        </w:tc>
        <w:tc>
          <w:tcPr>
            <w:tcW w:w="391" w:type="pct"/>
            <w:tcBorders>
              <w:tl2br w:val="nil"/>
              <w:tr2bl w:val="nil"/>
            </w:tcBorders>
            <w:vAlign w:val="center"/>
          </w:tcPr>
          <w:p w14:paraId="5403253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33.72</w:t>
            </w:r>
          </w:p>
        </w:tc>
        <w:tc>
          <w:tcPr>
            <w:tcW w:w="346" w:type="pct"/>
            <w:tcBorders>
              <w:tl2br w:val="nil"/>
              <w:tr2bl w:val="nil"/>
            </w:tcBorders>
            <w:vAlign w:val="center"/>
          </w:tcPr>
          <w:p w14:paraId="75733FE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04A1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064C1AFD">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73F059DA">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八五二农场副业队</w:t>
            </w:r>
          </w:p>
        </w:tc>
        <w:tc>
          <w:tcPr>
            <w:tcW w:w="1064" w:type="pct"/>
            <w:tcBorders>
              <w:tl2br w:val="nil"/>
              <w:tr2bl w:val="nil"/>
            </w:tcBorders>
            <w:vAlign w:val="center"/>
          </w:tcPr>
          <w:p w14:paraId="5AA2103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35D8BC3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-0.000008</w:t>
            </w:r>
          </w:p>
        </w:tc>
        <w:tc>
          <w:tcPr>
            <w:tcW w:w="608" w:type="pct"/>
            <w:tcBorders>
              <w:tl2br w:val="nil"/>
              <w:tr2bl w:val="nil"/>
            </w:tcBorders>
            <w:vAlign w:val="bottom"/>
          </w:tcPr>
          <w:p w14:paraId="3B6BFD4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44D840E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193D40E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33.99999</w:t>
            </w:r>
          </w:p>
        </w:tc>
        <w:tc>
          <w:tcPr>
            <w:tcW w:w="391" w:type="pct"/>
            <w:tcBorders>
              <w:tl2br w:val="nil"/>
              <w:tr2bl w:val="nil"/>
            </w:tcBorders>
            <w:vAlign w:val="bottom"/>
          </w:tcPr>
          <w:p w14:paraId="714D0158">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72561DD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3E733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74987C8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6000140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4C3DFC9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2B60BAD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-0.019035</w:t>
            </w:r>
          </w:p>
        </w:tc>
        <w:tc>
          <w:tcPr>
            <w:tcW w:w="608" w:type="pct"/>
            <w:tcBorders>
              <w:tl2br w:val="nil"/>
              <w:tr2bl w:val="nil"/>
            </w:tcBorders>
            <w:vAlign w:val="center"/>
          </w:tcPr>
          <w:p w14:paraId="72D5735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362EFD0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6CCB4D9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13.4837</w:t>
            </w:r>
          </w:p>
        </w:tc>
        <w:tc>
          <w:tcPr>
            <w:tcW w:w="391" w:type="pct"/>
            <w:tcBorders>
              <w:tl2br w:val="nil"/>
              <w:tr2bl w:val="nil"/>
            </w:tcBorders>
            <w:vAlign w:val="center"/>
          </w:tcPr>
          <w:p w14:paraId="066048A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33.71</w:t>
            </w:r>
          </w:p>
        </w:tc>
        <w:tc>
          <w:tcPr>
            <w:tcW w:w="346" w:type="pct"/>
            <w:tcBorders>
              <w:tl2br w:val="nil"/>
              <w:tr2bl w:val="nil"/>
            </w:tcBorders>
            <w:vAlign w:val="center"/>
          </w:tcPr>
          <w:p w14:paraId="3CF6266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9648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2C1D596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72956E4A">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八五二农场种畜站</w:t>
            </w:r>
          </w:p>
        </w:tc>
        <w:tc>
          <w:tcPr>
            <w:tcW w:w="1064" w:type="pct"/>
            <w:tcBorders>
              <w:tl2br w:val="nil"/>
              <w:tr2bl w:val="nil"/>
            </w:tcBorders>
            <w:vAlign w:val="center"/>
          </w:tcPr>
          <w:p w14:paraId="4F0E8E9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090C76D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-0.000008</w:t>
            </w:r>
          </w:p>
        </w:tc>
        <w:tc>
          <w:tcPr>
            <w:tcW w:w="608" w:type="pct"/>
            <w:tcBorders>
              <w:tl2br w:val="nil"/>
              <w:tr2bl w:val="nil"/>
            </w:tcBorders>
            <w:vAlign w:val="bottom"/>
          </w:tcPr>
          <w:p w14:paraId="72A54C7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1DEA089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31C1614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33.99999</w:t>
            </w:r>
          </w:p>
        </w:tc>
        <w:tc>
          <w:tcPr>
            <w:tcW w:w="391" w:type="pct"/>
            <w:tcBorders>
              <w:tl2br w:val="nil"/>
              <w:tr2bl w:val="nil"/>
            </w:tcBorders>
            <w:vAlign w:val="bottom"/>
          </w:tcPr>
          <w:p w14:paraId="13F87267">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5829D1F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8965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52625FF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06CADB8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66B9994A">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15AE87E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-0.028412</w:t>
            </w:r>
          </w:p>
        </w:tc>
        <w:tc>
          <w:tcPr>
            <w:tcW w:w="608" w:type="pct"/>
            <w:tcBorders>
              <w:tl2br w:val="nil"/>
              <w:tr2bl w:val="nil"/>
            </w:tcBorders>
            <w:vAlign w:val="center"/>
          </w:tcPr>
          <w:p w14:paraId="640B1A6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69B279B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50AF337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13.47433</w:t>
            </w:r>
          </w:p>
        </w:tc>
        <w:tc>
          <w:tcPr>
            <w:tcW w:w="391" w:type="pct"/>
            <w:tcBorders>
              <w:tl2br w:val="nil"/>
              <w:tr2bl w:val="nil"/>
            </w:tcBorders>
            <w:vAlign w:val="center"/>
          </w:tcPr>
          <w:p w14:paraId="33D0B3C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33.69</w:t>
            </w:r>
          </w:p>
        </w:tc>
        <w:tc>
          <w:tcPr>
            <w:tcW w:w="346" w:type="pct"/>
            <w:tcBorders>
              <w:tl2br w:val="nil"/>
              <w:tr2bl w:val="nil"/>
            </w:tcBorders>
            <w:vAlign w:val="center"/>
          </w:tcPr>
          <w:p w14:paraId="221AC06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44DDF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089B29FA">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7DD4221A">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迎春林业局光明林场</w:t>
            </w:r>
          </w:p>
        </w:tc>
        <w:tc>
          <w:tcPr>
            <w:tcW w:w="1064" w:type="pct"/>
            <w:tcBorders>
              <w:tl2br w:val="nil"/>
              <w:tr2bl w:val="nil"/>
            </w:tcBorders>
            <w:vAlign w:val="center"/>
          </w:tcPr>
          <w:p w14:paraId="10B218EA">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61E824B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8" w:type="pct"/>
            <w:tcBorders>
              <w:tl2br w:val="nil"/>
              <w:tr2bl w:val="nil"/>
            </w:tcBorders>
            <w:vAlign w:val="bottom"/>
          </w:tcPr>
          <w:p w14:paraId="4BF50BA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21A31E3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66B4846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391" w:type="pct"/>
            <w:tcBorders>
              <w:tl2br w:val="nil"/>
              <w:tr2bl w:val="nil"/>
            </w:tcBorders>
            <w:vAlign w:val="bottom"/>
          </w:tcPr>
          <w:p w14:paraId="6B8750FE">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2DFB958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2E57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4B9BCF5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239D733E">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55E6DE1F">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7F30013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-0.016449</w:t>
            </w:r>
          </w:p>
        </w:tc>
        <w:tc>
          <w:tcPr>
            <w:tcW w:w="608" w:type="pct"/>
            <w:tcBorders>
              <w:tl2br w:val="nil"/>
              <w:tr2bl w:val="nil"/>
            </w:tcBorders>
            <w:vAlign w:val="center"/>
          </w:tcPr>
          <w:p w14:paraId="1DFD905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14CB9D1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22677A3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13.48629</w:t>
            </w:r>
          </w:p>
        </w:tc>
        <w:tc>
          <w:tcPr>
            <w:tcW w:w="391" w:type="pct"/>
            <w:tcBorders>
              <w:tl2br w:val="nil"/>
              <w:tr2bl w:val="nil"/>
            </w:tcBorders>
            <w:vAlign w:val="center"/>
          </w:tcPr>
          <w:p w14:paraId="1A1CE84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33.72</w:t>
            </w:r>
          </w:p>
        </w:tc>
        <w:tc>
          <w:tcPr>
            <w:tcW w:w="346" w:type="pct"/>
            <w:tcBorders>
              <w:tl2br w:val="nil"/>
              <w:tr2bl w:val="nil"/>
            </w:tcBorders>
            <w:vAlign w:val="center"/>
          </w:tcPr>
          <w:p w14:paraId="741DD70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5700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5715BB7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4500446E">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虎宝工厂南林工段</w:t>
            </w:r>
          </w:p>
        </w:tc>
        <w:tc>
          <w:tcPr>
            <w:tcW w:w="1064" w:type="pct"/>
            <w:tcBorders>
              <w:tl2br w:val="nil"/>
              <w:tr2bl w:val="nil"/>
            </w:tcBorders>
            <w:vAlign w:val="center"/>
          </w:tcPr>
          <w:p w14:paraId="4CC8398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6261389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8" w:type="pct"/>
            <w:tcBorders>
              <w:tl2br w:val="nil"/>
              <w:tr2bl w:val="nil"/>
            </w:tcBorders>
            <w:vAlign w:val="bottom"/>
          </w:tcPr>
          <w:p w14:paraId="19634AE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721B663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7A58311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391" w:type="pct"/>
            <w:tcBorders>
              <w:tl2br w:val="nil"/>
              <w:tr2bl w:val="nil"/>
            </w:tcBorders>
            <w:vAlign w:val="bottom"/>
          </w:tcPr>
          <w:p w14:paraId="2BB3C78C">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11664CF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5A18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5EC2881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1929AD9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15F0BD2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30E55F4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-0.052005</w:t>
            </w:r>
          </w:p>
        </w:tc>
        <w:tc>
          <w:tcPr>
            <w:tcW w:w="608" w:type="pct"/>
            <w:tcBorders>
              <w:tl2br w:val="nil"/>
              <w:tr2bl w:val="nil"/>
            </w:tcBorders>
            <w:vAlign w:val="center"/>
          </w:tcPr>
          <w:p w14:paraId="53D1D2F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5CA10F4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3F494DF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13.45074</w:t>
            </w:r>
          </w:p>
        </w:tc>
        <w:tc>
          <w:tcPr>
            <w:tcW w:w="391" w:type="pct"/>
            <w:tcBorders>
              <w:tl2br w:val="nil"/>
              <w:tr2bl w:val="nil"/>
            </w:tcBorders>
            <w:vAlign w:val="center"/>
          </w:tcPr>
          <w:p w14:paraId="1F6E1D1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33.63</w:t>
            </w:r>
          </w:p>
        </w:tc>
        <w:tc>
          <w:tcPr>
            <w:tcW w:w="346" w:type="pct"/>
            <w:tcBorders>
              <w:tl2br w:val="nil"/>
              <w:tr2bl w:val="nil"/>
            </w:tcBorders>
            <w:vAlign w:val="center"/>
          </w:tcPr>
          <w:p w14:paraId="55B718B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213CD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6DBBBD88">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7DF8FC0F">
            <w:pPr>
              <w:spacing w:line="240" w:lineRule="auto"/>
              <w:ind w:firstLine="0" w:firstLineChars="0"/>
              <w:jc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sz w:val="21"/>
                <w:szCs w:val="21"/>
              </w:rPr>
              <w:t>虎宝村</w:t>
            </w:r>
          </w:p>
        </w:tc>
        <w:tc>
          <w:tcPr>
            <w:tcW w:w="1064" w:type="pct"/>
            <w:tcBorders>
              <w:tl2br w:val="nil"/>
              <w:tr2bl w:val="nil"/>
            </w:tcBorders>
            <w:vAlign w:val="center"/>
          </w:tcPr>
          <w:p w14:paraId="1A2F3CF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3B6B07F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w:t>
            </w:r>
          </w:p>
        </w:tc>
        <w:tc>
          <w:tcPr>
            <w:tcW w:w="608" w:type="pct"/>
            <w:tcBorders>
              <w:tl2br w:val="nil"/>
              <w:tr2bl w:val="nil"/>
            </w:tcBorders>
            <w:vAlign w:val="bottom"/>
          </w:tcPr>
          <w:p w14:paraId="19FA3DE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25A1261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4786A75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391" w:type="pct"/>
            <w:tcBorders>
              <w:tl2br w:val="nil"/>
              <w:tr2bl w:val="nil"/>
            </w:tcBorders>
            <w:vAlign w:val="bottom"/>
          </w:tcPr>
          <w:p w14:paraId="3667B074">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33E1FAB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191E3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303" w:type="pct"/>
            <w:vMerge w:val="continue"/>
            <w:tcBorders>
              <w:tl2br w:val="nil"/>
              <w:tr2bl w:val="nil"/>
            </w:tcBorders>
            <w:vAlign w:val="center"/>
          </w:tcPr>
          <w:p w14:paraId="3E25A1EB">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697922CD">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145A865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0920F7B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-0.026038</w:t>
            </w:r>
          </w:p>
        </w:tc>
        <w:tc>
          <w:tcPr>
            <w:tcW w:w="608" w:type="pct"/>
            <w:tcBorders>
              <w:tl2br w:val="nil"/>
              <w:tr2bl w:val="nil"/>
            </w:tcBorders>
            <w:vAlign w:val="center"/>
          </w:tcPr>
          <w:p w14:paraId="2F918F3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231A924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3A6B7B5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13.4767</w:t>
            </w:r>
          </w:p>
        </w:tc>
        <w:tc>
          <w:tcPr>
            <w:tcW w:w="391" w:type="pct"/>
            <w:tcBorders>
              <w:tl2br w:val="nil"/>
              <w:tr2bl w:val="nil"/>
            </w:tcBorders>
            <w:vAlign w:val="center"/>
          </w:tcPr>
          <w:p w14:paraId="1CF6F46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33.69</w:t>
            </w:r>
          </w:p>
        </w:tc>
        <w:tc>
          <w:tcPr>
            <w:tcW w:w="346" w:type="pct"/>
            <w:tcBorders>
              <w:tl2br w:val="nil"/>
              <w:tr2bl w:val="nil"/>
            </w:tcBorders>
            <w:vAlign w:val="center"/>
          </w:tcPr>
          <w:p w14:paraId="6BC3226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6043A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303" w:type="pct"/>
            <w:vMerge w:val="continue"/>
            <w:tcBorders>
              <w:tl2br w:val="nil"/>
              <w:tr2bl w:val="nil"/>
            </w:tcBorders>
            <w:vAlign w:val="center"/>
          </w:tcPr>
          <w:p w14:paraId="087EFCF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restart"/>
            <w:tcBorders>
              <w:tl2br w:val="nil"/>
              <w:tr2bl w:val="nil"/>
            </w:tcBorders>
            <w:vAlign w:val="center"/>
          </w:tcPr>
          <w:p w14:paraId="1749DA99">
            <w:pPr>
              <w:spacing w:line="240" w:lineRule="auto"/>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区域最大落地浓度</w:t>
            </w:r>
          </w:p>
        </w:tc>
        <w:tc>
          <w:tcPr>
            <w:tcW w:w="1064" w:type="pct"/>
            <w:tcBorders>
              <w:tl2br w:val="nil"/>
              <w:tr2bl w:val="nil"/>
            </w:tcBorders>
            <w:vAlign w:val="center"/>
          </w:tcPr>
          <w:p w14:paraId="7C098A5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第</w:t>
            </w:r>
            <w:r>
              <w:rPr>
                <w:rFonts w:hint="eastAsia" w:ascii="Times New Roman" w:hAnsi="Times New Roman" w:eastAsia="宋体" w:cs="Times New Roman"/>
                <w:color w:val="auto"/>
                <w:kern w:val="0"/>
                <w:sz w:val="21"/>
                <w:szCs w:val="21"/>
                <w:lang w:bidi="ar"/>
              </w:rPr>
              <w:t>98</w:t>
            </w:r>
            <w:r>
              <w:rPr>
                <w:rFonts w:ascii="Times New Roman" w:hAnsi="Times New Roman" w:eastAsia="宋体" w:cs="Times New Roman"/>
                <w:color w:val="auto"/>
                <w:kern w:val="0"/>
                <w:sz w:val="21"/>
                <w:szCs w:val="21"/>
                <w:lang w:bidi="ar"/>
              </w:rPr>
              <w:t>百分位数日平均质量浓度</w:t>
            </w:r>
          </w:p>
        </w:tc>
        <w:tc>
          <w:tcPr>
            <w:tcW w:w="551" w:type="pct"/>
            <w:tcBorders>
              <w:tl2br w:val="nil"/>
              <w:tr2bl w:val="nil"/>
            </w:tcBorders>
            <w:vAlign w:val="bottom"/>
          </w:tcPr>
          <w:p w14:paraId="7D74C6D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0.000034</w:t>
            </w:r>
          </w:p>
        </w:tc>
        <w:tc>
          <w:tcPr>
            <w:tcW w:w="608" w:type="pct"/>
            <w:tcBorders>
              <w:tl2br w:val="nil"/>
              <w:tr2bl w:val="nil"/>
            </w:tcBorders>
            <w:vAlign w:val="bottom"/>
          </w:tcPr>
          <w:p w14:paraId="2D9698A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240130</w:t>
            </w:r>
          </w:p>
        </w:tc>
        <w:tc>
          <w:tcPr>
            <w:tcW w:w="608" w:type="pct"/>
            <w:tcBorders>
              <w:tl2br w:val="nil"/>
              <w:tr2bl w:val="nil"/>
            </w:tcBorders>
            <w:vAlign w:val="bottom"/>
          </w:tcPr>
          <w:p w14:paraId="2025C5F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w:t>
            </w:r>
          </w:p>
        </w:tc>
        <w:tc>
          <w:tcPr>
            <w:tcW w:w="709" w:type="pct"/>
            <w:tcBorders>
              <w:tl2br w:val="nil"/>
              <w:tr2bl w:val="nil"/>
            </w:tcBorders>
            <w:vAlign w:val="bottom"/>
          </w:tcPr>
          <w:p w14:paraId="0A3AEE4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34.00003</w:t>
            </w:r>
          </w:p>
        </w:tc>
        <w:tc>
          <w:tcPr>
            <w:tcW w:w="391" w:type="pct"/>
            <w:tcBorders>
              <w:tl2br w:val="nil"/>
              <w:tr2bl w:val="nil"/>
            </w:tcBorders>
            <w:vAlign w:val="bottom"/>
          </w:tcPr>
          <w:p w14:paraId="24C15B16">
            <w:pPr>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42.50</w:t>
            </w:r>
          </w:p>
        </w:tc>
        <w:tc>
          <w:tcPr>
            <w:tcW w:w="346" w:type="pct"/>
            <w:tcBorders>
              <w:tl2br w:val="nil"/>
              <w:tr2bl w:val="nil"/>
            </w:tcBorders>
            <w:vAlign w:val="center"/>
          </w:tcPr>
          <w:p w14:paraId="662DE5CC">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r w14:paraId="57A8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303" w:type="pct"/>
            <w:vMerge w:val="continue"/>
            <w:tcBorders>
              <w:tl2br w:val="nil"/>
              <w:tr2bl w:val="nil"/>
            </w:tcBorders>
            <w:vAlign w:val="center"/>
          </w:tcPr>
          <w:p w14:paraId="79D801F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416" w:type="pct"/>
            <w:vMerge w:val="continue"/>
            <w:tcBorders>
              <w:tl2br w:val="nil"/>
              <w:tr2bl w:val="nil"/>
            </w:tcBorders>
            <w:vAlign w:val="center"/>
          </w:tcPr>
          <w:p w14:paraId="4D215AB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p>
        </w:tc>
        <w:tc>
          <w:tcPr>
            <w:tcW w:w="1064" w:type="pct"/>
            <w:tcBorders>
              <w:tl2br w:val="nil"/>
              <w:tr2bl w:val="nil"/>
            </w:tcBorders>
            <w:vAlign w:val="center"/>
          </w:tcPr>
          <w:p w14:paraId="1A87601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年均浓度</w:t>
            </w:r>
          </w:p>
        </w:tc>
        <w:tc>
          <w:tcPr>
            <w:tcW w:w="551" w:type="pct"/>
            <w:tcBorders>
              <w:tl2br w:val="nil"/>
              <w:tr2bl w:val="nil"/>
            </w:tcBorders>
            <w:vAlign w:val="center"/>
          </w:tcPr>
          <w:p w14:paraId="6ACDCF4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w:t>
            </w:r>
          </w:p>
        </w:tc>
        <w:tc>
          <w:tcPr>
            <w:tcW w:w="608" w:type="pct"/>
            <w:tcBorders>
              <w:tl2br w:val="nil"/>
              <w:tr2bl w:val="nil"/>
            </w:tcBorders>
            <w:vAlign w:val="center"/>
          </w:tcPr>
          <w:p w14:paraId="46524CB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平均值</w:t>
            </w:r>
          </w:p>
        </w:tc>
        <w:tc>
          <w:tcPr>
            <w:tcW w:w="608" w:type="pct"/>
            <w:tcBorders>
              <w:tl2br w:val="nil"/>
              <w:tr2bl w:val="nil"/>
            </w:tcBorders>
            <w:vAlign w:val="center"/>
          </w:tcPr>
          <w:p w14:paraId="243E197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13.50274</w:t>
            </w:r>
          </w:p>
        </w:tc>
        <w:tc>
          <w:tcPr>
            <w:tcW w:w="709" w:type="pct"/>
            <w:tcBorders>
              <w:tl2br w:val="nil"/>
              <w:tr2bl w:val="nil"/>
            </w:tcBorders>
            <w:vAlign w:val="center"/>
          </w:tcPr>
          <w:p w14:paraId="0AB568B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13.50273</w:t>
            </w:r>
          </w:p>
        </w:tc>
        <w:tc>
          <w:tcPr>
            <w:tcW w:w="391" w:type="pct"/>
            <w:tcBorders>
              <w:tl2br w:val="nil"/>
              <w:tr2bl w:val="nil"/>
            </w:tcBorders>
            <w:vAlign w:val="center"/>
          </w:tcPr>
          <w:p w14:paraId="5619A4B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33.76</w:t>
            </w:r>
          </w:p>
        </w:tc>
        <w:tc>
          <w:tcPr>
            <w:tcW w:w="346" w:type="pct"/>
            <w:tcBorders>
              <w:tl2br w:val="nil"/>
              <w:tr2bl w:val="nil"/>
            </w:tcBorders>
            <w:vAlign w:val="center"/>
          </w:tcPr>
          <w:p w14:paraId="1FEEA61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w:t>
            </w:r>
          </w:p>
        </w:tc>
      </w:tr>
    </w:tbl>
    <w:p w14:paraId="6538AAA4">
      <w:pPr>
        <w:pStyle w:val="119"/>
        <w:jc w:val="both"/>
        <w:rPr>
          <w:rFonts w:eastAsia="宋体"/>
          <w:color w:val="auto"/>
        </w:rPr>
      </w:pPr>
    </w:p>
    <w:p w14:paraId="70909813">
      <w:pPr>
        <w:ind w:firstLine="0" w:firstLineChars="0"/>
        <w:rPr>
          <w:rFonts w:ascii="Times New Roman" w:hAnsi="Times New Roman" w:eastAsia="宋体" w:cs="Times New Roman"/>
          <w:bCs/>
          <w:color w:val="auto"/>
          <w:sz w:val="21"/>
          <w:szCs w:val="21"/>
        </w:rPr>
        <w:sectPr>
          <w:pgSz w:w="16838" w:h="11906" w:orient="landscape"/>
          <w:pgMar w:top="1417" w:right="1417" w:bottom="1417" w:left="1417" w:header="1134" w:footer="1191" w:gutter="0"/>
          <w:pgBorders>
            <w:top w:val="none" w:sz="0" w:space="0"/>
            <w:left w:val="none" w:sz="0" w:space="0"/>
            <w:bottom w:val="none" w:sz="0" w:space="0"/>
            <w:right w:val="none" w:sz="0" w:space="0"/>
          </w:pgBorders>
          <w:pgNumType w:fmt="decimal"/>
          <w:cols w:space="720" w:num="1"/>
          <w:docGrid w:linePitch="286" w:charSpace="0"/>
        </w:sectPr>
      </w:pPr>
    </w:p>
    <w:p w14:paraId="02ECA4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表6.2-24  本项目TSP叠加后环境质量浓度预测结果表</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659"/>
        <w:gridCol w:w="1801"/>
        <w:gridCol w:w="739"/>
        <w:gridCol w:w="967"/>
        <w:gridCol w:w="912"/>
        <w:gridCol w:w="958"/>
        <w:gridCol w:w="1424"/>
        <w:gridCol w:w="737"/>
        <w:gridCol w:w="900"/>
      </w:tblGrid>
      <w:tr w14:paraId="3471CA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jc w:val="center"/>
        </w:trPr>
        <w:tc>
          <w:tcPr>
            <w:tcW w:w="362" w:type="pct"/>
            <w:tcBorders>
              <w:tl2br w:val="nil"/>
              <w:tr2bl w:val="nil"/>
            </w:tcBorders>
            <w:tcMar>
              <w:top w:w="15" w:type="dxa"/>
              <w:left w:w="15" w:type="dxa"/>
              <w:right w:w="15" w:type="dxa"/>
            </w:tcMar>
            <w:vAlign w:val="center"/>
          </w:tcPr>
          <w:p w14:paraId="2A14CB60">
            <w:pPr>
              <w:widowControl/>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989" w:type="pct"/>
            <w:tcBorders>
              <w:tl2br w:val="nil"/>
              <w:tr2bl w:val="nil"/>
            </w:tcBorders>
            <w:tcMar>
              <w:top w:w="15" w:type="dxa"/>
              <w:left w:w="15" w:type="dxa"/>
              <w:right w:w="15" w:type="dxa"/>
            </w:tcMar>
            <w:vAlign w:val="center"/>
          </w:tcPr>
          <w:p w14:paraId="0FCF3D4A">
            <w:pPr>
              <w:widowControl/>
              <w:spacing w:line="240" w:lineRule="auto"/>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预测点</w:t>
            </w:r>
          </w:p>
        </w:tc>
        <w:tc>
          <w:tcPr>
            <w:tcW w:w="406" w:type="pct"/>
            <w:tcBorders>
              <w:tl2br w:val="nil"/>
              <w:tr2bl w:val="nil"/>
            </w:tcBorders>
            <w:tcMar>
              <w:top w:w="15" w:type="dxa"/>
              <w:left w:w="15" w:type="dxa"/>
              <w:right w:w="15" w:type="dxa"/>
            </w:tcMar>
            <w:vAlign w:val="center"/>
          </w:tcPr>
          <w:p w14:paraId="5A11F620">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平均时段</w:t>
            </w:r>
          </w:p>
        </w:tc>
        <w:tc>
          <w:tcPr>
            <w:tcW w:w="531" w:type="pct"/>
            <w:tcBorders>
              <w:tl2br w:val="nil"/>
              <w:tr2bl w:val="nil"/>
            </w:tcBorders>
            <w:tcMar>
              <w:top w:w="15" w:type="dxa"/>
              <w:left w:w="15" w:type="dxa"/>
              <w:right w:w="15" w:type="dxa"/>
            </w:tcMar>
            <w:vAlign w:val="center"/>
          </w:tcPr>
          <w:p w14:paraId="2994864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贡献值</w:t>
            </w:r>
            <w:r>
              <w:rPr>
                <w:rFonts w:ascii="Times New Roman" w:hAnsi="Times New Roman" w:eastAsia="宋体" w:cs="Times New Roman"/>
                <w:color w:val="auto"/>
                <w:sz w:val="21"/>
                <w:szCs w:val="21"/>
              </w:rPr>
              <w:t>/（μg/m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501" w:type="pct"/>
            <w:tcBorders>
              <w:tl2br w:val="nil"/>
              <w:tr2bl w:val="nil"/>
            </w:tcBorders>
            <w:tcMar>
              <w:top w:w="15" w:type="dxa"/>
              <w:left w:w="15" w:type="dxa"/>
              <w:right w:w="15" w:type="dxa"/>
            </w:tcMar>
            <w:vAlign w:val="center"/>
          </w:tcPr>
          <w:p w14:paraId="2CDCC28D">
            <w:pPr>
              <w:widowControl/>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出现时间</w:t>
            </w:r>
          </w:p>
        </w:tc>
        <w:tc>
          <w:tcPr>
            <w:tcW w:w="526" w:type="pct"/>
            <w:tcBorders>
              <w:tl2br w:val="nil"/>
              <w:tr2bl w:val="nil"/>
            </w:tcBorders>
            <w:tcMar>
              <w:top w:w="15" w:type="dxa"/>
              <w:left w:w="15" w:type="dxa"/>
              <w:right w:w="15" w:type="dxa"/>
            </w:tcMar>
            <w:vAlign w:val="center"/>
          </w:tcPr>
          <w:p w14:paraId="0E3E7EA2">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现状浓度</w:t>
            </w:r>
            <w:r>
              <w:rPr>
                <w:rFonts w:ascii="Times New Roman" w:hAnsi="Times New Roman" w:eastAsia="宋体" w:cs="Times New Roman"/>
                <w:color w:val="auto"/>
                <w:sz w:val="21"/>
                <w:szCs w:val="21"/>
              </w:rPr>
              <w:t>/（μg/m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782" w:type="pct"/>
            <w:tcBorders>
              <w:tl2br w:val="nil"/>
              <w:tr2bl w:val="nil"/>
            </w:tcBorders>
            <w:tcMar>
              <w:top w:w="15" w:type="dxa"/>
              <w:left w:w="15" w:type="dxa"/>
              <w:right w:w="15" w:type="dxa"/>
            </w:tcMar>
            <w:vAlign w:val="center"/>
          </w:tcPr>
          <w:p w14:paraId="0011B2B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叠加浓度</w:t>
            </w:r>
            <w:r>
              <w:rPr>
                <w:rFonts w:ascii="Times New Roman" w:hAnsi="Times New Roman" w:eastAsia="宋体" w:cs="Times New Roman"/>
                <w:color w:val="auto"/>
                <w:sz w:val="21"/>
                <w:szCs w:val="21"/>
              </w:rPr>
              <w:t>/（μg/m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405" w:type="pct"/>
            <w:tcBorders>
              <w:tl2br w:val="nil"/>
              <w:tr2bl w:val="nil"/>
            </w:tcBorders>
            <w:tcMar>
              <w:top w:w="15" w:type="dxa"/>
              <w:left w:w="15" w:type="dxa"/>
              <w:right w:w="15" w:type="dxa"/>
            </w:tcMar>
            <w:vAlign w:val="center"/>
          </w:tcPr>
          <w:p w14:paraId="50F6C40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占标率%</w:t>
            </w:r>
          </w:p>
        </w:tc>
        <w:tc>
          <w:tcPr>
            <w:tcW w:w="494" w:type="pct"/>
            <w:tcBorders>
              <w:tl2br w:val="nil"/>
              <w:tr2bl w:val="nil"/>
            </w:tcBorders>
            <w:tcMar>
              <w:top w:w="15" w:type="dxa"/>
              <w:left w:w="15" w:type="dxa"/>
              <w:right w:w="15" w:type="dxa"/>
            </w:tcMar>
            <w:vAlign w:val="center"/>
          </w:tcPr>
          <w:p w14:paraId="26A38793">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达标情况</w:t>
            </w:r>
          </w:p>
        </w:tc>
      </w:tr>
      <w:tr w14:paraId="6ACB1A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restart"/>
            <w:tcBorders>
              <w:tl2br w:val="nil"/>
              <w:tr2bl w:val="nil"/>
            </w:tcBorders>
            <w:noWrap/>
            <w:tcMar>
              <w:top w:w="15" w:type="dxa"/>
              <w:left w:w="15" w:type="dxa"/>
              <w:right w:w="15" w:type="dxa"/>
            </w:tcMar>
            <w:vAlign w:val="center"/>
          </w:tcPr>
          <w:p w14:paraId="2B268D65">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TSP</w:t>
            </w:r>
          </w:p>
        </w:tc>
        <w:tc>
          <w:tcPr>
            <w:tcW w:w="989" w:type="pct"/>
            <w:tcBorders>
              <w:tl2br w:val="nil"/>
              <w:tr2bl w:val="nil"/>
            </w:tcBorders>
            <w:tcMar>
              <w:top w:w="15" w:type="dxa"/>
              <w:left w:w="15" w:type="dxa"/>
              <w:right w:w="15" w:type="dxa"/>
            </w:tcMar>
            <w:vAlign w:val="center"/>
          </w:tcPr>
          <w:p w14:paraId="3F823AC8">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八五二农场场部</w:t>
            </w:r>
          </w:p>
        </w:tc>
        <w:tc>
          <w:tcPr>
            <w:tcW w:w="406" w:type="pct"/>
            <w:tcBorders>
              <w:tl2br w:val="nil"/>
              <w:tr2bl w:val="nil"/>
            </w:tcBorders>
            <w:tcMar>
              <w:top w:w="15" w:type="dxa"/>
              <w:left w:w="15" w:type="dxa"/>
              <w:right w:w="15" w:type="dxa"/>
            </w:tcMar>
            <w:vAlign w:val="center"/>
          </w:tcPr>
          <w:p w14:paraId="34C22B6F">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17159AA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0.02972</w:t>
            </w:r>
          </w:p>
        </w:tc>
        <w:tc>
          <w:tcPr>
            <w:tcW w:w="501" w:type="pct"/>
            <w:tcBorders>
              <w:tl2br w:val="nil"/>
              <w:tr2bl w:val="nil"/>
            </w:tcBorders>
            <w:tcMar>
              <w:top w:w="15" w:type="dxa"/>
              <w:left w:w="15" w:type="dxa"/>
              <w:right w:w="15" w:type="dxa"/>
            </w:tcMar>
            <w:vAlign w:val="center"/>
          </w:tcPr>
          <w:p w14:paraId="52D93B6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240205</w:t>
            </w:r>
          </w:p>
        </w:tc>
        <w:tc>
          <w:tcPr>
            <w:tcW w:w="526" w:type="pct"/>
            <w:tcBorders>
              <w:tl2br w:val="nil"/>
              <w:tr2bl w:val="nil"/>
            </w:tcBorders>
            <w:tcMar>
              <w:top w:w="15" w:type="dxa"/>
              <w:left w:w="15" w:type="dxa"/>
              <w:right w:w="15" w:type="dxa"/>
            </w:tcMar>
            <w:vAlign w:val="center"/>
          </w:tcPr>
          <w:p w14:paraId="350E5C7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5F2820A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94.02972</w:t>
            </w:r>
          </w:p>
        </w:tc>
        <w:tc>
          <w:tcPr>
            <w:tcW w:w="405" w:type="pct"/>
            <w:tcBorders>
              <w:tl2br w:val="nil"/>
              <w:tr2bl w:val="nil"/>
            </w:tcBorders>
            <w:tcMar>
              <w:top w:w="15" w:type="dxa"/>
              <w:left w:w="15" w:type="dxa"/>
              <w:right w:w="15" w:type="dxa"/>
            </w:tcMar>
            <w:vAlign w:val="center"/>
          </w:tcPr>
          <w:p w14:paraId="21F7087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31.34</w:t>
            </w:r>
          </w:p>
        </w:tc>
        <w:tc>
          <w:tcPr>
            <w:tcW w:w="494" w:type="pct"/>
            <w:tcBorders>
              <w:tl2br w:val="nil"/>
              <w:tr2bl w:val="nil"/>
            </w:tcBorders>
            <w:tcMar>
              <w:top w:w="15" w:type="dxa"/>
              <w:left w:w="15" w:type="dxa"/>
              <w:right w:w="15" w:type="dxa"/>
            </w:tcMar>
            <w:vAlign w:val="center"/>
          </w:tcPr>
          <w:p w14:paraId="0C50D58F">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7E945D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continue"/>
            <w:tcBorders>
              <w:tl2br w:val="nil"/>
              <w:tr2bl w:val="nil"/>
            </w:tcBorders>
            <w:noWrap/>
            <w:tcMar>
              <w:top w:w="15" w:type="dxa"/>
              <w:left w:w="15" w:type="dxa"/>
              <w:right w:w="15" w:type="dxa"/>
            </w:tcMar>
            <w:vAlign w:val="center"/>
          </w:tcPr>
          <w:p w14:paraId="554D89D9">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4F882AB3">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和平管理区</w:t>
            </w:r>
          </w:p>
        </w:tc>
        <w:tc>
          <w:tcPr>
            <w:tcW w:w="406" w:type="pct"/>
            <w:tcBorders>
              <w:tl2br w:val="nil"/>
              <w:tr2bl w:val="nil"/>
            </w:tcBorders>
            <w:tcMar>
              <w:top w:w="15" w:type="dxa"/>
              <w:left w:w="15" w:type="dxa"/>
              <w:right w:w="15" w:type="dxa"/>
            </w:tcMar>
            <w:vAlign w:val="center"/>
          </w:tcPr>
          <w:p w14:paraId="59CE778B">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10085CD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0.00689</w:t>
            </w:r>
          </w:p>
        </w:tc>
        <w:tc>
          <w:tcPr>
            <w:tcW w:w="501" w:type="pct"/>
            <w:tcBorders>
              <w:tl2br w:val="nil"/>
              <w:tr2bl w:val="nil"/>
            </w:tcBorders>
            <w:tcMar>
              <w:top w:w="15" w:type="dxa"/>
              <w:left w:w="15" w:type="dxa"/>
              <w:right w:w="15" w:type="dxa"/>
            </w:tcMar>
            <w:vAlign w:val="center"/>
          </w:tcPr>
          <w:p w14:paraId="2E30AFC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241027</w:t>
            </w:r>
          </w:p>
        </w:tc>
        <w:tc>
          <w:tcPr>
            <w:tcW w:w="526" w:type="pct"/>
            <w:tcBorders>
              <w:tl2br w:val="nil"/>
              <w:tr2bl w:val="nil"/>
            </w:tcBorders>
            <w:tcMar>
              <w:top w:w="15" w:type="dxa"/>
              <w:left w:w="15" w:type="dxa"/>
              <w:right w:w="15" w:type="dxa"/>
            </w:tcMar>
            <w:vAlign w:val="center"/>
          </w:tcPr>
          <w:p w14:paraId="13C49E9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6F5A396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94.00689</w:t>
            </w:r>
          </w:p>
        </w:tc>
        <w:tc>
          <w:tcPr>
            <w:tcW w:w="405" w:type="pct"/>
            <w:tcBorders>
              <w:tl2br w:val="nil"/>
              <w:tr2bl w:val="nil"/>
            </w:tcBorders>
            <w:tcMar>
              <w:top w:w="15" w:type="dxa"/>
              <w:left w:w="15" w:type="dxa"/>
              <w:right w:w="15" w:type="dxa"/>
            </w:tcMar>
            <w:vAlign w:val="center"/>
          </w:tcPr>
          <w:p w14:paraId="3370B77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31.34</w:t>
            </w:r>
          </w:p>
        </w:tc>
        <w:tc>
          <w:tcPr>
            <w:tcW w:w="494" w:type="pct"/>
            <w:tcBorders>
              <w:tl2br w:val="nil"/>
              <w:tr2bl w:val="nil"/>
            </w:tcBorders>
            <w:tcMar>
              <w:top w:w="15" w:type="dxa"/>
              <w:left w:w="15" w:type="dxa"/>
              <w:right w:w="15" w:type="dxa"/>
            </w:tcMar>
            <w:vAlign w:val="center"/>
          </w:tcPr>
          <w:p w14:paraId="4EC7A5DE">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014DB6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continue"/>
            <w:tcBorders>
              <w:tl2br w:val="nil"/>
              <w:tr2bl w:val="nil"/>
            </w:tcBorders>
            <w:noWrap/>
            <w:tcMar>
              <w:top w:w="15" w:type="dxa"/>
              <w:left w:w="15" w:type="dxa"/>
              <w:right w:w="15" w:type="dxa"/>
            </w:tcMar>
            <w:vAlign w:val="center"/>
          </w:tcPr>
          <w:p w14:paraId="51189225">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520C98DA">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南林小区</w:t>
            </w:r>
          </w:p>
        </w:tc>
        <w:tc>
          <w:tcPr>
            <w:tcW w:w="406" w:type="pct"/>
            <w:tcBorders>
              <w:tl2br w:val="nil"/>
              <w:tr2bl w:val="nil"/>
            </w:tcBorders>
            <w:tcMar>
              <w:top w:w="15" w:type="dxa"/>
              <w:left w:w="15" w:type="dxa"/>
              <w:right w:w="15" w:type="dxa"/>
            </w:tcMar>
            <w:vAlign w:val="center"/>
          </w:tcPr>
          <w:p w14:paraId="16168D1C">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5492691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0.0068</w:t>
            </w:r>
          </w:p>
        </w:tc>
        <w:tc>
          <w:tcPr>
            <w:tcW w:w="501" w:type="pct"/>
            <w:tcBorders>
              <w:tl2br w:val="nil"/>
              <w:tr2bl w:val="nil"/>
            </w:tcBorders>
            <w:tcMar>
              <w:top w:w="15" w:type="dxa"/>
              <w:left w:w="15" w:type="dxa"/>
              <w:right w:w="15" w:type="dxa"/>
            </w:tcMar>
            <w:vAlign w:val="center"/>
          </w:tcPr>
          <w:p w14:paraId="5EC9EA8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240126</w:t>
            </w:r>
          </w:p>
        </w:tc>
        <w:tc>
          <w:tcPr>
            <w:tcW w:w="526" w:type="pct"/>
            <w:tcBorders>
              <w:tl2br w:val="nil"/>
              <w:tr2bl w:val="nil"/>
            </w:tcBorders>
            <w:tcMar>
              <w:top w:w="15" w:type="dxa"/>
              <w:left w:w="15" w:type="dxa"/>
              <w:right w:w="15" w:type="dxa"/>
            </w:tcMar>
            <w:vAlign w:val="center"/>
          </w:tcPr>
          <w:p w14:paraId="2167AC8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38BAB5C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94.0068</w:t>
            </w:r>
          </w:p>
        </w:tc>
        <w:tc>
          <w:tcPr>
            <w:tcW w:w="405" w:type="pct"/>
            <w:tcBorders>
              <w:tl2br w:val="nil"/>
              <w:tr2bl w:val="nil"/>
            </w:tcBorders>
            <w:tcMar>
              <w:top w:w="15" w:type="dxa"/>
              <w:left w:w="15" w:type="dxa"/>
              <w:right w:w="15" w:type="dxa"/>
            </w:tcMar>
            <w:vAlign w:val="center"/>
          </w:tcPr>
          <w:p w14:paraId="3F691A3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31.34</w:t>
            </w:r>
          </w:p>
        </w:tc>
        <w:tc>
          <w:tcPr>
            <w:tcW w:w="494" w:type="pct"/>
            <w:tcBorders>
              <w:tl2br w:val="nil"/>
              <w:tr2bl w:val="nil"/>
            </w:tcBorders>
            <w:tcMar>
              <w:top w:w="15" w:type="dxa"/>
              <w:left w:w="15" w:type="dxa"/>
              <w:right w:w="15" w:type="dxa"/>
            </w:tcMar>
            <w:vAlign w:val="center"/>
          </w:tcPr>
          <w:p w14:paraId="58930A00">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230C8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continue"/>
            <w:tcBorders>
              <w:tl2br w:val="nil"/>
              <w:tr2bl w:val="nil"/>
            </w:tcBorders>
            <w:noWrap/>
            <w:tcMar>
              <w:top w:w="15" w:type="dxa"/>
              <w:left w:w="15" w:type="dxa"/>
              <w:right w:w="15" w:type="dxa"/>
            </w:tcMar>
            <w:vAlign w:val="center"/>
          </w:tcPr>
          <w:p w14:paraId="6AB5FD11">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770852D7">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八五二农场四分场</w:t>
            </w:r>
          </w:p>
        </w:tc>
        <w:tc>
          <w:tcPr>
            <w:tcW w:w="406" w:type="pct"/>
            <w:tcBorders>
              <w:tl2br w:val="nil"/>
              <w:tr2bl w:val="nil"/>
            </w:tcBorders>
            <w:tcMar>
              <w:top w:w="15" w:type="dxa"/>
              <w:left w:w="15" w:type="dxa"/>
              <w:right w:w="15" w:type="dxa"/>
            </w:tcMar>
            <w:vAlign w:val="center"/>
          </w:tcPr>
          <w:p w14:paraId="52EE788F">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1A15E95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0.00186</w:t>
            </w:r>
          </w:p>
        </w:tc>
        <w:tc>
          <w:tcPr>
            <w:tcW w:w="501" w:type="pct"/>
            <w:tcBorders>
              <w:tl2br w:val="nil"/>
              <w:tr2bl w:val="nil"/>
            </w:tcBorders>
            <w:tcMar>
              <w:top w:w="15" w:type="dxa"/>
              <w:left w:w="15" w:type="dxa"/>
              <w:right w:w="15" w:type="dxa"/>
            </w:tcMar>
            <w:vAlign w:val="center"/>
          </w:tcPr>
          <w:p w14:paraId="5502105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240215</w:t>
            </w:r>
          </w:p>
        </w:tc>
        <w:tc>
          <w:tcPr>
            <w:tcW w:w="526" w:type="pct"/>
            <w:tcBorders>
              <w:tl2br w:val="nil"/>
              <w:tr2bl w:val="nil"/>
            </w:tcBorders>
            <w:tcMar>
              <w:top w:w="15" w:type="dxa"/>
              <w:left w:w="15" w:type="dxa"/>
              <w:right w:w="15" w:type="dxa"/>
            </w:tcMar>
            <w:vAlign w:val="center"/>
          </w:tcPr>
          <w:p w14:paraId="020A84D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1E22680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94.00186</w:t>
            </w:r>
          </w:p>
        </w:tc>
        <w:tc>
          <w:tcPr>
            <w:tcW w:w="405" w:type="pct"/>
            <w:tcBorders>
              <w:tl2br w:val="nil"/>
              <w:tr2bl w:val="nil"/>
            </w:tcBorders>
            <w:tcMar>
              <w:top w:w="15" w:type="dxa"/>
              <w:left w:w="15" w:type="dxa"/>
              <w:right w:w="15" w:type="dxa"/>
            </w:tcMar>
            <w:vAlign w:val="center"/>
          </w:tcPr>
          <w:p w14:paraId="5C626E5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31.33</w:t>
            </w:r>
          </w:p>
        </w:tc>
        <w:tc>
          <w:tcPr>
            <w:tcW w:w="494" w:type="pct"/>
            <w:tcBorders>
              <w:tl2br w:val="nil"/>
              <w:tr2bl w:val="nil"/>
            </w:tcBorders>
            <w:tcMar>
              <w:top w:w="15" w:type="dxa"/>
              <w:left w:w="15" w:type="dxa"/>
              <w:right w:w="15" w:type="dxa"/>
            </w:tcMar>
            <w:vAlign w:val="center"/>
          </w:tcPr>
          <w:p w14:paraId="3431C30C">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4F4C0A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continue"/>
            <w:tcBorders>
              <w:tl2br w:val="nil"/>
              <w:tr2bl w:val="nil"/>
            </w:tcBorders>
            <w:noWrap/>
            <w:tcMar>
              <w:top w:w="15" w:type="dxa"/>
              <w:left w:w="15" w:type="dxa"/>
              <w:right w:w="15" w:type="dxa"/>
            </w:tcMar>
            <w:vAlign w:val="center"/>
          </w:tcPr>
          <w:p w14:paraId="0968BEDD">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21334DEC">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八五二农场副业队</w:t>
            </w:r>
          </w:p>
        </w:tc>
        <w:tc>
          <w:tcPr>
            <w:tcW w:w="406" w:type="pct"/>
            <w:tcBorders>
              <w:tl2br w:val="nil"/>
              <w:tr2bl w:val="nil"/>
            </w:tcBorders>
            <w:tcMar>
              <w:top w:w="15" w:type="dxa"/>
              <w:left w:w="15" w:type="dxa"/>
              <w:right w:w="15" w:type="dxa"/>
            </w:tcMar>
            <w:vAlign w:val="center"/>
          </w:tcPr>
          <w:p w14:paraId="6446226D">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52F8BE3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0.00421</w:t>
            </w:r>
          </w:p>
        </w:tc>
        <w:tc>
          <w:tcPr>
            <w:tcW w:w="501" w:type="pct"/>
            <w:tcBorders>
              <w:tl2br w:val="nil"/>
              <w:tr2bl w:val="nil"/>
            </w:tcBorders>
            <w:tcMar>
              <w:top w:w="15" w:type="dxa"/>
              <w:left w:w="15" w:type="dxa"/>
              <w:right w:w="15" w:type="dxa"/>
            </w:tcMar>
            <w:vAlign w:val="center"/>
          </w:tcPr>
          <w:p w14:paraId="100875F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241027</w:t>
            </w:r>
          </w:p>
        </w:tc>
        <w:tc>
          <w:tcPr>
            <w:tcW w:w="526" w:type="pct"/>
            <w:tcBorders>
              <w:tl2br w:val="nil"/>
              <w:tr2bl w:val="nil"/>
            </w:tcBorders>
            <w:tcMar>
              <w:top w:w="15" w:type="dxa"/>
              <w:left w:w="15" w:type="dxa"/>
              <w:right w:w="15" w:type="dxa"/>
            </w:tcMar>
            <w:vAlign w:val="center"/>
          </w:tcPr>
          <w:p w14:paraId="1D6B0E9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1643B0D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94.00421</w:t>
            </w:r>
          </w:p>
        </w:tc>
        <w:tc>
          <w:tcPr>
            <w:tcW w:w="405" w:type="pct"/>
            <w:tcBorders>
              <w:tl2br w:val="nil"/>
              <w:tr2bl w:val="nil"/>
            </w:tcBorders>
            <w:tcMar>
              <w:top w:w="15" w:type="dxa"/>
              <w:left w:w="15" w:type="dxa"/>
              <w:right w:w="15" w:type="dxa"/>
            </w:tcMar>
            <w:vAlign w:val="center"/>
          </w:tcPr>
          <w:p w14:paraId="092F679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31.33</w:t>
            </w:r>
          </w:p>
        </w:tc>
        <w:tc>
          <w:tcPr>
            <w:tcW w:w="494" w:type="pct"/>
            <w:tcBorders>
              <w:tl2br w:val="nil"/>
              <w:tr2bl w:val="nil"/>
            </w:tcBorders>
            <w:tcMar>
              <w:top w:w="15" w:type="dxa"/>
              <w:left w:w="15" w:type="dxa"/>
              <w:right w:w="15" w:type="dxa"/>
            </w:tcMar>
            <w:vAlign w:val="center"/>
          </w:tcPr>
          <w:p w14:paraId="66EF21BB">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08E67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continue"/>
            <w:tcBorders>
              <w:tl2br w:val="nil"/>
              <w:tr2bl w:val="nil"/>
            </w:tcBorders>
            <w:noWrap/>
            <w:tcMar>
              <w:top w:w="15" w:type="dxa"/>
              <w:left w:w="15" w:type="dxa"/>
              <w:right w:w="15" w:type="dxa"/>
            </w:tcMar>
            <w:vAlign w:val="center"/>
          </w:tcPr>
          <w:p w14:paraId="5253BB81">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3E0FDCE4">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八五二农场种畜站</w:t>
            </w:r>
          </w:p>
        </w:tc>
        <w:tc>
          <w:tcPr>
            <w:tcW w:w="406" w:type="pct"/>
            <w:tcBorders>
              <w:tl2br w:val="nil"/>
              <w:tr2bl w:val="nil"/>
            </w:tcBorders>
            <w:tcMar>
              <w:top w:w="15" w:type="dxa"/>
              <w:left w:w="15" w:type="dxa"/>
              <w:right w:w="15" w:type="dxa"/>
            </w:tcMar>
            <w:vAlign w:val="center"/>
          </w:tcPr>
          <w:p w14:paraId="2AF291FC">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7FC5D00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0.00384</w:t>
            </w:r>
          </w:p>
        </w:tc>
        <w:tc>
          <w:tcPr>
            <w:tcW w:w="501" w:type="pct"/>
            <w:tcBorders>
              <w:tl2br w:val="nil"/>
              <w:tr2bl w:val="nil"/>
            </w:tcBorders>
            <w:tcMar>
              <w:top w:w="15" w:type="dxa"/>
              <w:left w:w="15" w:type="dxa"/>
              <w:right w:w="15" w:type="dxa"/>
            </w:tcMar>
            <w:vAlign w:val="center"/>
          </w:tcPr>
          <w:p w14:paraId="63014A7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240128</w:t>
            </w:r>
          </w:p>
        </w:tc>
        <w:tc>
          <w:tcPr>
            <w:tcW w:w="526" w:type="pct"/>
            <w:tcBorders>
              <w:tl2br w:val="nil"/>
              <w:tr2bl w:val="nil"/>
            </w:tcBorders>
            <w:tcMar>
              <w:top w:w="15" w:type="dxa"/>
              <w:left w:w="15" w:type="dxa"/>
              <w:right w:w="15" w:type="dxa"/>
            </w:tcMar>
            <w:vAlign w:val="center"/>
          </w:tcPr>
          <w:p w14:paraId="675A4BE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77B2BF9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94.00384</w:t>
            </w:r>
          </w:p>
        </w:tc>
        <w:tc>
          <w:tcPr>
            <w:tcW w:w="405" w:type="pct"/>
            <w:tcBorders>
              <w:tl2br w:val="nil"/>
              <w:tr2bl w:val="nil"/>
            </w:tcBorders>
            <w:tcMar>
              <w:top w:w="15" w:type="dxa"/>
              <w:left w:w="15" w:type="dxa"/>
              <w:right w:w="15" w:type="dxa"/>
            </w:tcMar>
            <w:vAlign w:val="center"/>
          </w:tcPr>
          <w:p w14:paraId="7552C5C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31.33</w:t>
            </w:r>
          </w:p>
        </w:tc>
        <w:tc>
          <w:tcPr>
            <w:tcW w:w="494" w:type="pct"/>
            <w:tcBorders>
              <w:tl2br w:val="nil"/>
              <w:tr2bl w:val="nil"/>
            </w:tcBorders>
            <w:tcMar>
              <w:top w:w="15" w:type="dxa"/>
              <w:left w:w="15" w:type="dxa"/>
              <w:right w:w="15" w:type="dxa"/>
            </w:tcMar>
            <w:vAlign w:val="center"/>
          </w:tcPr>
          <w:p w14:paraId="32A77376">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2A6412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0" w:hRule="atLeast"/>
          <w:jc w:val="center"/>
        </w:trPr>
        <w:tc>
          <w:tcPr>
            <w:tcW w:w="362" w:type="pct"/>
            <w:vMerge w:val="continue"/>
            <w:tcBorders>
              <w:tl2br w:val="nil"/>
              <w:tr2bl w:val="nil"/>
            </w:tcBorders>
            <w:noWrap/>
            <w:tcMar>
              <w:top w:w="15" w:type="dxa"/>
              <w:left w:w="15" w:type="dxa"/>
              <w:right w:w="15" w:type="dxa"/>
            </w:tcMar>
            <w:vAlign w:val="center"/>
          </w:tcPr>
          <w:p w14:paraId="5DEE31E2">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5E3FE367">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迎春林业局光明林场</w:t>
            </w:r>
          </w:p>
        </w:tc>
        <w:tc>
          <w:tcPr>
            <w:tcW w:w="406" w:type="pct"/>
            <w:tcBorders>
              <w:tl2br w:val="nil"/>
              <w:tr2bl w:val="nil"/>
            </w:tcBorders>
            <w:tcMar>
              <w:top w:w="15" w:type="dxa"/>
              <w:left w:w="15" w:type="dxa"/>
              <w:right w:w="15" w:type="dxa"/>
            </w:tcMar>
            <w:vAlign w:val="center"/>
          </w:tcPr>
          <w:p w14:paraId="1879B902">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0666131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0.00966</w:t>
            </w:r>
          </w:p>
        </w:tc>
        <w:tc>
          <w:tcPr>
            <w:tcW w:w="501" w:type="pct"/>
            <w:tcBorders>
              <w:tl2br w:val="nil"/>
              <w:tr2bl w:val="nil"/>
            </w:tcBorders>
            <w:tcMar>
              <w:top w:w="15" w:type="dxa"/>
              <w:left w:w="15" w:type="dxa"/>
              <w:right w:w="15" w:type="dxa"/>
            </w:tcMar>
            <w:vAlign w:val="center"/>
          </w:tcPr>
          <w:p w14:paraId="7D7A2E2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241222</w:t>
            </w:r>
          </w:p>
        </w:tc>
        <w:tc>
          <w:tcPr>
            <w:tcW w:w="526" w:type="pct"/>
            <w:tcBorders>
              <w:tl2br w:val="nil"/>
              <w:tr2bl w:val="nil"/>
            </w:tcBorders>
            <w:tcMar>
              <w:top w:w="15" w:type="dxa"/>
              <w:left w:w="15" w:type="dxa"/>
              <w:right w:w="15" w:type="dxa"/>
            </w:tcMar>
            <w:vAlign w:val="center"/>
          </w:tcPr>
          <w:p w14:paraId="12761FD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3D17C67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94.00966</w:t>
            </w:r>
          </w:p>
        </w:tc>
        <w:tc>
          <w:tcPr>
            <w:tcW w:w="405" w:type="pct"/>
            <w:tcBorders>
              <w:tl2br w:val="nil"/>
              <w:tr2bl w:val="nil"/>
            </w:tcBorders>
            <w:tcMar>
              <w:top w:w="15" w:type="dxa"/>
              <w:left w:w="15" w:type="dxa"/>
              <w:right w:w="15" w:type="dxa"/>
            </w:tcMar>
            <w:vAlign w:val="center"/>
          </w:tcPr>
          <w:p w14:paraId="58F0EB7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31.34</w:t>
            </w:r>
          </w:p>
        </w:tc>
        <w:tc>
          <w:tcPr>
            <w:tcW w:w="494" w:type="pct"/>
            <w:tcBorders>
              <w:tl2br w:val="nil"/>
              <w:tr2bl w:val="nil"/>
            </w:tcBorders>
            <w:tcMar>
              <w:top w:w="15" w:type="dxa"/>
              <w:left w:w="15" w:type="dxa"/>
              <w:right w:w="15" w:type="dxa"/>
            </w:tcMar>
            <w:vAlign w:val="center"/>
          </w:tcPr>
          <w:p w14:paraId="544B7DD6">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6E9C80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continue"/>
            <w:tcBorders>
              <w:tl2br w:val="nil"/>
              <w:tr2bl w:val="nil"/>
            </w:tcBorders>
            <w:noWrap/>
            <w:tcMar>
              <w:top w:w="15" w:type="dxa"/>
              <w:left w:w="15" w:type="dxa"/>
              <w:right w:w="15" w:type="dxa"/>
            </w:tcMar>
            <w:vAlign w:val="center"/>
          </w:tcPr>
          <w:p w14:paraId="6FA0D0E5">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71050E8C">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虎宝工厂南林工段</w:t>
            </w:r>
          </w:p>
        </w:tc>
        <w:tc>
          <w:tcPr>
            <w:tcW w:w="406" w:type="pct"/>
            <w:tcBorders>
              <w:tl2br w:val="nil"/>
              <w:tr2bl w:val="nil"/>
            </w:tcBorders>
            <w:tcMar>
              <w:top w:w="15" w:type="dxa"/>
              <w:left w:w="15" w:type="dxa"/>
              <w:right w:w="15" w:type="dxa"/>
            </w:tcMar>
            <w:vAlign w:val="center"/>
          </w:tcPr>
          <w:p w14:paraId="1D813581">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35B0722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0.00353</w:t>
            </w:r>
          </w:p>
        </w:tc>
        <w:tc>
          <w:tcPr>
            <w:tcW w:w="501" w:type="pct"/>
            <w:tcBorders>
              <w:tl2br w:val="nil"/>
              <w:tr2bl w:val="nil"/>
            </w:tcBorders>
            <w:tcMar>
              <w:top w:w="15" w:type="dxa"/>
              <w:left w:w="15" w:type="dxa"/>
              <w:right w:w="15" w:type="dxa"/>
            </w:tcMar>
            <w:vAlign w:val="center"/>
          </w:tcPr>
          <w:p w14:paraId="1FAF83F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241029</w:t>
            </w:r>
          </w:p>
        </w:tc>
        <w:tc>
          <w:tcPr>
            <w:tcW w:w="526" w:type="pct"/>
            <w:tcBorders>
              <w:tl2br w:val="nil"/>
              <w:tr2bl w:val="nil"/>
            </w:tcBorders>
            <w:tcMar>
              <w:top w:w="15" w:type="dxa"/>
              <w:left w:w="15" w:type="dxa"/>
              <w:right w:w="15" w:type="dxa"/>
            </w:tcMar>
            <w:vAlign w:val="center"/>
          </w:tcPr>
          <w:p w14:paraId="6A8F9D2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5927CEA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94.00353</w:t>
            </w:r>
          </w:p>
        </w:tc>
        <w:tc>
          <w:tcPr>
            <w:tcW w:w="405" w:type="pct"/>
            <w:tcBorders>
              <w:tl2br w:val="nil"/>
              <w:tr2bl w:val="nil"/>
            </w:tcBorders>
            <w:tcMar>
              <w:top w:w="15" w:type="dxa"/>
              <w:left w:w="15" w:type="dxa"/>
              <w:right w:w="15" w:type="dxa"/>
            </w:tcMar>
            <w:vAlign w:val="center"/>
          </w:tcPr>
          <w:p w14:paraId="10DB909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31.33</w:t>
            </w:r>
          </w:p>
        </w:tc>
        <w:tc>
          <w:tcPr>
            <w:tcW w:w="494" w:type="pct"/>
            <w:tcBorders>
              <w:tl2br w:val="nil"/>
              <w:tr2bl w:val="nil"/>
            </w:tcBorders>
            <w:tcMar>
              <w:top w:w="15" w:type="dxa"/>
              <w:left w:w="15" w:type="dxa"/>
              <w:right w:w="15" w:type="dxa"/>
            </w:tcMar>
            <w:vAlign w:val="center"/>
          </w:tcPr>
          <w:p w14:paraId="7B5D087A">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553DA4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2" w:type="pct"/>
            <w:vMerge w:val="continue"/>
            <w:tcBorders>
              <w:tl2br w:val="nil"/>
              <w:tr2bl w:val="nil"/>
            </w:tcBorders>
            <w:noWrap/>
            <w:tcMar>
              <w:top w:w="15" w:type="dxa"/>
              <w:left w:w="15" w:type="dxa"/>
              <w:right w:w="15" w:type="dxa"/>
            </w:tcMar>
            <w:vAlign w:val="center"/>
          </w:tcPr>
          <w:p w14:paraId="49210EAE">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2E6DE147">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虎宝村</w:t>
            </w:r>
          </w:p>
        </w:tc>
        <w:tc>
          <w:tcPr>
            <w:tcW w:w="406" w:type="pct"/>
            <w:tcBorders>
              <w:tl2br w:val="nil"/>
              <w:tr2bl w:val="nil"/>
            </w:tcBorders>
            <w:tcMar>
              <w:top w:w="15" w:type="dxa"/>
              <w:left w:w="15" w:type="dxa"/>
              <w:right w:w="15" w:type="dxa"/>
            </w:tcMar>
            <w:vAlign w:val="center"/>
          </w:tcPr>
          <w:p w14:paraId="75B4C9B3">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tcMar>
              <w:top w:w="15" w:type="dxa"/>
              <w:left w:w="15" w:type="dxa"/>
              <w:right w:w="15" w:type="dxa"/>
            </w:tcMar>
            <w:vAlign w:val="center"/>
          </w:tcPr>
          <w:p w14:paraId="490996B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0.00106</w:t>
            </w:r>
          </w:p>
        </w:tc>
        <w:tc>
          <w:tcPr>
            <w:tcW w:w="501" w:type="pct"/>
            <w:tcBorders>
              <w:tl2br w:val="nil"/>
              <w:tr2bl w:val="nil"/>
            </w:tcBorders>
            <w:tcMar>
              <w:top w:w="15" w:type="dxa"/>
              <w:left w:w="15" w:type="dxa"/>
              <w:right w:w="15" w:type="dxa"/>
            </w:tcMar>
            <w:vAlign w:val="center"/>
          </w:tcPr>
          <w:p w14:paraId="6B7D0BD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240112</w:t>
            </w:r>
          </w:p>
        </w:tc>
        <w:tc>
          <w:tcPr>
            <w:tcW w:w="526" w:type="pct"/>
            <w:tcBorders>
              <w:tl2br w:val="nil"/>
              <w:tr2bl w:val="nil"/>
            </w:tcBorders>
            <w:tcMar>
              <w:top w:w="15" w:type="dxa"/>
              <w:left w:w="15" w:type="dxa"/>
              <w:right w:w="15" w:type="dxa"/>
            </w:tcMar>
            <w:vAlign w:val="center"/>
          </w:tcPr>
          <w:p w14:paraId="0EA1A27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492BE09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94.00106</w:t>
            </w:r>
          </w:p>
        </w:tc>
        <w:tc>
          <w:tcPr>
            <w:tcW w:w="405" w:type="pct"/>
            <w:tcBorders>
              <w:tl2br w:val="nil"/>
              <w:tr2bl w:val="nil"/>
            </w:tcBorders>
            <w:tcMar>
              <w:top w:w="15" w:type="dxa"/>
              <w:left w:w="15" w:type="dxa"/>
              <w:right w:w="15" w:type="dxa"/>
            </w:tcMar>
            <w:vAlign w:val="center"/>
          </w:tcPr>
          <w:p w14:paraId="586067A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31.33</w:t>
            </w:r>
          </w:p>
        </w:tc>
        <w:tc>
          <w:tcPr>
            <w:tcW w:w="494" w:type="pct"/>
            <w:tcBorders>
              <w:tl2br w:val="nil"/>
              <w:tr2bl w:val="nil"/>
            </w:tcBorders>
            <w:tcMar>
              <w:top w:w="15" w:type="dxa"/>
              <w:left w:w="15" w:type="dxa"/>
              <w:right w:w="15" w:type="dxa"/>
            </w:tcMar>
            <w:vAlign w:val="center"/>
          </w:tcPr>
          <w:p w14:paraId="4032B939">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221FF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1" w:hRule="atLeast"/>
          <w:jc w:val="center"/>
        </w:trPr>
        <w:tc>
          <w:tcPr>
            <w:tcW w:w="362" w:type="pct"/>
            <w:vMerge w:val="continue"/>
            <w:tcBorders>
              <w:tl2br w:val="nil"/>
              <w:tr2bl w:val="nil"/>
            </w:tcBorders>
            <w:noWrap/>
            <w:tcMar>
              <w:top w:w="15" w:type="dxa"/>
              <w:left w:w="15" w:type="dxa"/>
              <w:right w:w="15" w:type="dxa"/>
            </w:tcMar>
            <w:vAlign w:val="center"/>
          </w:tcPr>
          <w:p w14:paraId="32DF898F">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989" w:type="pct"/>
            <w:tcBorders>
              <w:tl2br w:val="nil"/>
              <w:tr2bl w:val="nil"/>
            </w:tcBorders>
            <w:tcMar>
              <w:top w:w="15" w:type="dxa"/>
              <w:left w:w="15" w:type="dxa"/>
              <w:right w:w="15" w:type="dxa"/>
            </w:tcMar>
            <w:vAlign w:val="center"/>
          </w:tcPr>
          <w:p w14:paraId="4F996C81">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区域最大落地浓度</w:t>
            </w:r>
          </w:p>
        </w:tc>
        <w:tc>
          <w:tcPr>
            <w:tcW w:w="406" w:type="pct"/>
            <w:tcBorders>
              <w:tl2br w:val="nil"/>
              <w:tr2bl w:val="nil"/>
            </w:tcBorders>
            <w:tcMar>
              <w:top w:w="15" w:type="dxa"/>
              <w:left w:w="15" w:type="dxa"/>
              <w:right w:w="15" w:type="dxa"/>
            </w:tcMar>
            <w:vAlign w:val="center"/>
          </w:tcPr>
          <w:p w14:paraId="1FB61364">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531" w:type="pct"/>
            <w:tcBorders>
              <w:tl2br w:val="nil"/>
              <w:tr2bl w:val="nil"/>
            </w:tcBorders>
            <w:shd w:val="clear" w:color="auto" w:fill="auto"/>
            <w:tcMar>
              <w:top w:w="15" w:type="dxa"/>
              <w:left w:w="15" w:type="dxa"/>
              <w:right w:w="15" w:type="dxa"/>
            </w:tcMar>
            <w:vAlign w:val="center"/>
          </w:tcPr>
          <w:p w14:paraId="2871AFF8">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1.77155</w:t>
            </w:r>
          </w:p>
        </w:tc>
        <w:tc>
          <w:tcPr>
            <w:tcW w:w="501" w:type="pct"/>
            <w:tcBorders>
              <w:tl2br w:val="nil"/>
              <w:tr2bl w:val="nil"/>
            </w:tcBorders>
            <w:shd w:val="clear" w:color="auto" w:fill="auto"/>
            <w:tcMar>
              <w:top w:w="15" w:type="dxa"/>
              <w:left w:w="15" w:type="dxa"/>
              <w:right w:w="15" w:type="dxa"/>
            </w:tcMar>
            <w:vAlign w:val="center"/>
          </w:tcPr>
          <w:p w14:paraId="4D026B38">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241124</w:t>
            </w:r>
          </w:p>
        </w:tc>
        <w:tc>
          <w:tcPr>
            <w:tcW w:w="526" w:type="pct"/>
            <w:tcBorders>
              <w:tl2br w:val="nil"/>
              <w:tr2bl w:val="nil"/>
            </w:tcBorders>
            <w:shd w:val="clear" w:color="auto" w:fill="auto"/>
            <w:tcMar>
              <w:top w:w="15" w:type="dxa"/>
              <w:left w:w="15" w:type="dxa"/>
              <w:right w:w="15" w:type="dxa"/>
            </w:tcMar>
            <w:vAlign w:val="center"/>
          </w:tcPr>
          <w:p w14:paraId="1A1D979B">
            <w:pPr>
              <w:spacing w:line="240" w:lineRule="auto"/>
              <w:ind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94.0</w:t>
            </w:r>
          </w:p>
        </w:tc>
        <w:tc>
          <w:tcPr>
            <w:tcW w:w="782" w:type="pct"/>
            <w:tcBorders>
              <w:tl2br w:val="nil"/>
              <w:tr2bl w:val="nil"/>
            </w:tcBorders>
            <w:noWrap/>
            <w:tcMar>
              <w:top w:w="15" w:type="dxa"/>
              <w:left w:w="15" w:type="dxa"/>
              <w:right w:w="15" w:type="dxa"/>
            </w:tcMar>
            <w:vAlign w:val="center"/>
          </w:tcPr>
          <w:p w14:paraId="2B61D0B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95.77155</w:t>
            </w:r>
          </w:p>
        </w:tc>
        <w:tc>
          <w:tcPr>
            <w:tcW w:w="405" w:type="pct"/>
            <w:tcBorders>
              <w:tl2br w:val="nil"/>
              <w:tr2bl w:val="nil"/>
            </w:tcBorders>
            <w:tcMar>
              <w:top w:w="15" w:type="dxa"/>
              <w:left w:w="15" w:type="dxa"/>
              <w:right w:w="15" w:type="dxa"/>
            </w:tcMar>
            <w:vAlign w:val="center"/>
          </w:tcPr>
          <w:p w14:paraId="38208A2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31.92</w:t>
            </w:r>
          </w:p>
        </w:tc>
        <w:tc>
          <w:tcPr>
            <w:tcW w:w="494" w:type="pct"/>
            <w:tcBorders>
              <w:tl2br w:val="nil"/>
              <w:tr2bl w:val="nil"/>
            </w:tcBorders>
            <w:tcMar>
              <w:top w:w="15" w:type="dxa"/>
              <w:left w:w="15" w:type="dxa"/>
              <w:right w:w="15" w:type="dxa"/>
            </w:tcMar>
            <w:vAlign w:val="center"/>
          </w:tcPr>
          <w:p w14:paraId="6BF33585">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bl>
    <w:p w14:paraId="04208A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表6.2-2</w:t>
      </w:r>
      <w:r>
        <w:rPr>
          <w:rFonts w:hint="eastAsia" w:eastAsia="宋体" w:cs="Times New Roman"/>
          <w:b/>
          <w:bCs/>
          <w:color w:val="auto"/>
          <w:sz w:val="24"/>
          <w:szCs w:val="24"/>
          <w:lang w:val="en-US" w:eastAsia="zh-CN"/>
        </w:rPr>
        <w:t>5</w:t>
      </w:r>
      <w:r>
        <w:rPr>
          <w:rFonts w:hint="eastAsia" w:ascii="Times New Roman" w:hAnsi="Times New Roman" w:eastAsia="宋体" w:cs="Times New Roman"/>
          <w:b/>
          <w:bCs/>
          <w:color w:val="auto"/>
          <w:sz w:val="24"/>
          <w:szCs w:val="24"/>
          <w:lang w:val="en-US" w:eastAsia="zh-CN"/>
        </w:rPr>
        <w:t xml:space="preserve">  本项目Hg叠加后环境质量浓度预测结果表</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01"/>
        <w:gridCol w:w="1561"/>
        <w:gridCol w:w="812"/>
        <w:gridCol w:w="1246"/>
        <w:gridCol w:w="951"/>
        <w:gridCol w:w="958"/>
        <w:gridCol w:w="1162"/>
        <w:gridCol w:w="772"/>
        <w:gridCol w:w="934"/>
      </w:tblGrid>
      <w:tr w14:paraId="25DE83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tcBorders>
              <w:tl2br w:val="nil"/>
              <w:tr2bl w:val="nil"/>
            </w:tcBorders>
            <w:tcMar>
              <w:top w:w="15" w:type="dxa"/>
              <w:left w:w="15" w:type="dxa"/>
              <w:right w:w="15" w:type="dxa"/>
            </w:tcMar>
            <w:vAlign w:val="center"/>
          </w:tcPr>
          <w:p w14:paraId="6C8D2B4E">
            <w:pPr>
              <w:widowControl/>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污染物</w:t>
            </w:r>
          </w:p>
        </w:tc>
        <w:tc>
          <w:tcPr>
            <w:tcW w:w="857" w:type="pct"/>
            <w:tcBorders>
              <w:tl2br w:val="nil"/>
              <w:tr2bl w:val="nil"/>
            </w:tcBorders>
            <w:tcMar>
              <w:top w:w="15" w:type="dxa"/>
              <w:left w:w="15" w:type="dxa"/>
              <w:right w:w="15" w:type="dxa"/>
            </w:tcMar>
            <w:vAlign w:val="center"/>
          </w:tcPr>
          <w:p w14:paraId="74E49822">
            <w:pPr>
              <w:widowControl/>
              <w:spacing w:line="240" w:lineRule="auto"/>
              <w:ind w:firstLine="0" w:firstLineChars="0"/>
              <w:jc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预测点</w:t>
            </w:r>
          </w:p>
        </w:tc>
        <w:tc>
          <w:tcPr>
            <w:tcW w:w="446" w:type="pct"/>
            <w:tcBorders>
              <w:tl2br w:val="nil"/>
              <w:tr2bl w:val="nil"/>
            </w:tcBorders>
            <w:tcMar>
              <w:top w:w="15" w:type="dxa"/>
              <w:left w:w="15" w:type="dxa"/>
              <w:right w:w="15" w:type="dxa"/>
            </w:tcMar>
            <w:vAlign w:val="center"/>
          </w:tcPr>
          <w:p w14:paraId="09F299C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平均时段</w:t>
            </w:r>
          </w:p>
        </w:tc>
        <w:tc>
          <w:tcPr>
            <w:tcW w:w="684" w:type="pct"/>
            <w:tcBorders>
              <w:tl2br w:val="nil"/>
              <w:tr2bl w:val="nil"/>
            </w:tcBorders>
            <w:tcMar>
              <w:top w:w="15" w:type="dxa"/>
              <w:left w:w="15" w:type="dxa"/>
              <w:right w:w="15" w:type="dxa"/>
            </w:tcMar>
            <w:vAlign w:val="center"/>
          </w:tcPr>
          <w:p w14:paraId="355A5B25">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贡献值</w:t>
            </w:r>
            <w:r>
              <w:rPr>
                <w:rFonts w:ascii="Times New Roman" w:hAnsi="Times New Roman" w:eastAsia="宋体" w:cs="Times New Roman"/>
                <w:color w:val="auto"/>
                <w:sz w:val="21"/>
                <w:szCs w:val="21"/>
              </w:rPr>
              <w:t>/（μg/m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522" w:type="pct"/>
            <w:tcBorders>
              <w:tl2br w:val="nil"/>
              <w:tr2bl w:val="nil"/>
            </w:tcBorders>
            <w:tcMar>
              <w:top w:w="15" w:type="dxa"/>
              <w:left w:w="15" w:type="dxa"/>
              <w:right w:w="15" w:type="dxa"/>
            </w:tcMar>
            <w:vAlign w:val="center"/>
          </w:tcPr>
          <w:p w14:paraId="1E1F545E">
            <w:pPr>
              <w:widowControl/>
              <w:spacing w:line="240" w:lineRule="auto"/>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出现时间</w:t>
            </w:r>
          </w:p>
        </w:tc>
        <w:tc>
          <w:tcPr>
            <w:tcW w:w="526" w:type="pct"/>
            <w:tcBorders>
              <w:tl2br w:val="nil"/>
              <w:tr2bl w:val="nil"/>
            </w:tcBorders>
            <w:tcMar>
              <w:top w:w="15" w:type="dxa"/>
              <w:left w:w="15" w:type="dxa"/>
              <w:right w:w="15" w:type="dxa"/>
            </w:tcMar>
            <w:vAlign w:val="center"/>
          </w:tcPr>
          <w:p w14:paraId="5630B78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现状浓度</w:t>
            </w:r>
            <w:r>
              <w:rPr>
                <w:rFonts w:ascii="Times New Roman" w:hAnsi="Times New Roman" w:eastAsia="宋体" w:cs="Times New Roman"/>
                <w:color w:val="auto"/>
                <w:sz w:val="21"/>
                <w:szCs w:val="21"/>
              </w:rPr>
              <w:t>/（μg/m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638" w:type="pct"/>
            <w:tcBorders>
              <w:tl2br w:val="nil"/>
              <w:tr2bl w:val="nil"/>
            </w:tcBorders>
            <w:tcMar>
              <w:top w:w="15" w:type="dxa"/>
              <w:left w:w="15" w:type="dxa"/>
              <w:right w:w="15" w:type="dxa"/>
            </w:tcMar>
            <w:vAlign w:val="center"/>
          </w:tcPr>
          <w:p w14:paraId="4CD52DF7">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叠加浓度</w:t>
            </w:r>
            <w:r>
              <w:rPr>
                <w:rFonts w:ascii="Times New Roman" w:hAnsi="Times New Roman" w:eastAsia="宋体" w:cs="Times New Roman"/>
                <w:color w:val="auto"/>
                <w:sz w:val="21"/>
                <w:szCs w:val="21"/>
              </w:rPr>
              <w:t>/（μg/m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424" w:type="pct"/>
            <w:tcBorders>
              <w:tl2br w:val="nil"/>
              <w:tr2bl w:val="nil"/>
            </w:tcBorders>
            <w:tcMar>
              <w:top w:w="15" w:type="dxa"/>
              <w:left w:w="15" w:type="dxa"/>
              <w:right w:w="15" w:type="dxa"/>
            </w:tcMar>
            <w:vAlign w:val="center"/>
          </w:tcPr>
          <w:p w14:paraId="66E521F4">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占标率%</w:t>
            </w:r>
          </w:p>
        </w:tc>
        <w:tc>
          <w:tcPr>
            <w:tcW w:w="513" w:type="pct"/>
            <w:tcBorders>
              <w:tl2br w:val="nil"/>
              <w:tr2bl w:val="nil"/>
            </w:tcBorders>
            <w:tcMar>
              <w:top w:w="15" w:type="dxa"/>
              <w:left w:w="15" w:type="dxa"/>
              <w:right w:w="15" w:type="dxa"/>
            </w:tcMar>
            <w:vAlign w:val="center"/>
          </w:tcPr>
          <w:p w14:paraId="184FFAA1">
            <w:pPr>
              <w:widowControl/>
              <w:spacing w:line="240" w:lineRule="auto"/>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达标情况</w:t>
            </w:r>
          </w:p>
        </w:tc>
      </w:tr>
      <w:tr w14:paraId="29AE8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restart"/>
            <w:tcBorders>
              <w:tl2br w:val="nil"/>
              <w:tr2bl w:val="nil"/>
            </w:tcBorders>
            <w:noWrap/>
            <w:tcMar>
              <w:top w:w="15" w:type="dxa"/>
              <w:left w:w="15" w:type="dxa"/>
              <w:right w:w="15" w:type="dxa"/>
            </w:tcMar>
            <w:vAlign w:val="center"/>
          </w:tcPr>
          <w:p w14:paraId="7867307C">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Hg</w:t>
            </w:r>
          </w:p>
        </w:tc>
        <w:tc>
          <w:tcPr>
            <w:tcW w:w="857" w:type="pct"/>
            <w:tcBorders>
              <w:tl2br w:val="nil"/>
              <w:tr2bl w:val="nil"/>
            </w:tcBorders>
            <w:tcMar>
              <w:top w:w="15" w:type="dxa"/>
              <w:left w:w="15" w:type="dxa"/>
              <w:right w:w="15" w:type="dxa"/>
            </w:tcMar>
            <w:vAlign w:val="center"/>
          </w:tcPr>
          <w:p w14:paraId="46785341">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八五二农场场部</w:t>
            </w:r>
          </w:p>
        </w:tc>
        <w:tc>
          <w:tcPr>
            <w:tcW w:w="446" w:type="pct"/>
            <w:tcBorders>
              <w:tl2br w:val="nil"/>
              <w:tr2bl w:val="nil"/>
            </w:tcBorders>
            <w:tcMar>
              <w:top w:w="15" w:type="dxa"/>
              <w:left w:w="15" w:type="dxa"/>
              <w:right w:w="15" w:type="dxa"/>
            </w:tcMar>
            <w:vAlign w:val="center"/>
          </w:tcPr>
          <w:p w14:paraId="364CDF06">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45CF89B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0.00004</w:t>
            </w:r>
          </w:p>
        </w:tc>
        <w:tc>
          <w:tcPr>
            <w:tcW w:w="522" w:type="pct"/>
            <w:tcBorders>
              <w:tl2br w:val="nil"/>
              <w:tr2bl w:val="nil"/>
            </w:tcBorders>
            <w:tcMar>
              <w:top w:w="15" w:type="dxa"/>
              <w:left w:w="15" w:type="dxa"/>
              <w:right w:w="15" w:type="dxa"/>
            </w:tcMar>
            <w:vAlign w:val="center"/>
          </w:tcPr>
          <w:p w14:paraId="54BA6963">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241009</w:t>
            </w:r>
          </w:p>
        </w:tc>
        <w:tc>
          <w:tcPr>
            <w:tcW w:w="526" w:type="pct"/>
            <w:tcBorders>
              <w:tl2br w:val="nil"/>
              <w:tr2bl w:val="nil"/>
            </w:tcBorders>
            <w:tcMar>
              <w:top w:w="15" w:type="dxa"/>
              <w:left w:w="15" w:type="dxa"/>
              <w:right w:w="15" w:type="dxa"/>
            </w:tcMar>
            <w:vAlign w:val="center"/>
          </w:tcPr>
          <w:p w14:paraId="20E8BE1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7AB5954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0.00334</w:t>
            </w:r>
          </w:p>
        </w:tc>
        <w:tc>
          <w:tcPr>
            <w:tcW w:w="424" w:type="pct"/>
            <w:tcBorders>
              <w:tl2br w:val="nil"/>
              <w:tr2bl w:val="nil"/>
            </w:tcBorders>
            <w:tcMar>
              <w:top w:w="15" w:type="dxa"/>
              <w:left w:w="15" w:type="dxa"/>
              <w:right w:w="15" w:type="dxa"/>
            </w:tcMar>
            <w:vAlign w:val="center"/>
          </w:tcPr>
          <w:p w14:paraId="53FBE06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1F57EF76">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3C7E9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1CF3C449">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06764C3C">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和平管理区</w:t>
            </w:r>
          </w:p>
        </w:tc>
        <w:tc>
          <w:tcPr>
            <w:tcW w:w="446" w:type="pct"/>
            <w:tcBorders>
              <w:tl2br w:val="nil"/>
              <w:tr2bl w:val="nil"/>
            </w:tcBorders>
            <w:tcMar>
              <w:top w:w="15" w:type="dxa"/>
              <w:left w:w="15" w:type="dxa"/>
              <w:right w:w="15" w:type="dxa"/>
            </w:tcMar>
            <w:vAlign w:val="center"/>
          </w:tcPr>
          <w:p w14:paraId="25A72D82">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0670D64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0.00002</w:t>
            </w:r>
          </w:p>
        </w:tc>
        <w:tc>
          <w:tcPr>
            <w:tcW w:w="522" w:type="pct"/>
            <w:tcBorders>
              <w:tl2br w:val="nil"/>
              <w:tr2bl w:val="nil"/>
            </w:tcBorders>
            <w:tcMar>
              <w:top w:w="15" w:type="dxa"/>
              <w:left w:w="15" w:type="dxa"/>
              <w:right w:w="15" w:type="dxa"/>
            </w:tcMar>
            <w:vAlign w:val="center"/>
          </w:tcPr>
          <w:p w14:paraId="2F7DD45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526" w:type="pct"/>
            <w:tcBorders>
              <w:tl2br w:val="nil"/>
              <w:tr2bl w:val="nil"/>
            </w:tcBorders>
            <w:tcMar>
              <w:top w:w="15" w:type="dxa"/>
              <w:left w:w="15" w:type="dxa"/>
              <w:right w:w="15" w:type="dxa"/>
            </w:tcMar>
            <w:vAlign w:val="center"/>
          </w:tcPr>
          <w:p w14:paraId="20CA9D3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59DFF05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0.00332</w:t>
            </w:r>
          </w:p>
        </w:tc>
        <w:tc>
          <w:tcPr>
            <w:tcW w:w="424" w:type="pct"/>
            <w:tcBorders>
              <w:tl2br w:val="nil"/>
              <w:tr2bl w:val="nil"/>
            </w:tcBorders>
            <w:tcMar>
              <w:top w:w="15" w:type="dxa"/>
              <w:left w:w="15" w:type="dxa"/>
              <w:right w:w="15" w:type="dxa"/>
            </w:tcMar>
            <w:vAlign w:val="center"/>
          </w:tcPr>
          <w:p w14:paraId="76FEC0A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5A8C8271">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5FD3B9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65338298">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1AA42117">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南林小区</w:t>
            </w:r>
          </w:p>
        </w:tc>
        <w:tc>
          <w:tcPr>
            <w:tcW w:w="446" w:type="pct"/>
            <w:tcBorders>
              <w:tl2br w:val="nil"/>
              <w:tr2bl w:val="nil"/>
            </w:tcBorders>
            <w:tcMar>
              <w:top w:w="15" w:type="dxa"/>
              <w:left w:w="15" w:type="dxa"/>
              <w:right w:w="15" w:type="dxa"/>
            </w:tcMar>
            <w:vAlign w:val="center"/>
          </w:tcPr>
          <w:p w14:paraId="3F3D745A">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268BB51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0.00002</w:t>
            </w:r>
          </w:p>
        </w:tc>
        <w:tc>
          <w:tcPr>
            <w:tcW w:w="522" w:type="pct"/>
            <w:tcBorders>
              <w:tl2br w:val="nil"/>
              <w:tr2bl w:val="nil"/>
            </w:tcBorders>
            <w:tcMar>
              <w:top w:w="15" w:type="dxa"/>
              <w:left w:w="15" w:type="dxa"/>
              <w:right w:w="15" w:type="dxa"/>
            </w:tcMar>
            <w:vAlign w:val="center"/>
          </w:tcPr>
          <w:p w14:paraId="01B7F2C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240321</w:t>
            </w:r>
          </w:p>
        </w:tc>
        <w:tc>
          <w:tcPr>
            <w:tcW w:w="526" w:type="pct"/>
            <w:tcBorders>
              <w:tl2br w:val="nil"/>
              <w:tr2bl w:val="nil"/>
            </w:tcBorders>
            <w:tcMar>
              <w:top w:w="15" w:type="dxa"/>
              <w:left w:w="15" w:type="dxa"/>
              <w:right w:w="15" w:type="dxa"/>
            </w:tcMar>
            <w:vAlign w:val="center"/>
          </w:tcPr>
          <w:p w14:paraId="1A2645D6">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4DA547D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0.00332</w:t>
            </w:r>
          </w:p>
        </w:tc>
        <w:tc>
          <w:tcPr>
            <w:tcW w:w="424" w:type="pct"/>
            <w:tcBorders>
              <w:tl2br w:val="nil"/>
              <w:tr2bl w:val="nil"/>
            </w:tcBorders>
            <w:tcMar>
              <w:top w:w="15" w:type="dxa"/>
              <w:left w:w="15" w:type="dxa"/>
              <w:right w:w="15" w:type="dxa"/>
            </w:tcMar>
            <w:vAlign w:val="center"/>
          </w:tcPr>
          <w:p w14:paraId="53B940AD">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29FAACA4">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4CF9A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3A6E6C21">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01DCEE79">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八五二农场四分场</w:t>
            </w:r>
          </w:p>
        </w:tc>
        <w:tc>
          <w:tcPr>
            <w:tcW w:w="446" w:type="pct"/>
            <w:tcBorders>
              <w:tl2br w:val="nil"/>
              <w:tr2bl w:val="nil"/>
            </w:tcBorders>
            <w:tcMar>
              <w:top w:w="15" w:type="dxa"/>
              <w:left w:w="15" w:type="dxa"/>
              <w:right w:w="15" w:type="dxa"/>
            </w:tcMar>
            <w:vAlign w:val="center"/>
          </w:tcPr>
          <w:p w14:paraId="22C22DFB">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5B9A44B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w:t>
            </w:r>
          </w:p>
        </w:tc>
        <w:tc>
          <w:tcPr>
            <w:tcW w:w="522" w:type="pct"/>
            <w:tcBorders>
              <w:tl2br w:val="nil"/>
              <w:tr2bl w:val="nil"/>
            </w:tcBorders>
            <w:tcMar>
              <w:top w:w="15" w:type="dxa"/>
              <w:left w:w="15" w:type="dxa"/>
              <w:right w:w="15" w:type="dxa"/>
            </w:tcMar>
            <w:vAlign w:val="center"/>
          </w:tcPr>
          <w:p w14:paraId="7DAC5CE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240212</w:t>
            </w:r>
          </w:p>
        </w:tc>
        <w:tc>
          <w:tcPr>
            <w:tcW w:w="526" w:type="pct"/>
            <w:tcBorders>
              <w:tl2br w:val="nil"/>
              <w:tr2bl w:val="nil"/>
            </w:tcBorders>
            <w:tcMar>
              <w:top w:w="15" w:type="dxa"/>
              <w:left w:w="15" w:type="dxa"/>
              <w:right w:w="15" w:type="dxa"/>
            </w:tcMar>
            <w:vAlign w:val="center"/>
          </w:tcPr>
          <w:p w14:paraId="3E343B4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07289F09">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0.00331</w:t>
            </w:r>
          </w:p>
        </w:tc>
        <w:tc>
          <w:tcPr>
            <w:tcW w:w="424" w:type="pct"/>
            <w:tcBorders>
              <w:tl2br w:val="nil"/>
              <w:tr2bl w:val="nil"/>
            </w:tcBorders>
            <w:tcMar>
              <w:top w:w="15" w:type="dxa"/>
              <w:left w:w="15" w:type="dxa"/>
              <w:right w:w="15" w:type="dxa"/>
            </w:tcMar>
            <w:vAlign w:val="center"/>
          </w:tcPr>
          <w:p w14:paraId="627BC7FB">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0257ACFC">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07980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19D1FE08">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02CECB99">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八五二农场副业队</w:t>
            </w:r>
          </w:p>
        </w:tc>
        <w:tc>
          <w:tcPr>
            <w:tcW w:w="446" w:type="pct"/>
            <w:tcBorders>
              <w:tl2br w:val="nil"/>
              <w:tr2bl w:val="nil"/>
            </w:tcBorders>
            <w:tcMar>
              <w:top w:w="15" w:type="dxa"/>
              <w:left w:w="15" w:type="dxa"/>
              <w:right w:w="15" w:type="dxa"/>
            </w:tcMar>
            <w:vAlign w:val="center"/>
          </w:tcPr>
          <w:p w14:paraId="00ADC9D2">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6E011FD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w:t>
            </w:r>
          </w:p>
        </w:tc>
        <w:tc>
          <w:tcPr>
            <w:tcW w:w="522" w:type="pct"/>
            <w:tcBorders>
              <w:tl2br w:val="nil"/>
              <w:tr2bl w:val="nil"/>
            </w:tcBorders>
            <w:tcMar>
              <w:top w:w="15" w:type="dxa"/>
              <w:left w:w="15" w:type="dxa"/>
              <w:right w:w="15" w:type="dxa"/>
            </w:tcMar>
            <w:vAlign w:val="center"/>
          </w:tcPr>
          <w:p w14:paraId="7FE27BA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241231</w:t>
            </w:r>
          </w:p>
        </w:tc>
        <w:tc>
          <w:tcPr>
            <w:tcW w:w="526" w:type="pct"/>
            <w:tcBorders>
              <w:tl2br w:val="nil"/>
              <w:tr2bl w:val="nil"/>
            </w:tcBorders>
            <w:tcMar>
              <w:top w:w="15" w:type="dxa"/>
              <w:left w:w="15" w:type="dxa"/>
              <w:right w:w="15" w:type="dxa"/>
            </w:tcMar>
            <w:vAlign w:val="center"/>
          </w:tcPr>
          <w:p w14:paraId="437D55C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650C4E21">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0.00331</w:t>
            </w:r>
          </w:p>
        </w:tc>
        <w:tc>
          <w:tcPr>
            <w:tcW w:w="424" w:type="pct"/>
            <w:tcBorders>
              <w:tl2br w:val="nil"/>
              <w:tr2bl w:val="nil"/>
            </w:tcBorders>
            <w:tcMar>
              <w:top w:w="15" w:type="dxa"/>
              <w:left w:w="15" w:type="dxa"/>
              <w:right w:w="15" w:type="dxa"/>
            </w:tcMar>
            <w:vAlign w:val="center"/>
          </w:tcPr>
          <w:p w14:paraId="6EA6E83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16E9040A">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36C64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395D89DE">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4A4260DE">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八五二农场种畜站</w:t>
            </w:r>
          </w:p>
        </w:tc>
        <w:tc>
          <w:tcPr>
            <w:tcW w:w="446" w:type="pct"/>
            <w:tcBorders>
              <w:tl2br w:val="nil"/>
              <w:tr2bl w:val="nil"/>
            </w:tcBorders>
            <w:tcMar>
              <w:top w:w="15" w:type="dxa"/>
              <w:left w:w="15" w:type="dxa"/>
              <w:right w:w="15" w:type="dxa"/>
            </w:tcMar>
            <w:vAlign w:val="center"/>
          </w:tcPr>
          <w:p w14:paraId="25ABBD65">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49AA99E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w:t>
            </w:r>
          </w:p>
        </w:tc>
        <w:tc>
          <w:tcPr>
            <w:tcW w:w="522" w:type="pct"/>
            <w:tcBorders>
              <w:tl2br w:val="nil"/>
              <w:tr2bl w:val="nil"/>
            </w:tcBorders>
            <w:tcMar>
              <w:top w:w="15" w:type="dxa"/>
              <w:left w:w="15" w:type="dxa"/>
              <w:right w:w="15" w:type="dxa"/>
            </w:tcMar>
            <w:vAlign w:val="center"/>
          </w:tcPr>
          <w:p w14:paraId="3E5CF35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241125</w:t>
            </w:r>
          </w:p>
        </w:tc>
        <w:tc>
          <w:tcPr>
            <w:tcW w:w="526" w:type="pct"/>
            <w:tcBorders>
              <w:tl2br w:val="nil"/>
              <w:tr2bl w:val="nil"/>
            </w:tcBorders>
            <w:tcMar>
              <w:top w:w="15" w:type="dxa"/>
              <w:left w:w="15" w:type="dxa"/>
              <w:right w:w="15" w:type="dxa"/>
            </w:tcMar>
            <w:vAlign w:val="center"/>
          </w:tcPr>
          <w:p w14:paraId="2957FC6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66209B4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0.00331</w:t>
            </w:r>
          </w:p>
        </w:tc>
        <w:tc>
          <w:tcPr>
            <w:tcW w:w="424" w:type="pct"/>
            <w:tcBorders>
              <w:tl2br w:val="nil"/>
              <w:tr2bl w:val="nil"/>
            </w:tcBorders>
            <w:tcMar>
              <w:top w:w="15" w:type="dxa"/>
              <w:left w:w="15" w:type="dxa"/>
              <w:right w:w="15" w:type="dxa"/>
            </w:tcMar>
            <w:vAlign w:val="center"/>
          </w:tcPr>
          <w:p w14:paraId="1F6FC47C">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5A45A780">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4CD83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226FCEB3">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729C6543">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迎春林业局光明林场</w:t>
            </w:r>
          </w:p>
        </w:tc>
        <w:tc>
          <w:tcPr>
            <w:tcW w:w="446" w:type="pct"/>
            <w:tcBorders>
              <w:tl2br w:val="nil"/>
              <w:tr2bl w:val="nil"/>
            </w:tcBorders>
            <w:tcMar>
              <w:top w:w="15" w:type="dxa"/>
              <w:left w:w="15" w:type="dxa"/>
              <w:right w:w="15" w:type="dxa"/>
            </w:tcMar>
            <w:vAlign w:val="center"/>
          </w:tcPr>
          <w:p w14:paraId="4F7238E3">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38BFFFD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w:t>
            </w:r>
          </w:p>
        </w:tc>
        <w:tc>
          <w:tcPr>
            <w:tcW w:w="522" w:type="pct"/>
            <w:tcBorders>
              <w:tl2br w:val="nil"/>
              <w:tr2bl w:val="nil"/>
            </w:tcBorders>
            <w:tcMar>
              <w:top w:w="15" w:type="dxa"/>
              <w:left w:w="15" w:type="dxa"/>
              <w:right w:w="15" w:type="dxa"/>
            </w:tcMar>
            <w:vAlign w:val="center"/>
          </w:tcPr>
          <w:p w14:paraId="6F0D54E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241203</w:t>
            </w:r>
          </w:p>
        </w:tc>
        <w:tc>
          <w:tcPr>
            <w:tcW w:w="526" w:type="pct"/>
            <w:tcBorders>
              <w:tl2br w:val="nil"/>
              <w:tr2bl w:val="nil"/>
            </w:tcBorders>
            <w:tcMar>
              <w:top w:w="15" w:type="dxa"/>
              <w:left w:w="15" w:type="dxa"/>
              <w:right w:w="15" w:type="dxa"/>
            </w:tcMar>
            <w:vAlign w:val="center"/>
          </w:tcPr>
          <w:p w14:paraId="1A225D4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2B84CB3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0.00331</w:t>
            </w:r>
          </w:p>
        </w:tc>
        <w:tc>
          <w:tcPr>
            <w:tcW w:w="424" w:type="pct"/>
            <w:tcBorders>
              <w:tl2br w:val="nil"/>
              <w:tr2bl w:val="nil"/>
            </w:tcBorders>
            <w:tcMar>
              <w:top w:w="15" w:type="dxa"/>
              <w:left w:w="15" w:type="dxa"/>
              <w:right w:w="15" w:type="dxa"/>
            </w:tcMar>
            <w:vAlign w:val="center"/>
          </w:tcPr>
          <w:p w14:paraId="504E21E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415092AE">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0A0C3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3E32AB35">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11E677E0">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虎宝工厂南林工段</w:t>
            </w:r>
          </w:p>
        </w:tc>
        <w:tc>
          <w:tcPr>
            <w:tcW w:w="446" w:type="pct"/>
            <w:tcBorders>
              <w:tl2br w:val="nil"/>
              <w:tr2bl w:val="nil"/>
            </w:tcBorders>
            <w:tcMar>
              <w:top w:w="15" w:type="dxa"/>
              <w:left w:w="15" w:type="dxa"/>
              <w:right w:w="15" w:type="dxa"/>
            </w:tcMar>
            <w:vAlign w:val="center"/>
          </w:tcPr>
          <w:p w14:paraId="58FC8A22">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2E42923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0.00003</w:t>
            </w:r>
          </w:p>
        </w:tc>
        <w:tc>
          <w:tcPr>
            <w:tcW w:w="522" w:type="pct"/>
            <w:tcBorders>
              <w:tl2br w:val="nil"/>
              <w:tr2bl w:val="nil"/>
            </w:tcBorders>
            <w:tcMar>
              <w:top w:w="15" w:type="dxa"/>
              <w:left w:w="15" w:type="dxa"/>
              <w:right w:w="15" w:type="dxa"/>
            </w:tcMar>
            <w:vAlign w:val="center"/>
          </w:tcPr>
          <w:p w14:paraId="7644DD07">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241122</w:t>
            </w:r>
          </w:p>
        </w:tc>
        <w:tc>
          <w:tcPr>
            <w:tcW w:w="526" w:type="pct"/>
            <w:tcBorders>
              <w:tl2br w:val="nil"/>
              <w:tr2bl w:val="nil"/>
            </w:tcBorders>
            <w:tcMar>
              <w:top w:w="15" w:type="dxa"/>
              <w:left w:w="15" w:type="dxa"/>
              <w:right w:w="15" w:type="dxa"/>
            </w:tcMar>
            <w:vAlign w:val="center"/>
          </w:tcPr>
          <w:p w14:paraId="5F15F9C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1D8FD2E2">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0.00333</w:t>
            </w:r>
          </w:p>
        </w:tc>
        <w:tc>
          <w:tcPr>
            <w:tcW w:w="424" w:type="pct"/>
            <w:tcBorders>
              <w:tl2br w:val="nil"/>
              <w:tr2bl w:val="nil"/>
            </w:tcBorders>
            <w:tcMar>
              <w:top w:w="15" w:type="dxa"/>
              <w:left w:w="15" w:type="dxa"/>
              <w:right w:w="15" w:type="dxa"/>
            </w:tcMar>
            <w:vAlign w:val="center"/>
          </w:tcPr>
          <w:p w14:paraId="12A7FFB0">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2E73304A">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7C303C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380764A8">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44BDB633">
            <w:pPr>
              <w:spacing w:line="240" w:lineRule="auto"/>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虎宝村</w:t>
            </w:r>
          </w:p>
        </w:tc>
        <w:tc>
          <w:tcPr>
            <w:tcW w:w="446" w:type="pct"/>
            <w:tcBorders>
              <w:tl2br w:val="nil"/>
              <w:tr2bl w:val="nil"/>
            </w:tcBorders>
            <w:tcMar>
              <w:top w:w="15" w:type="dxa"/>
              <w:left w:w="15" w:type="dxa"/>
              <w:right w:w="15" w:type="dxa"/>
            </w:tcMar>
            <w:vAlign w:val="center"/>
          </w:tcPr>
          <w:p w14:paraId="1423D8E9">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2C17543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0.00001</w:t>
            </w:r>
          </w:p>
        </w:tc>
        <w:tc>
          <w:tcPr>
            <w:tcW w:w="522" w:type="pct"/>
            <w:tcBorders>
              <w:tl2br w:val="nil"/>
              <w:tr2bl w:val="nil"/>
            </w:tcBorders>
            <w:tcMar>
              <w:top w:w="15" w:type="dxa"/>
              <w:left w:w="15" w:type="dxa"/>
              <w:right w:w="15" w:type="dxa"/>
            </w:tcMar>
            <w:vAlign w:val="center"/>
          </w:tcPr>
          <w:p w14:paraId="38D22C0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240121</w:t>
            </w:r>
          </w:p>
        </w:tc>
        <w:tc>
          <w:tcPr>
            <w:tcW w:w="526" w:type="pct"/>
            <w:tcBorders>
              <w:tl2br w:val="nil"/>
              <w:tr2bl w:val="nil"/>
            </w:tcBorders>
            <w:tcMar>
              <w:top w:w="15" w:type="dxa"/>
              <w:left w:w="15" w:type="dxa"/>
              <w:right w:w="15" w:type="dxa"/>
            </w:tcMar>
            <w:vAlign w:val="center"/>
          </w:tcPr>
          <w:p w14:paraId="458FC624">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53E28E55">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0.00331</w:t>
            </w:r>
          </w:p>
        </w:tc>
        <w:tc>
          <w:tcPr>
            <w:tcW w:w="424" w:type="pct"/>
            <w:tcBorders>
              <w:tl2br w:val="nil"/>
              <w:tr2bl w:val="nil"/>
            </w:tcBorders>
            <w:tcMar>
              <w:top w:w="15" w:type="dxa"/>
              <w:left w:w="15" w:type="dxa"/>
              <w:right w:w="15" w:type="dxa"/>
            </w:tcMar>
            <w:vAlign w:val="center"/>
          </w:tcPr>
          <w:p w14:paraId="1548928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05336D02">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r w14:paraId="72F6F3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764B79F5">
            <w:pPr>
              <w:widowControl/>
              <w:spacing w:line="240" w:lineRule="auto"/>
              <w:ind w:firstLine="0" w:firstLineChars="0"/>
              <w:jc w:val="center"/>
              <w:textAlignment w:val="center"/>
              <w:rPr>
                <w:rFonts w:ascii="Times New Roman" w:hAnsi="Times New Roman" w:eastAsia="宋体" w:cs="Times New Roman"/>
                <w:color w:val="auto"/>
                <w:sz w:val="21"/>
                <w:szCs w:val="21"/>
              </w:rPr>
            </w:pPr>
          </w:p>
        </w:tc>
        <w:tc>
          <w:tcPr>
            <w:tcW w:w="857" w:type="pct"/>
            <w:tcBorders>
              <w:tl2br w:val="nil"/>
              <w:tr2bl w:val="nil"/>
            </w:tcBorders>
            <w:tcMar>
              <w:top w:w="15" w:type="dxa"/>
              <w:left w:w="15" w:type="dxa"/>
              <w:right w:w="15" w:type="dxa"/>
            </w:tcMar>
            <w:vAlign w:val="center"/>
          </w:tcPr>
          <w:p w14:paraId="69039127">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区域最大落地浓度</w:t>
            </w:r>
          </w:p>
        </w:tc>
        <w:tc>
          <w:tcPr>
            <w:tcW w:w="446" w:type="pct"/>
            <w:tcBorders>
              <w:tl2br w:val="nil"/>
              <w:tr2bl w:val="nil"/>
            </w:tcBorders>
            <w:tcMar>
              <w:top w:w="15" w:type="dxa"/>
              <w:left w:w="15" w:type="dxa"/>
              <w:right w:w="15" w:type="dxa"/>
            </w:tcMar>
            <w:vAlign w:val="center"/>
          </w:tcPr>
          <w:p w14:paraId="3D83E86A">
            <w:pPr>
              <w:widowControl/>
              <w:spacing w:line="240" w:lineRule="auto"/>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日平均</w:t>
            </w:r>
          </w:p>
        </w:tc>
        <w:tc>
          <w:tcPr>
            <w:tcW w:w="684" w:type="pct"/>
            <w:tcBorders>
              <w:tl2br w:val="nil"/>
              <w:tr2bl w:val="nil"/>
            </w:tcBorders>
            <w:tcMar>
              <w:top w:w="15" w:type="dxa"/>
              <w:left w:w="15" w:type="dxa"/>
              <w:right w:w="15" w:type="dxa"/>
            </w:tcMar>
            <w:vAlign w:val="center"/>
          </w:tcPr>
          <w:p w14:paraId="06409DE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0.00007</w:t>
            </w:r>
          </w:p>
        </w:tc>
        <w:tc>
          <w:tcPr>
            <w:tcW w:w="522" w:type="pct"/>
            <w:tcBorders>
              <w:tl2br w:val="nil"/>
              <w:tr2bl w:val="nil"/>
            </w:tcBorders>
            <w:tcMar>
              <w:top w:w="15" w:type="dxa"/>
              <w:left w:w="15" w:type="dxa"/>
              <w:right w:w="15" w:type="dxa"/>
            </w:tcMar>
            <w:vAlign w:val="center"/>
          </w:tcPr>
          <w:p w14:paraId="1FB98258">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241006</w:t>
            </w:r>
          </w:p>
        </w:tc>
        <w:tc>
          <w:tcPr>
            <w:tcW w:w="526" w:type="pct"/>
            <w:tcBorders>
              <w:tl2br w:val="nil"/>
              <w:tr2bl w:val="nil"/>
            </w:tcBorders>
            <w:tcMar>
              <w:top w:w="15" w:type="dxa"/>
              <w:left w:w="15" w:type="dxa"/>
              <w:right w:w="15" w:type="dxa"/>
            </w:tcMar>
            <w:vAlign w:val="center"/>
          </w:tcPr>
          <w:p w14:paraId="7017A46E">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w:t>
            </w:r>
          </w:p>
        </w:tc>
        <w:tc>
          <w:tcPr>
            <w:tcW w:w="638" w:type="pct"/>
            <w:tcBorders>
              <w:tl2br w:val="nil"/>
              <w:tr2bl w:val="nil"/>
            </w:tcBorders>
            <w:noWrap/>
            <w:tcMar>
              <w:top w:w="15" w:type="dxa"/>
              <w:left w:w="15" w:type="dxa"/>
              <w:right w:w="15" w:type="dxa"/>
            </w:tcMar>
            <w:vAlign w:val="center"/>
          </w:tcPr>
          <w:p w14:paraId="2D3CBECF">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0.00337</w:t>
            </w:r>
          </w:p>
        </w:tc>
        <w:tc>
          <w:tcPr>
            <w:tcW w:w="424" w:type="pct"/>
            <w:tcBorders>
              <w:tl2br w:val="nil"/>
              <w:tr2bl w:val="nil"/>
            </w:tcBorders>
            <w:tcMar>
              <w:top w:w="15" w:type="dxa"/>
              <w:left w:w="15" w:type="dxa"/>
              <w:right w:w="15" w:type="dxa"/>
            </w:tcMar>
            <w:vAlign w:val="center"/>
          </w:tcPr>
          <w:p w14:paraId="578BCC5A">
            <w:pPr>
              <w:spacing w:line="240" w:lineRule="auto"/>
              <w:ind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无标准</w:t>
            </w:r>
          </w:p>
        </w:tc>
        <w:tc>
          <w:tcPr>
            <w:tcW w:w="513" w:type="pct"/>
            <w:tcBorders>
              <w:tl2br w:val="nil"/>
              <w:tr2bl w:val="nil"/>
            </w:tcBorders>
            <w:tcMar>
              <w:top w:w="15" w:type="dxa"/>
              <w:left w:w="15" w:type="dxa"/>
              <w:right w:w="15" w:type="dxa"/>
            </w:tcMar>
            <w:vAlign w:val="center"/>
          </w:tcPr>
          <w:p w14:paraId="36193817">
            <w:pPr>
              <w:widowControl/>
              <w:spacing w:line="240" w:lineRule="auto"/>
              <w:ind w:firstLine="420"/>
              <w:jc w:val="left"/>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w:t>
            </w:r>
          </w:p>
        </w:tc>
      </w:tr>
    </w:tbl>
    <w:p w14:paraId="6AE9D6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FF0000"/>
          <w:sz w:val="24"/>
          <w:szCs w:val="24"/>
          <w:lang w:val="en-US" w:eastAsia="zh-CN"/>
        </w:rPr>
      </w:pPr>
    </w:p>
    <w:p w14:paraId="56D422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FF0000"/>
          <w:sz w:val="24"/>
          <w:szCs w:val="24"/>
          <w:lang w:val="en-US" w:eastAsia="zh-CN"/>
        </w:rPr>
      </w:pPr>
    </w:p>
    <w:p w14:paraId="1F487B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FF0000"/>
          <w:sz w:val="24"/>
          <w:szCs w:val="24"/>
          <w:lang w:val="en-US" w:eastAsia="zh-CN"/>
        </w:rPr>
      </w:pPr>
    </w:p>
    <w:p w14:paraId="6C7754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FF0000"/>
          <w:sz w:val="24"/>
          <w:szCs w:val="24"/>
          <w:lang w:val="en-US" w:eastAsia="zh-CN"/>
        </w:rPr>
      </w:pPr>
    </w:p>
    <w:p w14:paraId="1DFF41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eastAsia="宋体" w:cs="Times New Roman"/>
          <w:b/>
          <w:bCs/>
          <w:color w:val="FF0000"/>
          <w:sz w:val="24"/>
          <w:szCs w:val="24"/>
          <w:lang w:val="en-US" w:eastAsia="zh-CN"/>
        </w:rPr>
      </w:pPr>
      <w:r>
        <w:rPr>
          <w:rFonts w:hint="eastAsia" w:ascii="Times New Roman" w:hAnsi="Times New Roman" w:eastAsia="宋体" w:cs="Times New Roman"/>
          <w:b/>
          <w:bCs/>
          <w:color w:val="FF0000"/>
          <w:sz w:val="24"/>
          <w:szCs w:val="24"/>
          <w:lang w:val="en-US" w:eastAsia="zh-CN"/>
        </w:rPr>
        <w:t>表6.2-26  本项目</w:t>
      </w:r>
      <w:r>
        <w:rPr>
          <w:rFonts w:hint="eastAsia" w:eastAsia="宋体" w:cs="Times New Roman"/>
          <w:b/>
          <w:bCs/>
          <w:color w:val="FF0000"/>
          <w:sz w:val="24"/>
          <w:szCs w:val="24"/>
          <w:lang w:val="en-US" w:eastAsia="zh-CN"/>
        </w:rPr>
        <w:t>NH</w:t>
      </w:r>
      <w:r>
        <w:rPr>
          <w:rFonts w:hint="eastAsia" w:eastAsia="宋体" w:cs="Times New Roman"/>
          <w:b/>
          <w:bCs/>
          <w:color w:val="FF0000"/>
          <w:sz w:val="24"/>
          <w:szCs w:val="24"/>
          <w:vertAlign w:val="subscript"/>
          <w:lang w:val="en-US" w:eastAsia="zh-CN"/>
        </w:rPr>
        <w:t>3</w:t>
      </w:r>
      <w:r>
        <w:rPr>
          <w:rFonts w:hint="eastAsia" w:ascii="Times New Roman" w:hAnsi="Times New Roman" w:eastAsia="宋体" w:cs="Times New Roman"/>
          <w:b/>
          <w:bCs/>
          <w:color w:val="FF0000"/>
          <w:sz w:val="24"/>
          <w:szCs w:val="24"/>
          <w:lang w:val="en-US" w:eastAsia="zh-CN"/>
        </w:rPr>
        <w:t>叠加后环境质量浓度预测结果表</w:t>
      </w:r>
    </w:p>
    <w:tbl>
      <w:tblPr>
        <w:tblStyle w:val="40"/>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01"/>
        <w:gridCol w:w="1561"/>
        <w:gridCol w:w="812"/>
        <w:gridCol w:w="1246"/>
        <w:gridCol w:w="951"/>
        <w:gridCol w:w="958"/>
        <w:gridCol w:w="1162"/>
        <w:gridCol w:w="772"/>
        <w:gridCol w:w="934"/>
      </w:tblGrid>
      <w:tr w14:paraId="6C71EC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tcBorders>
              <w:tl2br w:val="nil"/>
              <w:tr2bl w:val="nil"/>
            </w:tcBorders>
            <w:tcMar>
              <w:top w:w="15" w:type="dxa"/>
              <w:left w:w="15" w:type="dxa"/>
              <w:right w:w="15" w:type="dxa"/>
            </w:tcMar>
            <w:vAlign w:val="center"/>
          </w:tcPr>
          <w:p w14:paraId="4D36E0EC">
            <w:pPr>
              <w:widowControl/>
              <w:spacing w:line="240" w:lineRule="auto"/>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kern w:val="0"/>
                <w:sz w:val="21"/>
                <w:szCs w:val="21"/>
                <w:lang w:bidi="ar"/>
              </w:rPr>
              <w:t>污染物</w:t>
            </w:r>
          </w:p>
        </w:tc>
        <w:tc>
          <w:tcPr>
            <w:tcW w:w="857" w:type="pct"/>
            <w:tcBorders>
              <w:tl2br w:val="nil"/>
              <w:tr2bl w:val="nil"/>
            </w:tcBorders>
            <w:tcMar>
              <w:top w:w="15" w:type="dxa"/>
              <w:left w:w="15" w:type="dxa"/>
              <w:right w:w="15" w:type="dxa"/>
            </w:tcMar>
            <w:vAlign w:val="center"/>
          </w:tcPr>
          <w:p w14:paraId="59C09DAE">
            <w:pPr>
              <w:widowControl/>
              <w:spacing w:line="240" w:lineRule="auto"/>
              <w:ind w:firstLine="0" w:firstLineChars="0"/>
              <w:jc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预测点</w:t>
            </w:r>
          </w:p>
        </w:tc>
        <w:tc>
          <w:tcPr>
            <w:tcW w:w="446" w:type="pct"/>
            <w:tcBorders>
              <w:tl2br w:val="nil"/>
              <w:tr2bl w:val="nil"/>
            </w:tcBorders>
            <w:tcMar>
              <w:top w:w="15" w:type="dxa"/>
              <w:left w:w="15" w:type="dxa"/>
              <w:right w:w="15" w:type="dxa"/>
            </w:tcMar>
            <w:vAlign w:val="center"/>
          </w:tcPr>
          <w:p w14:paraId="1F453F6E">
            <w:pPr>
              <w:widowControl/>
              <w:spacing w:line="240" w:lineRule="auto"/>
              <w:ind w:firstLine="0" w:firstLineChars="0"/>
              <w:jc w:val="center"/>
              <w:textAlignment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平均时段</w:t>
            </w:r>
          </w:p>
        </w:tc>
        <w:tc>
          <w:tcPr>
            <w:tcW w:w="684" w:type="pct"/>
            <w:tcBorders>
              <w:tl2br w:val="nil"/>
              <w:tr2bl w:val="nil"/>
            </w:tcBorders>
            <w:tcMar>
              <w:top w:w="15" w:type="dxa"/>
              <w:left w:w="15" w:type="dxa"/>
              <w:right w:w="15" w:type="dxa"/>
            </w:tcMar>
            <w:vAlign w:val="center"/>
          </w:tcPr>
          <w:p w14:paraId="2E00CEAD">
            <w:pPr>
              <w:widowControl/>
              <w:spacing w:line="240" w:lineRule="auto"/>
              <w:ind w:firstLine="0" w:firstLineChars="0"/>
              <w:jc w:val="center"/>
              <w:textAlignment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贡献值</w:t>
            </w:r>
            <w:r>
              <w:rPr>
                <w:rFonts w:ascii="Times New Roman" w:hAnsi="Times New Roman" w:eastAsia="宋体" w:cs="Times New Roman"/>
                <w:color w:val="FF0000"/>
                <w:sz w:val="21"/>
                <w:szCs w:val="21"/>
              </w:rPr>
              <w:t>/（μg/m</w:t>
            </w:r>
            <w:r>
              <w:rPr>
                <w:rFonts w:ascii="Times New Roman" w:hAnsi="Times New Roman" w:eastAsia="宋体" w:cs="Times New Roman"/>
                <w:color w:val="FF0000"/>
                <w:sz w:val="21"/>
                <w:szCs w:val="21"/>
                <w:vertAlign w:val="superscript"/>
              </w:rPr>
              <w:t>3</w:t>
            </w:r>
            <w:r>
              <w:rPr>
                <w:rFonts w:ascii="Times New Roman" w:hAnsi="Times New Roman" w:eastAsia="宋体" w:cs="Times New Roman"/>
                <w:color w:val="FF0000"/>
                <w:sz w:val="21"/>
                <w:szCs w:val="21"/>
              </w:rPr>
              <w:t>）</w:t>
            </w:r>
          </w:p>
        </w:tc>
        <w:tc>
          <w:tcPr>
            <w:tcW w:w="522" w:type="pct"/>
            <w:tcBorders>
              <w:tl2br w:val="nil"/>
              <w:tr2bl w:val="nil"/>
            </w:tcBorders>
            <w:tcMar>
              <w:top w:w="15" w:type="dxa"/>
              <w:left w:w="15" w:type="dxa"/>
              <w:right w:w="15" w:type="dxa"/>
            </w:tcMar>
            <w:vAlign w:val="center"/>
          </w:tcPr>
          <w:p w14:paraId="2D364EC7">
            <w:pPr>
              <w:widowControl/>
              <w:spacing w:line="240" w:lineRule="auto"/>
              <w:ind w:firstLine="0" w:firstLineChars="0"/>
              <w:jc w:val="center"/>
              <w:textAlignment w:val="center"/>
              <w:rPr>
                <w:rFonts w:hint="default"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出现时间</w:t>
            </w:r>
          </w:p>
        </w:tc>
        <w:tc>
          <w:tcPr>
            <w:tcW w:w="526" w:type="pct"/>
            <w:tcBorders>
              <w:tl2br w:val="nil"/>
              <w:tr2bl w:val="nil"/>
            </w:tcBorders>
            <w:tcMar>
              <w:top w:w="15" w:type="dxa"/>
              <w:left w:w="15" w:type="dxa"/>
              <w:right w:w="15" w:type="dxa"/>
            </w:tcMar>
            <w:vAlign w:val="center"/>
          </w:tcPr>
          <w:p w14:paraId="29955352">
            <w:pPr>
              <w:widowControl/>
              <w:spacing w:line="240" w:lineRule="auto"/>
              <w:ind w:firstLine="0" w:firstLineChars="0"/>
              <w:jc w:val="center"/>
              <w:textAlignment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现状浓度</w:t>
            </w:r>
            <w:r>
              <w:rPr>
                <w:rFonts w:ascii="Times New Roman" w:hAnsi="Times New Roman" w:eastAsia="宋体" w:cs="Times New Roman"/>
                <w:color w:val="FF0000"/>
                <w:sz w:val="21"/>
                <w:szCs w:val="21"/>
              </w:rPr>
              <w:t>/（μg/m</w:t>
            </w:r>
            <w:r>
              <w:rPr>
                <w:rFonts w:ascii="Times New Roman" w:hAnsi="Times New Roman" w:eastAsia="宋体" w:cs="Times New Roman"/>
                <w:color w:val="FF0000"/>
                <w:sz w:val="21"/>
                <w:szCs w:val="21"/>
                <w:vertAlign w:val="superscript"/>
              </w:rPr>
              <w:t>3</w:t>
            </w:r>
            <w:r>
              <w:rPr>
                <w:rFonts w:ascii="Times New Roman" w:hAnsi="Times New Roman" w:eastAsia="宋体" w:cs="Times New Roman"/>
                <w:color w:val="FF0000"/>
                <w:sz w:val="21"/>
                <w:szCs w:val="21"/>
              </w:rPr>
              <w:t>）</w:t>
            </w:r>
          </w:p>
        </w:tc>
        <w:tc>
          <w:tcPr>
            <w:tcW w:w="638" w:type="pct"/>
            <w:tcBorders>
              <w:tl2br w:val="nil"/>
              <w:tr2bl w:val="nil"/>
            </w:tcBorders>
            <w:tcMar>
              <w:top w:w="15" w:type="dxa"/>
              <w:left w:w="15" w:type="dxa"/>
              <w:right w:w="15" w:type="dxa"/>
            </w:tcMar>
            <w:vAlign w:val="center"/>
          </w:tcPr>
          <w:p w14:paraId="772706C6">
            <w:pPr>
              <w:widowControl/>
              <w:spacing w:line="240" w:lineRule="auto"/>
              <w:ind w:firstLine="0" w:firstLineChars="0"/>
              <w:jc w:val="center"/>
              <w:textAlignment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叠加浓度</w:t>
            </w:r>
            <w:r>
              <w:rPr>
                <w:rFonts w:ascii="Times New Roman" w:hAnsi="Times New Roman" w:eastAsia="宋体" w:cs="Times New Roman"/>
                <w:color w:val="FF0000"/>
                <w:sz w:val="21"/>
                <w:szCs w:val="21"/>
              </w:rPr>
              <w:t>/（μg/m</w:t>
            </w:r>
            <w:r>
              <w:rPr>
                <w:rFonts w:ascii="Times New Roman" w:hAnsi="Times New Roman" w:eastAsia="宋体" w:cs="Times New Roman"/>
                <w:color w:val="FF0000"/>
                <w:sz w:val="21"/>
                <w:szCs w:val="21"/>
                <w:vertAlign w:val="superscript"/>
              </w:rPr>
              <w:t>3</w:t>
            </w:r>
            <w:r>
              <w:rPr>
                <w:rFonts w:ascii="Times New Roman" w:hAnsi="Times New Roman" w:eastAsia="宋体" w:cs="Times New Roman"/>
                <w:color w:val="FF0000"/>
                <w:sz w:val="21"/>
                <w:szCs w:val="21"/>
              </w:rPr>
              <w:t>）</w:t>
            </w:r>
          </w:p>
        </w:tc>
        <w:tc>
          <w:tcPr>
            <w:tcW w:w="424" w:type="pct"/>
            <w:tcBorders>
              <w:tl2br w:val="nil"/>
              <w:tr2bl w:val="nil"/>
            </w:tcBorders>
            <w:tcMar>
              <w:top w:w="15" w:type="dxa"/>
              <w:left w:w="15" w:type="dxa"/>
              <w:right w:w="15" w:type="dxa"/>
            </w:tcMar>
            <w:vAlign w:val="center"/>
          </w:tcPr>
          <w:p w14:paraId="24E7CF0D">
            <w:pPr>
              <w:widowControl/>
              <w:spacing w:line="240" w:lineRule="auto"/>
              <w:ind w:firstLine="0" w:firstLineChars="0"/>
              <w:jc w:val="center"/>
              <w:textAlignment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占标率%</w:t>
            </w:r>
          </w:p>
        </w:tc>
        <w:tc>
          <w:tcPr>
            <w:tcW w:w="513" w:type="pct"/>
            <w:tcBorders>
              <w:tl2br w:val="nil"/>
              <w:tr2bl w:val="nil"/>
            </w:tcBorders>
            <w:tcMar>
              <w:top w:w="15" w:type="dxa"/>
              <w:left w:w="15" w:type="dxa"/>
              <w:right w:w="15" w:type="dxa"/>
            </w:tcMar>
            <w:vAlign w:val="center"/>
          </w:tcPr>
          <w:p w14:paraId="07B17942">
            <w:pPr>
              <w:widowControl/>
              <w:spacing w:line="240" w:lineRule="auto"/>
              <w:ind w:firstLine="0" w:firstLineChars="0"/>
              <w:jc w:val="center"/>
              <w:textAlignment w:val="center"/>
              <w:rPr>
                <w:rFonts w:ascii="Times New Roman" w:hAnsi="Times New Roman" w:eastAsia="宋体" w:cs="Times New Roman"/>
                <w:color w:val="FF0000"/>
                <w:kern w:val="0"/>
                <w:sz w:val="21"/>
                <w:szCs w:val="21"/>
                <w:lang w:bidi="ar"/>
              </w:rPr>
            </w:pPr>
            <w:r>
              <w:rPr>
                <w:rFonts w:ascii="Times New Roman" w:hAnsi="Times New Roman" w:eastAsia="宋体" w:cs="Times New Roman"/>
                <w:color w:val="FF0000"/>
                <w:kern w:val="0"/>
                <w:sz w:val="21"/>
                <w:szCs w:val="21"/>
                <w:lang w:bidi="ar"/>
              </w:rPr>
              <w:t>达标情况</w:t>
            </w:r>
          </w:p>
        </w:tc>
      </w:tr>
      <w:tr w14:paraId="5944FA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restart"/>
            <w:tcBorders>
              <w:tl2br w:val="nil"/>
              <w:tr2bl w:val="nil"/>
            </w:tcBorders>
            <w:noWrap/>
            <w:tcMar>
              <w:top w:w="15" w:type="dxa"/>
              <w:left w:w="15" w:type="dxa"/>
              <w:right w:w="15" w:type="dxa"/>
            </w:tcMar>
            <w:vAlign w:val="center"/>
          </w:tcPr>
          <w:p w14:paraId="54F2B5F6">
            <w:pPr>
              <w:widowControl/>
              <w:spacing w:line="240" w:lineRule="auto"/>
              <w:ind w:firstLine="0" w:firstLineChars="0"/>
              <w:jc w:val="center"/>
              <w:textAlignment w:val="center"/>
              <w:rPr>
                <w:rFonts w:hint="default" w:ascii="Times New Roman" w:hAnsi="Times New Roman" w:eastAsia="宋体" w:cs="Times New Roman"/>
                <w:color w:val="FF0000"/>
                <w:sz w:val="21"/>
                <w:szCs w:val="21"/>
                <w:vertAlign w:val="subscript"/>
                <w:lang w:val="en-US" w:eastAsia="zh-CN"/>
              </w:rPr>
            </w:pPr>
            <w:r>
              <w:rPr>
                <w:rFonts w:hint="eastAsia" w:ascii="Times New Roman" w:hAnsi="Times New Roman" w:eastAsia="宋体" w:cs="Times New Roman"/>
                <w:color w:val="FF0000"/>
                <w:sz w:val="21"/>
                <w:szCs w:val="21"/>
                <w:lang w:val="en-US" w:eastAsia="zh-CN"/>
              </w:rPr>
              <w:t>NH</w:t>
            </w:r>
            <w:r>
              <w:rPr>
                <w:rFonts w:hint="eastAsia" w:ascii="Times New Roman" w:hAnsi="Times New Roman" w:eastAsia="宋体" w:cs="Times New Roman"/>
                <w:color w:val="FF0000"/>
                <w:sz w:val="21"/>
                <w:szCs w:val="21"/>
                <w:vertAlign w:val="subscript"/>
                <w:lang w:val="en-US" w:eastAsia="zh-CN"/>
              </w:rPr>
              <w:t>3</w:t>
            </w:r>
          </w:p>
        </w:tc>
        <w:tc>
          <w:tcPr>
            <w:tcW w:w="857" w:type="pct"/>
            <w:tcBorders>
              <w:tl2br w:val="nil"/>
              <w:tr2bl w:val="nil"/>
            </w:tcBorders>
            <w:tcMar>
              <w:top w:w="15" w:type="dxa"/>
              <w:left w:w="15" w:type="dxa"/>
              <w:right w:w="15" w:type="dxa"/>
            </w:tcMar>
            <w:vAlign w:val="center"/>
          </w:tcPr>
          <w:p w14:paraId="01268564">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八五二农场场部</w:t>
            </w:r>
          </w:p>
        </w:tc>
        <w:tc>
          <w:tcPr>
            <w:tcW w:w="446" w:type="pct"/>
            <w:tcBorders>
              <w:tl2br w:val="nil"/>
              <w:tr2bl w:val="nil"/>
            </w:tcBorders>
            <w:tcMar>
              <w:top w:w="15" w:type="dxa"/>
              <w:left w:w="15" w:type="dxa"/>
              <w:right w:w="15" w:type="dxa"/>
            </w:tcMar>
            <w:vAlign w:val="center"/>
          </w:tcPr>
          <w:p w14:paraId="2C5FA99D">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kern w:val="0"/>
                <w:sz w:val="21"/>
                <w:szCs w:val="21"/>
                <w:lang w:val="en-US" w:eastAsia="zh-CN" w:bidi="ar"/>
              </w:rPr>
              <w:t>1小时</w:t>
            </w:r>
          </w:p>
        </w:tc>
        <w:tc>
          <w:tcPr>
            <w:tcW w:w="684" w:type="pct"/>
            <w:tcBorders>
              <w:tl2br w:val="nil"/>
              <w:tr2bl w:val="nil"/>
            </w:tcBorders>
            <w:tcMar>
              <w:top w:w="15" w:type="dxa"/>
              <w:left w:w="15" w:type="dxa"/>
              <w:right w:w="15" w:type="dxa"/>
            </w:tcMar>
            <w:vAlign w:val="center"/>
          </w:tcPr>
          <w:p w14:paraId="61661850">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0.11675</w:t>
            </w:r>
          </w:p>
        </w:tc>
        <w:tc>
          <w:tcPr>
            <w:tcW w:w="522" w:type="pct"/>
            <w:tcBorders>
              <w:tl2br w:val="nil"/>
              <w:tr2bl w:val="nil"/>
            </w:tcBorders>
            <w:tcMar>
              <w:top w:w="15" w:type="dxa"/>
              <w:left w:w="15" w:type="dxa"/>
              <w:right w:w="15" w:type="dxa"/>
            </w:tcMar>
            <w:vAlign w:val="center"/>
          </w:tcPr>
          <w:p w14:paraId="2CA88757">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24103012</w:t>
            </w:r>
          </w:p>
        </w:tc>
        <w:tc>
          <w:tcPr>
            <w:tcW w:w="526" w:type="pct"/>
            <w:tcBorders>
              <w:tl2br w:val="nil"/>
              <w:tr2bl w:val="nil"/>
            </w:tcBorders>
            <w:tcMar>
              <w:top w:w="15" w:type="dxa"/>
              <w:left w:w="15" w:type="dxa"/>
              <w:right w:w="15" w:type="dxa"/>
            </w:tcMar>
            <w:vAlign w:val="center"/>
          </w:tcPr>
          <w:p w14:paraId="55766461">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3C1BB758">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85.11675</w:t>
            </w:r>
          </w:p>
        </w:tc>
        <w:tc>
          <w:tcPr>
            <w:tcW w:w="424" w:type="pct"/>
            <w:tcBorders>
              <w:tl2br w:val="nil"/>
              <w:tr2bl w:val="nil"/>
            </w:tcBorders>
            <w:tcMar>
              <w:top w:w="15" w:type="dxa"/>
              <w:left w:w="15" w:type="dxa"/>
              <w:right w:w="15" w:type="dxa"/>
            </w:tcMar>
            <w:vAlign w:val="center"/>
          </w:tcPr>
          <w:p w14:paraId="507B05C9">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42.56</w:t>
            </w:r>
          </w:p>
        </w:tc>
        <w:tc>
          <w:tcPr>
            <w:tcW w:w="513" w:type="pct"/>
            <w:tcBorders>
              <w:tl2br w:val="nil"/>
              <w:tr2bl w:val="nil"/>
            </w:tcBorders>
            <w:tcMar>
              <w:top w:w="15" w:type="dxa"/>
              <w:left w:w="15" w:type="dxa"/>
              <w:right w:w="15" w:type="dxa"/>
            </w:tcMar>
            <w:vAlign w:val="center"/>
          </w:tcPr>
          <w:p w14:paraId="789EC51C">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374CA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1A3AF2C9">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2348E4D6">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和平管理区</w:t>
            </w:r>
          </w:p>
        </w:tc>
        <w:tc>
          <w:tcPr>
            <w:tcW w:w="446" w:type="pct"/>
            <w:tcBorders>
              <w:tl2br w:val="nil"/>
              <w:tr2bl w:val="nil"/>
            </w:tcBorders>
            <w:tcMar>
              <w:top w:w="15" w:type="dxa"/>
              <w:left w:w="15" w:type="dxa"/>
              <w:right w:w="15" w:type="dxa"/>
            </w:tcMar>
            <w:vAlign w:val="center"/>
          </w:tcPr>
          <w:p w14:paraId="2F6F68F1">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210F029D">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0.13532</w:t>
            </w:r>
          </w:p>
        </w:tc>
        <w:tc>
          <w:tcPr>
            <w:tcW w:w="522" w:type="pct"/>
            <w:tcBorders>
              <w:tl2br w:val="nil"/>
              <w:tr2bl w:val="nil"/>
            </w:tcBorders>
            <w:tcMar>
              <w:top w:w="15" w:type="dxa"/>
              <w:left w:w="15" w:type="dxa"/>
              <w:right w:w="15" w:type="dxa"/>
            </w:tcMar>
            <w:vAlign w:val="center"/>
          </w:tcPr>
          <w:p w14:paraId="4AAE8197">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24123111</w:t>
            </w:r>
          </w:p>
        </w:tc>
        <w:tc>
          <w:tcPr>
            <w:tcW w:w="526" w:type="pct"/>
            <w:tcBorders>
              <w:tl2br w:val="nil"/>
              <w:tr2bl w:val="nil"/>
            </w:tcBorders>
            <w:tcMar>
              <w:top w:w="15" w:type="dxa"/>
              <w:left w:w="15" w:type="dxa"/>
              <w:right w:w="15" w:type="dxa"/>
            </w:tcMar>
            <w:vAlign w:val="center"/>
          </w:tcPr>
          <w:p w14:paraId="607643DC">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76754EF5">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85.13532</w:t>
            </w:r>
          </w:p>
        </w:tc>
        <w:tc>
          <w:tcPr>
            <w:tcW w:w="424" w:type="pct"/>
            <w:tcBorders>
              <w:tl2br w:val="nil"/>
              <w:tr2bl w:val="nil"/>
            </w:tcBorders>
            <w:tcMar>
              <w:top w:w="15" w:type="dxa"/>
              <w:left w:w="15" w:type="dxa"/>
              <w:right w:w="15" w:type="dxa"/>
            </w:tcMar>
            <w:vAlign w:val="center"/>
          </w:tcPr>
          <w:p w14:paraId="318EB306">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42.57</w:t>
            </w:r>
          </w:p>
        </w:tc>
        <w:tc>
          <w:tcPr>
            <w:tcW w:w="513" w:type="pct"/>
            <w:tcBorders>
              <w:tl2br w:val="nil"/>
              <w:tr2bl w:val="nil"/>
            </w:tcBorders>
            <w:tcMar>
              <w:top w:w="15" w:type="dxa"/>
              <w:left w:w="15" w:type="dxa"/>
              <w:right w:w="15" w:type="dxa"/>
            </w:tcMar>
            <w:vAlign w:val="center"/>
          </w:tcPr>
          <w:p w14:paraId="4342C82E">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70FFDD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063C739D">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77270015">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南林小区</w:t>
            </w:r>
          </w:p>
        </w:tc>
        <w:tc>
          <w:tcPr>
            <w:tcW w:w="446" w:type="pct"/>
            <w:tcBorders>
              <w:tl2br w:val="nil"/>
              <w:tr2bl w:val="nil"/>
            </w:tcBorders>
            <w:tcMar>
              <w:top w:w="15" w:type="dxa"/>
              <w:left w:w="15" w:type="dxa"/>
              <w:right w:w="15" w:type="dxa"/>
            </w:tcMar>
            <w:vAlign w:val="center"/>
          </w:tcPr>
          <w:p w14:paraId="2BE610E4">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75299AE4">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0.10216</w:t>
            </w:r>
          </w:p>
        </w:tc>
        <w:tc>
          <w:tcPr>
            <w:tcW w:w="522" w:type="pct"/>
            <w:tcBorders>
              <w:tl2br w:val="nil"/>
              <w:tr2bl w:val="nil"/>
            </w:tcBorders>
            <w:tcMar>
              <w:top w:w="15" w:type="dxa"/>
              <w:left w:w="15" w:type="dxa"/>
              <w:right w:w="15" w:type="dxa"/>
            </w:tcMar>
            <w:vAlign w:val="center"/>
          </w:tcPr>
          <w:p w14:paraId="2BBB365D">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24100709</w:t>
            </w:r>
          </w:p>
        </w:tc>
        <w:tc>
          <w:tcPr>
            <w:tcW w:w="526" w:type="pct"/>
            <w:tcBorders>
              <w:tl2br w:val="nil"/>
              <w:tr2bl w:val="nil"/>
            </w:tcBorders>
            <w:tcMar>
              <w:top w:w="15" w:type="dxa"/>
              <w:left w:w="15" w:type="dxa"/>
              <w:right w:w="15" w:type="dxa"/>
            </w:tcMar>
            <w:vAlign w:val="center"/>
          </w:tcPr>
          <w:p w14:paraId="00C1D07F">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287AF475">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85.10216</w:t>
            </w:r>
          </w:p>
        </w:tc>
        <w:tc>
          <w:tcPr>
            <w:tcW w:w="424" w:type="pct"/>
            <w:tcBorders>
              <w:tl2br w:val="nil"/>
              <w:tr2bl w:val="nil"/>
            </w:tcBorders>
            <w:tcMar>
              <w:top w:w="15" w:type="dxa"/>
              <w:left w:w="15" w:type="dxa"/>
              <w:right w:w="15" w:type="dxa"/>
            </w:tcMar>
            <w:vAlign w:val="center"/>
          </w:tcPr>
          <w:p w14:paraId="7CE497BF">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42.55</w:t>
            </w:r>
          </w:p>
        </w:tc>
        <w:tc>
          <w:tcPr>
            <w:tcW w:w="513" w:type="pct"/>
            <w:tcBorders>
              <w:tl2br w:val="nil"/>
              <w:tr2bl w:val="nil"/>
            </w:tcBorders>
            <w:tcMar>
              <w:top w:w="15" w:type="dxa"/>
              <w:left w:w="15" w:type="dxa"/>
              <w:right w:w="15" w:type="dxa"/>
            </w:tcMar>
            <w:vAlign w:val="center"/>
          </w:tcPr>
          <w:p w14:paraId="7AC7356A">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59236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7D0624D4">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480446AD">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八五二农场四分场</w:t>
            </w:r>
          </w:p>
        </w:tc>
        <w:tc>
          <w:tcPr>
            <w:tcW w:w="446" w:type="pct"/>
            <w:tcBorders>
              <w:tl2br w:val="nil"/>
              <w:tr2bl w:val="nil"/>
            </w:tcBorders>
            <w:tcMar>
              <w:top w:w="15" w:type="dxa"/>
              <w:left w:w="15" w:type="dxa"/>
              <w:right w:w="15" w:type="dxa"/>
            </w:tcMar>
            <w:vAlign w:val="center"/>
          </w:tcPr>
          <w:p w14:paraId="1001A406">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1E982C20">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0.06153</w:t>
            </w:r>
          </w:p>
        </w:tc>
        <w:tc>
          <w:tcPr>
            <w:tcW w:w="522" w:type="pct"/>
            <w:tcBorders>
              <w:tl2br w:val="nil"/>
              <w:tr2bl w:val="nil"/>
            </w:tcBorders>
            <w:tcMar>
              <w:top w:w="15" w:type="dxa"/>
              <w:left w:w="15" w:type="dxa"/>
              <w:right w:w="15" w:type="dxa"/>
            </w:tcMar>
            <w:vAlign w:val="center"/>
          </w:tcPr>
          <w:p w14:paraId="014BDCF0">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24123111</w:t>
            </w:r>
          </w:p>
        </w:tc>
        <w:tc>
          <w:tcPr>
            <w:tcW w:w="526" w:type="pct"/>
            <w:tcBorders>
              <w:tl2br w:val="nil"/>
              <w:tr2bl w:val="nil"/>
            </w:tcBorders>
            <w:tcMar>
              <w:top w:w="15" w:type="dxa"/>
              <w:left w:w="15" w:type="dxa"/>
              <w:right w:w="15" w:type="dxa"/>
            </w:tcMar>
            <w:vAlign w:val="center"/>
          </w:tcPr>
          <w:p w14:paraId="25BF1846">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3BDF6A0C">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85.06153</w:t>
            </w:r>
          </w:p>
        </w:tc>
        <w:tc>
          <w:tcPr>
            <w:tcW w:w="424" w:type="pct"/>
            <w:tcBorders>
              <w:tl2br w:val="nil"/>
              <w:tr2bl w:val="nil"/>
            </w:tcBorders>
            <w:tcMar>
              <w:top w:w="15" w:type="dxa"/>
              <w:left w:w="15" w:type="dxa"/>
              <w:right w:w="15" w:type="dxa"/>
            </w:tcMar>
            <w:vAlign w:val="center"/>
          </w:tcPr>
          <w:p w14:paraId="1C9FCAEA">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42.53</w:t>
            </w:r>
          </w:p>
        </w:tc>
        <w:tc>
          <w:tcPr>
            <w:tcW w:w="513" w:type="pct"/>
            <w:tcBorders>
              <w:tl2br w:val="nil"/>
              <w:tr2bl w:val="nil"/>
            </w:tcBorders>
            <w:tcMar>
              <w:top w:w="15" w:type="dxa"/>
              <w:left w:w="15" w:type="dxa"/>
              <w:right w:w="15" w:type="dxa"/>
            </w:tcMar>
            <w:vAlign w:val="center"/>
          </w:tcPr>
          <w:p w14:paraId="24D17F00">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01DA7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7B9FF860">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6AA09933">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八五二农场副业队</w:t>
            </w:r>
          </w:p>
        </w:tc>
        <w:tc>
          <w:tcPr>
            <w:tcW w:w="446" w:type="pct"/>
            <w:tcBorders>
              <w:tl2br w:val="nil"/>
              <w:tr2bl w:val="nil"/>
            </w:tcBorders>
            <w:tcMar>
              <w:top w:w="15" w:type="dxa"/>
              <w:left w:w="15" w:type="dxa"/>
              <w:right w:w="15" w:type="dxa"/>
            </w:tcMar>
            <w:vAlign w:val="center"/>
          </w:tcPr>
          <w:p w14:paraId="216F60FF">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747921E3">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0.0933</w:t>
            </w:r>
          </w:p>
        </w:tc>
        <w:tc>
          <w:tcPr>
            <w:tcW w:w="522" w:type="pct"/>
            <w:tcBorders>
              <w:tl2br w:val="nil"/>
              <w:tr2bl w:val="nil"/>
            </w:tcBorders>
            <w:tcMar>
              <w:top w:w="15" w:type="dxa"/>
              <w:left w:w="15" w:type="dxa"/>
              <w:right w:w="15" w:type="dxa"/>
            </w:tcMar>
            <w:vAlign w:val="center"/>
          </w:tcPr>
          <w:p w14:paraId="0015D13D">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24123111</w:t>
            </w:r>
          </w:p>
        </w:tc>
        <w:tc>
          <w:tcPr>
            <w:tcW w:w="526" w:type="pct"/>
            <w:tcBorders>
              <w:tl2br w:val="nil"/>
              <w:tr2bl w:val="nil"/>
            </w:tcBorders>
            <w:tcMar>
              <w:top w:w="15" w:type="dxa"/>
              <w:left w:w="15" w:type="dxa"/>
              <w:right w:w="15" w:type="dxa"/>
            </w:tcMar>
            <w:vAlign w:val="center"/>
          </w:tcPr>
          <w:p w14:paraId="75A9BBCE">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5F2BF7A4">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85.0933</w:t>
            </w:r>
          </w:p>
        </w:tc>
        <w:tc>
          <w:tcPr>
            <w:tcW w:w="424" w:type="pct"/>
            <w:tcBorders>
              <w:tl2br w:val="nil"/>
              <w:tr2bl w:val="nil"/>
            </w:tcBorders>
            <w:tcMar>
              <w:top w:w="15" w:type="dxa"/>
              <w:left w:w="15" w:type="dxa"/>
              <w:right w:w="15" w:type="dxa"/>
            </w:tcMar>
            <w:vAlign w:val="center"/>
          </w:tcPr>
          <w:p w14:paraId="514CFFB8">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42.55</w:t>
            </w:r>
          </w:p>
        </w:tc>
        <w:tc>
          <w:tcPr>
            <w:tcW w:w="513" w:type="pct"/>
            <w:tcBorders>
              <w:tl2br w:val="nil"/>
              <w:tr2bl w:val="nil"/>
            </w:tcBorders>
            <w:tcMar>
              <w:top w:w="15" w:type="dxa"/>
              <w:left w:w="15" w:type="dxa"/>
              <w:right w:w="15" w:type="dxa"/>
            </w:tcMar>
            <w:vAlign w:val="center"/>
          </w:tcPr>
          <w:p w14:paraId="41590FC9">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37B9BA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2FB36651">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2EE5AD9C">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八五二农场种畜站</w:t>
            </w:r>
          </w:p>
        </w:tc>
        <w:tc>
          <w:tcPr>
            <w:tcW w:w="446" w:type="pct"/>
            <w:tcBorders>
              <w:tl2br w:val="nil"/>
              <w:tr2bl w:val="nil"/>
            </w:tcBorders>
            <w:tcMar>
              <w:top w:w="15" w:type="dxa"/>
              <w:left w:w="15" w:type="dxa"/>
              <w:right w:w="15" w:type="dxa"/>
            </w:tcMar>
            <w:vAlign w:val="center"/>
          </w:tcPr>
          <w:p w14:paraId="3143701C">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3C91F174">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0.05637</w:t>
            </w:r>
          </w:p>
        </w:tc>
        <w:tc>
          <w:tcPr>
            <w:tcW w:w="522" w:type="pct"/>
            <w:tcBorders>
              <w:tl2br w:val="nil"/>
              <w:tr2bl w:val="nil"/>
            </w:tcBorders>
            <w:tcMar>
              <w:top w:w="15" w:type="dxa"/>
              <w:left w:w="15" w:type="dxa"/>
              <w:right w:w="15" w:type="dxa"/>
            </w:tcMar>
            <w:vAlign w:val="center"/>
          </w:tcPr>
          <w:p w14:paraId="38EA22F8">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24032108</w:t>
            </w:r>
          </w:p>
        </w:tc>
        <w:tc>
          <w:tcPr>
            <w:tcW w:w="526" w:type="pct"/>
            <w:tcBorders>
              <w:tl2br w:val="nil"/>
              <w:tr2bl w:val="nil"/>
            </w:tcBorders>
            <w:tcMar>
              <w:top w:w="15" w:type="dxa"/>
              <w:left w:w="15" w:type="dxa"/>
              <w:right w:w="15" w:type="dxa"/>
            </w:tcMar>
            <w:vAlign w:val="center"/>
          </w:tcPr>
          <w:p w14:paraId="095BC13D">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02177D7A">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85.05637</w:t>
            </w:r>
          </w:p>
        </w:tc>
        <w:tc>
          <w:tcPr>
            <w:tcW w:w="424" w:type="pct"/>
            <w:tcBorders>
              <w:tl2br w:val="nil"/>
              <w:tr2bl w:val="nil"/>
            </w:tcBorders>
            <w:tcMar>
              <w:top w:w="15" w:type="dxa"/>
              <w:left w:w="15" w:type="dxa"/>
              <w:right w:w="15" w:type="dxa"/>
            </w:tcMar>
            <w:vAlign w:val="center"/>
          </w:tcPr>
          <w:p w14:paraId="254660FD">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42.53</w:t>
            </w:r>
          </w:p>
        </w:tc>
        <w:tc>
          <w:tcPr>
            <w:tcW w:w="513" w:type="pct"/>
            <w:tcBorders>
              <w:tl2br w:val="nil"/>
              <w:tr2bl w:val="nil"/>
            </w:tcBorders>
            <w:tcMar>
              <w:top w:w="15" w:type="dxa"/>
              <w:left w:w="15" w:type="dxa"/>
              <w:right w:w="15" w:type="dxa"/>
            </w:tcMar>
            <w:vAlign w:val="center"/>
          </w:tcPr>
          <w:p w14:paraId="7767DA59">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4A9A69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6E37BD42">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6C1B3B86">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迎春林业局光明林场</w:t>
            </w:r>
          </w:p>
        </w:tc>
        <w:tc>
          <w:tcPr>
            <w:tcW w:w="446" w:type="pct"/>
            <w:tcBorders>
              <w:tl2br w:val="nil"/>
              <w:tr2bl w:val="nil"/>
            </w:tcBorders>
            <w:tcMar>
              <w:top w:w="15" w:type="dxa"/>
              <w:left w:w="15" w:type="dxa"/>
              <w:right w:w="15" w:type="dxa"/>
            </w:tcMar>
            <w:vAlign w:val="center"/>
          </w:tcPr>
          <w:p w14:paraId="2A20FE23">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51C5D9C5">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0.05242</w:t>
            </w:r>
          </w:p>
        </w:tc>
        <w:tc>
          <w:tcPr>
            <w:tcW w:w="522" w:type="pct"/>
            <w:tcBorders>
              <w:tl2br w:val="nil"/>
              <w:tr2bl w:val="nil"/>
            </w:tcBorders>
            <w:tcMar>
              <w:top w:w="15" w:type="dxa"/>
              <w:left w:w="15" w:type="dxa"/>
              <w:right w:w="15" w:type="dxa"/>
            </w:tcMar>
            <w:vAlign w:val="center"/>
          </w:tcPr>
          <w:p w14:paraId="7E7C279E">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24112910</w:t>
            </w:r>
          </w:p>
        </w:tc>
        <w:tc>
          <w:tcPr>
            <w:tcW w:w="526" w:type="pct"/>
            <w:tcBorders>
              <w:tl2br w:val="nil"/>
              <w:tr2bl w:val="nil"/>
            </w:tcBorders>
            <w:tcMar>
              <w:top w:w="15" w:type="dxa"/>
              <w:left w:w="15" w:type="dxa"/>
              <w:right w:w="15" w:type="dxa"/>
            </w:tcMar>
            <w:vAlign w:val="center"/>
          </w:tcPr>
          <w:p w14:paraId="2BF89026">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3FD75951">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85.05242</w:t>
            </w:r>
          </w:p>
        </w:tc>
        <w:tc>
          <w:tcPr>
            <w:tcW w:w="424" w:type="pct"/>
            <w:tcBorders>
              <w:tl2br w:val="nil"/>
              <w:tr2bl w:val="nil"/>
            </w:tcBorders>
            <w:tcMar>
              <w:top w:w="15" w:type="dxa"/>
              <w:left w:w="15" w:type="dxa"/>
              <w:right w:w="15" w:type="dxa"/>
            </w:tcMar>
            <w:vAlign w:val="center"/>
          </w:tcPr>
          <w:p w14:paraId="76B7EA6F">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42.53</w:t>
            </w:r>
          </w:p>
        </w:tc>
        <w:tc>
          <w:tcPr>
            <w:tcW w:w="513" w:type="pct"/>
            <w:tcBorders>
              <w:tl2br w:val="nil"/>
              <w:tr2bl w:val="nil"/>
            </w:tcBorders>
            <w:tcMar>
              <w:top w:w="15" w:type="dxa"/>
              <w:left w:w="15" w:type="dxa"/>
              <w:right w:w="15" w:type="dxa"/>
            </w:tcMar>
            <w:vAlign w:val="center"/>
          </w:tcPr>
          <w:p w14:paraId="4529900A">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225DF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4705AAA7">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39143B92">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虎宝工厂南林工段</w:t>
            </w:r>
          </w:p>
        </w:tc>
        <w:tc>
          <w:tcPr>
            <w:tcW w:w="446" w:type="pct"/>
            <w:tcBorders>
              <w:tl2br w:val="nil"/>
              <w:tr2bl w:val="nil"/>
            </w:tcBorders>
            <w:tcMar>
              <w:top w:w="15" w:type="dxa"/>
              <w:left w:w="15" w:type="dxa"/>
              <w:right w:w="15" w:type="dxa"/>
            </w:tcMar>
            <w:vAlign w:val="center"/>
          </w:tcPr>
          <w:p w14:paraId="40B589F4">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2C7EF76F">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0.05147</w:t>
            </w:r>
          </w:p>
        </w:tc>
        <w:tc>
          <w:tcPr>
            <w:tcW w:w="522" w:type="pct"/>
            <w:tcBorders>
              <w:tl2br w:val="nil"/>
              <w:tr2bl w:val="nil"/>
            </w:tcBorders>
            <w:tcMar>
              <w:top w:w="15" w:type="dxa"/>
              <w:left w:w="15" w:type="dxa"/>
              <w:right w:w="15" w:type="dxa"/>
            </w:tcMar>
            <w:vAlign w:val="center"/>
          </w:tcPr>
          <w:p w14:paraId="43684855">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24112913</w:t>
            </w:r>
          </w:p>
        </w:tc>
        <w:tc>
          <w:tcPr>
            <w:tcW w:w="526" w:type="pct"/>
            <w:tcBorders>
              <w:tl2br w:val="nil"/>
              <w:tr2bl w:val="nil"/>
            </w:tcBorders>
            <w:tcMar>
              <w:top w:w="15" w:type="dxa"/>
              <w:left w:w="15" w:type="dxa"/>
              <w:right w:w="15" w:type="dxa"/>
            </w:tcMar>
            <w:vAlign w:val="center"/>
          </w:tcPr>
          <w:p w14:paraId="5E026F2B">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795F6825">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85.05147</w:t>
            </w:r>
          </w:p>
        </w:tc>
        <w:tc>
          <w:tcPr>
            <w:tcW w:w="424" w:type="pct"/>
            <w:tcBorders>
              <w:tl2br w:val="nil"/>
              <w:tr2bl w:val="nil"/>
            </w:tcBorders>
            <w:tcMar>
              <w:top w:w="15" w:type="dxa"/>
              <w:left w:w="15" w:type="dxa"/>
              <w:right w:w="15" w:type="dxa"/>
            </w:tcMar>
            <w:vAlign w:val="center"/>
          </w:tcPr>
          <w:p w14:paraId="4C86AA90">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42.53</w:t>
            </w:r>
          </w:p>
        </w:tc>
        <w:tc>
          <w:tcPr>
            <w:tcW w:w="513" w:type="pct"/>
            <w:tcBorders>
              <w:tl2br w:val="nil"/>
              <w:tr2bl w:val="nil"/>
            </w:tcBorders>
            <w:tcMar>
              <w:top w:w="15" w:type="dxa"/>
              <w:left w:w="15" w:type="dxa"/>
              <w:right w:w="15" w:type="dxa"/>
            </w:tcMar>
            <w:vAlign w:val="center"/>
          </w:tcPr>
          <w:p w14:paraId="1E52A36A">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3A3490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563DCF1A">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2051ECE0">
            <w:pPr>
              <w:spacing w:line="240" w:lineRule="auto"/>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color w:val="FF0000"/>
                <w:sz w:val="21"/>
                <w:szCs w:val="21"/>
              </w:rPr>
              <w:t>虎宝村</w:t>
            </w:r>
          </w:p>
        </w:tc>
        <w:tc>
          <w:tcPr>
            <w:tcW w:w="446" w:type="pct"/>
            <w:tcBorders>
              <w:tl2br w:val="nil"/>
              <w:tr2bl w:val="nil"/>
            </w:tcBorders>
            <w:tcMar>
              <w:top w:w="15" w:type="dxa"/>
              <w:left w:w="15" w:type="dxa"/>
              <w:right w:w="15" w:type="dxa"/>
            </w:tcMar>
            <w:vAlign w:val="center"/>
          </w:tcPr>
          <w:p w14:paraId="756B91FA">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3318D043">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0.04224</w:t>
            </w:r>
          </w:p>
        </w:tc>
        <w:tc>
          <w:tcPr>
            <w:tcW w:w="522" w:type="pct"/>
            <w:tcBorders>
              <w:tl2br w:val="nil"/>
              <w:tr2bl w:val="nil"/>
            </w:tcBorders>
            <w:tcMar>
              <w:top w:w="15" w:type="dxa"/>
              <w:left w:w="15" w:type="dxa"/>
              <w:right w:w="15" w:type="dxa"/>
            </w:tcMar>
            <w:vAlign w:val="center"/>
          </w:tcPr>
          <w:p w14:paraId="648461D3">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24112913</w:t>
            </w:r>
          </w:p>
        </w:tc>
        <w:tc>
          <w:tcPr>
            <w:tcW w:w="526" w:type="pct"/>
            <w:tcBorders>
              <w:tl2br w:val="nil"/>
              <w:tr2bl w:val="nil"/>
            </w:tcBorders>
            <w:tcMar>
              <w:top w:w="15" w:type="dxa"/>
              <w:left w:w="15" w:type="dxa"/>
              <w:right w:w="15" w:type="dxa"/>
            </w:tcMar>
            <w:vAlign w:val="center"/>
          </w:tcPr>
          <w:p w14:paraId="7C4BBDB9">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031582FC">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85.04224</w:t>
            </w:r>
          </w:p>
        </w:tc>
        <w:tc>
          <w:tcPr>
            <w:tcW w:w="424" w:type="pct"/>
            <w:tcBorders>
              <w:tl2br w:val="nil"/>
              <w:tr2bl w:val="nil"/>
            </w:tcBorders>
            <w:tcMar>
              <w:top w:w="15" w:type="dxa"/>
              <w:left w:w="15" w:type="dxa"/>
              <w:right w:w="15" w:type="dxa"/>
            </w:tcMar>
            <w:vAlign w:val="center"/>
          </w:tcPr>
          <w:p w14:paraId="12CB14B9">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42.52</w:t>
            </w:r>
          </w:p>
        </w:tc>
        <w:tc>
          <w:tcPr>
            <w:tcW w:w="513" w:type="pct"/>
            <w:tcBorders>
              <w:tl2br w:val="nil"/>
              <w:tr2bl w:val="nil"/>
            </w:tcBorders>
            <w:tcMar>
              <w:top w:w="15" w:type="dxa"/>
              <w:left w:w="15" w:type="dxa"/>
              <w:right w:w="15" w:type="dxa"/>
            </w:tcMar>
            <w:vAlign w:val="center"/>
          </w:tcPr>
          <w:p w14:paraId="0678F309">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r w14:paraId="5E4FCE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85" w:type="pct"/>
            <w:vMerge w:val="continue"/>
            <w:tcBorders>
              <w:tl2br w:val="nil"/>
              <w:tr2bl w:val="nil"/>
            </w:tcBorders>
            <w:noWrap/>
            <w:tcMar>
              <w:top w:w="15" w:type="dxa"/>
              <w:left w:w="15" w:type="dxa"/>
              <w:right w:w="15" w:type="dxa"/>
            </w:tcMar>
            <w:vAlign w:val="center"/>
          </w:tcPr>
          <w:p w14:paraId="59C9D75D">
            <w:pPr>
              <w:widowControl/>
              <w:spacing w:line="240" w:lineRule="auto"/>
              <w:ind w:firstLine="0" w:firstLineChars="0"/>
              <w:jc w:val="center"/>
              <w:textAlignment w:val="center"/>
              <w:rPr>
                <w:rFonts w:ascii="Times New Roman" w:hAnsi="Times New Roman" w:eastAsia="宋体" w:cs="Times New Roman"/>
                <w:color w:val="FF0000"/>
                <w:sz w:val="21"/>
                <w:szCs w:val="21"/>
              </w:rPr>
            </w:pPr>
          </w:p>
        </w:tc>
        <w:tc>
          <w:tcPr>
            <w:tcW w:w="857" w:type="pct"/>
            <w:tcBorders>
              <w:tl2br w:val="nil"/>
              <w:tr2bl w:val="nil"/>
            </w:tcBorders>
            <w:tcMar>
              <w:top w:w="15" w:type="dxa"/>
              <w:left w:w="15" w:type="dxa"/>
              <w:right w:w="15" w:type="dxa"/>
            </w:tcMar>
            <w:vAlign w:val="center"/>
          </w:tcPr>
          <w:p w14:paraId="52B5C601">
            <w:pPr>
              <w:spacing w:line="240" w:lineRule="auto"/>
              <w:ind w:firstLine="0" w:firstLineChars="0"/>
              <w:jc w:val="center"/>
              <w:rPr>
                <w:rFonts w:ascii="Times New Roman" w:hAnsi="Times New Roman" w:eastAsia="宋体" w:cs="Times New Roman"/>
                <w:color w:val="FF0000"/>
                <w:sz w:val="21"/>
                <w:szCs w:val="21"/>
              </w:rPr>
            </w:pPr>
            <w:r>
              <w:rPr>
                <w:rFonts w:ascii="Times New Roman" w:hAnsi="Times New Roman" w:eastAsia="宋体" w:cs="Times New Roman"/>
                <w:color w:val="FF0000"/>
                <w:sz w:val="21"/>
                <w:szCs w:val="21"/>
              </w:rPr>
              <w:t>区域最大落地浓度</w:t>
            </w:r>
          </w:p>
        </w:tc>
        <w:tc>
          <w:tcPr>
            <w:tcW w:w="446" w:type="pct"/>
            <w:tcBorders>
              <w:tl2br w:val="nil"/>
              <w:tr2bl w:val="nil"/>
            </w:tcBorders>
            <w:tcMar>
              <w:top w:w="15" w:type="dxa"/>
              <w:left w:w="15" w:type="dxa"/>
              <w:right w:w="15" w:type="dxa"/>
            </w:tcMar>
            <w:vAlign w:val="center"/>
          </w:tcPr>
          <w:p w14:paraId="4114FBDD">
            <w:pPr>
              <w:widowControl/>
              <w:spacing w:line="240" w:lineRule="auto"/>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1小时</w:t>
            </w:r>
          </w:p>
        </w:tc>
        <w:tc>
          <w:tcPr>
            <w:tcW w:w="684" w:type="pct"/>
            <w:tcBorders>
              <w:tl2br w:val="nil"/>
              <w:tr2bl w:val="nil"/>
            </w:tcBorders>
            <w:tcMar>
              <w:top w:w="15" w:type="dxa"/>
              <w:left w:w="15" w:type="dxa"/>
              <w:right w:w="15" w:type="dxa"/>
            </w:tcMar>
            <w:vAlign w:val="center"/>
          </w:tcPr>
          <w:p w14:paraId="0A3F96B6">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0.46251</w:t>
            </w:r>
          </w:p>
        </w:tc>
        <w:tc>
          <w:tcPr>
            <w:tcW w:w="522" w:type="pct"/>
            <w:tcBorders>
              <w:tl2br w:val="nil"/>
              <w:tr2bl w:val="nil"/>
            </w:tcBorders>
            <w:tcMar>
              <w:top w:w="15" w:type="dxa"/>
              <w:left w:w="15" w:type="dxa"/>
              <w:right w:w="15" w:type="dxa"/>
            </w:tcMar>
            <w:vAlign w:val="center"/>
          </w:tcPr>
          <w:p w14:paraId="35BC7BE1">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24012618</w:t>
            </w:r>
          </w:p>
        </w:tc>
        <w:tc>
          <w:tcPr>
            <w:tcW w:w="526" w:type="pct"/>
            <w:tcBorders>
              <w:tl2br w:val="nil"/>
              <w:tr2bl w:val="nil"/>
            </w:tcBorders>
            <w:tcMar>
              <w:top w:w="15" w:type="dxa"/>
              <w:left w:w="15" w:type="dxa"/>
              <w:right w:w="15" w:type="dxa"/>
            </w:tcMar>
            <w:vAlign w:val="center"/>
          </w:tcPr>
          <w:p w14:paraId="403605B8">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85.0</w:t>
            </w:r>
          </w:p>
        </w:tc>
        <w:tc>
          <w:tcPr>
            <w:tcW w:w="638" w:type="pct"/>
            <w:tcBorders>
              <w:tl2br w:val="nil"/>
              <w:tr2bl w:val="nil"/>
            </w:tcBorders>
            <w:noWrap/>
            <w:tcMar>
              <w:top w:w="15" w:type="dxa"/>
              <w:left w:w="15" w:type="dxa"/>
              <w:right w:w="15" w:type="dxa"/>
            </w:tcMar>
            <w:vAlign w:val="center"/>
          </w:tcPr>
          <w:p w14:paraId="4BB34F14">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85.46251</w:t>
            </w:r>
          </w:p>
        </w:tc>
        <w:tc>
          <w:tcPr>
            <w:tcW w:w="424" w:type="pct"/>
            <w:tcBorders>
              <w:tl2br w:val="nil"/>
              <w:tr2bl w:val="nil"/>
            </w:tcBorders>
            <w:tcMar>
              <w:top w:w="15" w:type="dxa"/>
              <w:left w:w="15" w:type="dxa"/>
              <w:right w:w="15" w:type="dxa"/>
            </w:tcMar>
            <w:vAlign w:val="center"/>
          </w:tcPr>
          <w:p w14:paraId="5B9455FF">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42.73</w:t>
            </w:r>
          </w:p>
        </w:tc>
        <w:tc>
          <w:tcPr>
            <w:tcW w:w="513" w:type="pct"/>
            <w:tcBorders>
              <w:tl2br w:val="nil"/>
              <w:tr2bl w:val="nil"/>
            </w:tcBorders>
            <w:tcMar>
              <w:top w:w="15" w:type="dxa"/>
              <w:left w:w="15" w:type="dxa"/>
              <w:right w:w="15" w:type="dxa"/>
            </w:tcMar>
            <w:vAlign w:val="center"/>
          </w:tcPr>
          <w:p w14:paraId="1E9CF91A">
            <w:pPr>
              <w:widowControl/>
              <w:spacing w:line="240" w:lineRule="auto"/>
              <w:ind w:firstLine="0" w:firstLineChars="0"/>
              <w:jc w:val="center"/>
              <w:textAlignment w:val="center"/>
              <w:rPr>
                <w:rFonts w:hint="eastAsia" w:ascii="Times New Roman" w:hAnsi="Times New Roman" w:eastAsia="宋体" w:cs="Times New Roman"/>
                <w:color w:val="FF0000"/>
                <w:kern w:val="0"/>
                <w:sz w:val="21"/>
                <w:szCs w:val="21"/>
                <w:lang w:val="en-US" w:eastAsia="zh-CN" w:bidi="ar"/>
              </w:rPr>
            </w:pPr>
            <w:r>
              <w:rPr>
                <w:rFonts w:hint="eastAsia" w:ascii="Times New Roman" w:hAnsi="Times New Roman" w:eastAsia="宋体" w:cs="Times New Roman"/>
                <w:color w:val="FF0000"/>
                <w:kern w:val="0"/>
                <w:sz w:val="21"/>
                <w:szCs w:val="21"/>
                <w:lang w:val="en-US" w:eastAsia="zh-CN" w:bidi="ar"/>
              </w:rPr>
              <w:t>达标</w:t>
            </w:r>
          </w:p>
        </w:tc>
      </w:tr>
    </w:tbl>
    <w:p w14:paraId="3A248065">
      <w:pPr>
        <w:pStyle w:val="119"/>
        <w:rPr>
          <w:rFonts w:eastAsia="宋体"/>
          <w:color w:val="auto"/>
        </w:rPr>
        <w:sectPr>
          <w:pgSz w:w="11906" w:h="16838"/>
          <w:pgMar w:top="1417" w:right="1417" w:bottom="1417" w:left="1417" w:header="1191" w:footer="1191" w:gutter="0"/>
          <w:pgBorders>
            <w:top w:val="none" w:sz="0" w:space="0"/>
            <w:left w:val="none" w:sz="0" w:space="0"/>
            <w:bottom w:val="none" w:sz="0" w:space="0"/>
            <w:right w:val="none" w:sz="0" w:space="0"/>
          </w:pgBorders>
          <w:pgNumType w:fmt="decimal"/>
          <w:cols w:space="720" w:num="1"/>
          <w:docGrid w:linePitch="286" w:charSpace="0"/>
        </w:sectPr>
      </w:pPr>
    </w:p>
    <w:p w14:paraId="464012C4">
      <w:pPr>
        <w:ind w:firstLine="0" w:firstLineChars="0"/>
        <w:jc w:val="both"/>
        <w:rPr>
          <w:color w:val="auto"/>
        </w:rPr>
      </w:pPr>
      <w:r>
        <w:rPr>
          <w:color w:val="auto"/>
        </w:rPr>
        <w:drawing>
          <wp:anchor distT="0" distB="0" distL="0" distR="0" simplePos="0" relativeHeight="251675648" behindDoc="0" locked="0" layoutInCell="1" allowOverlap="1">
            <wp:simplePos x="0" y="0"/>
            <wp:positionH relativeFrom="column">
              <wp:posOffset>5782945</wp:posOffset>
            </wp:positionH>
            <wp:positionV relativeFrom="paragraph">
              <wp:posOffset>2693670</wp:posOffset>
            </wp:positionV>
            <wp:extent cx="1616075" cy="1519555"/>
            <wp:effectExtent l="9525" t="9525" r="20320" b="10160"/>
            <wp:wrapNone/>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p>
    <w:p w14:paraId="690A0A75">
      <w:pPr>
        <w:ind w:firstLine="0" w:firstLineChars="0"/>
        <w:jc w:val="center"/>
        <w:rPr>
          <w:rFonts w:ascii="Times New Roman" w:hAnsi="Times New Roman" w:eastAsia="宋体" w:cs="Times New Roman"/>
          <w:color w:val="auto"/>
        </w:rPr>
      </w:pPr>
      <w:r>
        <w:rPr>
          <w:color w:val="auto"/>
        </w:rPr>
        <w:drawing>
          <wp:inline distT="0" distB="0" distL="114300" distR="114300">
            <wp:extent cx="8883650" cy="4684395"/>
            <wp:effectExtent l="0" t="0" r="1270" b="9525"/>
            <wp:docPr id="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4"/>
                    <pic:cNvPicPr>
                      <a:picLocks noChangeAspect="1"/>
                    </pic:cNvPicPr>
                  </pic:nvPicPr>
                  <pic:blipFill>
                    <a:blip r:embed="rId85"/>
                    <a:stretch>
                      <a:fillRect/>
                    </a:stretch>
                  </pic:blipFill>
                  <pic:spPr>
                    <a:xfrm>
                      <a:off x="0" y="0"/>
                      <a:ext cx="8883650" cy="4684395"/>
                    </a:xfrm>
                    <a:prstGeom prst="rect">
                      <a:avLst/>
                    </a:prstGeom>
                    <a:noFill/>
                    <a:ln>
                      <a:noFill/>
                    </a:ln>
                  </pic:spPr>
                </pic:pic>
              </a:graphicData>
            </a:graphic>
          </wp:inline>
        </w:drawing>
      </w:r>
    </w:p>
    <w:p w14:paraId="454E1A7B">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图6.2-6  本项目PM</w:t>
      </w:r>
      <w:r>
        <w:rPr>
          <w:rFonts w:hint="eastAsia" w:eastAsia="宋体" w:cs="Times New Roman"/>
          <w:b/>
          <w:bCs/>
          <w:color w:val="auto"/>
          <w:sz w:val="24"/>
          <w:szCs w:val="24"/>
          <w:highlight w:val="none"/>
          <w:vertAlign w:val="subscript"/>
          <w:lang w:val="en-US" w:eastAsia="zh-CN"/>
        </w:rPr>
        <w:t>10</w:t>
      </w:r>
      <w:r>
        <w:rPr>
          <w:rFonts w:hint="eastAsia" w:eastAsia="宋体" w:cs="Times New Roman"/>
          <w:b/>
          <w:bCs/>
          <w:color w:val="auto"/>
          <w:sz w:val="24"/>
          <w:szCs w:val="24"/>
          <w:highlight w:val="none"/>
          <w:lang w:val="en-US" w:eastAsia="zh-CN"/>
        </w:rPr>
        <w:t>年平均质量浓度分布图（μg/m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4E7C35EA">
      <w:pPr>
        <w:ind w:firstLine="0" w:firstLineChars="0"/>
        <w:jc w:val="center"/>
        <w:rPr>
          <w:rFonts w:hint="eastAsia" w:ascii="Times New Roman" w:hAnsi="Times New Roman" w:eastAsia="宋体" w:cs="Times New Roman"/>
          <w:color w:val="auto"/>
          <w:szCs w:val="24"/>
          <w:highlight w:val="yellow"/>
        </w:rPr>
      </w:pPr>
      <w:r>
        <w:rPr>
          <w:rFonts w:hint="eastAsia" w:ascii="Times New Roman" w:hAnsi="Times New Roman" w:eastAsia="宋体" w:cs="Times New Roman"/>
          <w:color w:val="auto"/>
          <w:szCs w:val="24"/>
          <w:highlight w:val="yellow"/>
        </w:rPr>
        <w:drawing>
          <wp:anchor distT="0" distB="0" distL="114300" distR="114300" simplePos="0" relativeHeight="251663360" behindDoc="0" locked="0" layoutInCell="1" allowOverlap="1">
            <wp:simplePos x="0" y="0"/>
            <wp:positionH relativeFrom="column">
              <wp:posOffset>6632575</wp:posOffset>
            </wp:positionH>
            <wp:positionV relativeFrom="paragraph">
              <wp:posOffset>2228850</wp:posOffset>
            </wp:positionV>
            <wp:extent cx="1408430" cy="1320165"/>
            <wp:effectExtent l="0" t="0" r="1270" b="13335"/>
            <wp:wrapNone/>
            <wp:docPr id="26" name="图片 26" descr="173658024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736580240807"/>
                    <pic:cNvPicPr>
                      <a:picLocks noChangeAspect="1"/>
                    </pic:cNvPicPr>
                  </pic:nvPicPr>
                  <pic:blipFill>
                    <a:blip r:embed="rId86"/>
                    <a:stretch>
                      <a:fillRect/>
                    </a:stretch>
                  </pic:blipFill>
                  <pic:spPr>
                    <a:xfrm>
                      <a:off x="0" y="0"/>
                      <a:ext cx="1408430" cy="1320165"/>
                    </a:xfrm>
                    <a:prstGeom prst="rect">
                      <a:avLst/>
                    </a:prstGeom>
                  </pic:spPr>
                </pic:pic>
              </a:graphicData>
            </a:graphic>
          </wp:anchor>
        </w:drawing>
      </w:r>
    </w:p>
    <w:p w14:paraId="75B33262">
      <w:pPr>
        <w:ind w:firstLine="0" w:firstLineChars="0"/>
        <w:jc w:val="center"/>
        <w:rPr>
          <w:color w:val="auto"/>
        </w:rPr>
      </w:pPr>
    </w:p>
    <w:p w14:paraId="2A59EE28">
      <w:pPr>
        <w:ind w:firstLine="0" w:firstLineChars="0"/>
        <w:jc w:val="center"/>
        <w:rPr>
          <w:rFonts w:ascii="Times New Roman" w:hAnsi="Times New Roman" w:eastAsia="宋体" w:cs="Times New Roman"/>
          <w:color w:val="auto"/>
        </w:rPr>
      </w:pPr>
      <w:r>
        <w:rPr>
          <w:color w:val="auto"/>
        </w:rPr>
        <w:drawing>
          <wp:anchor distT="0" distB="0" distL="0" distR="0" simplePos="0" relativeHeight="251676672" behindDoc="0" locked="0" layoutInCell="1" allowOverlap="1">
            <wp:simplePos x="0" y="0"/>
            <wp:positionH relativeFrom="column">
              <wp:posOffset>5541645</wp:posOffset>
            </wp:positionH>
            <wp:positionV relativeFrom="paragraph">
              <wp:posOffset>3043555</wp:posOffset>
            </wp:positionV>
            <wp:extent cx="1616075" cy="1519555"/>
            <wp:effectExtent l="9525" t="9525" r="20320" b="10160"/>
            <wp:wrapNone/>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6190" cy="4724400"/>
            <wp:effectExtent l="0" t="0" r="13970" b="0"/>
            <wp:docPr id="1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9"/>
                    <pic:cNvPicPr>
                      <a:picLocks noChangeAspect="1"/>
                    </pic:cNvPicPr>
                  </pic:nvPicPr>
                  <pic:blipFill>
                    <a:blip r:embed="rId87"/>
                    <a:stretch>
                      <a:fillRect/>
                    </a:stretch>
                  </pic:blipFill>
                  <pic:spPr>
                    <a:xfrm>
                      <a:off x="0" y="0"/>
                      <a:ext cx="8886190" cy="4724400"/>
                    </a:xfrm>
                    <a:prstGeom prst="rect">
                      <a:avLst/>
                    </a:prstGeom>
                    <a:noFill/>
                    <a:ln>
                      <a:noFill/>
                    </a:ln>
                  </pic:spPr>
                </pic:pic>
              </a:graphicData>
            </a:graphic>
          </wp:inline>
        </w:drawing>
      </w:r>
    </w:p>
    <w:p w14:paraId="568465D5">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图6.2-7  本项目PM</w:t>
      </w:r>
      <w:r>
        <w:rPr>
          <w:rFonts w:hint="eastAsia" w:eastAsia="宋体" w:cs="Times New Roman"/>
          <w:b/>
          <w:bCs/>
          <w:color w:val="auto"/>
          <w:sz w:val="24"/>
          <w:szCs w:val="24"/>
          <w:highlight w:val="none"/>
          <w:vertAlign w:val="subscript"/>
          <w:lang w:val="en-US" w:eastAsia="zh-CN"/>
        </w:rPr>
        <w:t>10</w:t>
      </w:r>
      <w:r>
        <w:rPr>
          <w:rFonts w:hint="eastAsia" w:eastAsia="宋体" w:cs="Times New Roman"/>
          <w:b/>
          <w:bCs/>
          <w:color w:val="auto"/>
          <w:sz w:val="24"/>
          <w:szCs w:val="24"/>
          <w:highlight w:val="none"/>
          <w:lang w:val="en-US" w:eastAsia="zh-CN"/>
        </w:rPr>
        <w:t>保证率日平均质量浓度分布图（μg/m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r>
        <w:rPr>
          <w:rFonts w:hint="eastAsia" w:eastAsia="宋体" w:cs="Times New Roman"/>
          <w:b/>
          <w:bCs/>
          <w:color w:val="auto"/>
          <w:sz w:val="24"/>
          <w:szCs w:val="24"/>
          <w:highlight w:val="none"/>
          <w:lang w:val="en-US" w:eastAsia="zh-CN"/>
        </w:rPr>
        <w:drawing>
          <wp:anchor distT="0" distB="0" distL="0" distR="0" simplePos="0" relativeHeight="251677696" behindDoc="0" locked="0" layoutInCell="1" allowOverlap="1">
            <wp:simplePos x="0" y="0"/>
            <wp:positionH relativeFrom="column">
              <wp:posOffset>5630545</wp:posOffset>
            </wp:positionH>
            <wp:positionV relativeFrom="paragraph">
              <wp:posOffset>2357120</wp:posOffset>
            </wp:positionV>
            <wp:extent cx="1616075" cy="1519555"/>
            <wp:effectExtent l="9525" t="9525" r="20320" b="10160"/>
            <wp:wrapNone/>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p>
    <w:p w14:paraId="5F37F3A1">
      <w:pPr>
        <w:ind w:firstLine="0" w:firstLineChars="0"/>
        <w:jc w:val="center"/>
        <w:rPr>
          <w:color w:val="auto"/>
        </w:rPr>
      </w:pPr>
    </w:p>
    <w:p w14:paraId="662C1827">
      <w:pPr>
        <w:ind w:firstLine="0" w:firstLineChars="0"/>
        <w:jc w:val="center"/>
        <w:rPr>
          <w:color w:val="auto"/>
        </w:rPr>
      </w:pPr>
    </w:p>
    <w:p w14:paraId="4CB48319">
      <w:pPr>
        <w:ind w:firstLine="0" w:firstLineChars="0"/>
        <w:jc w:val="center"/>
        <w:rPr>
          <w:rFonts w:ascii="Times New Roman" w:hAnsi="Times New Roman" w:eastAsia="宋体" w:cs="Times New Roman"/>
          <w:color w:val="auto"/>
        </w:rPr>
      </w:pPr>
      <w:r>
        <w:rPr>
          <w:color w:val="auto"/>
        </w:rPr>
        <w:drawing>
          <wp:anchor distT="0" distB="0" distL="0" distR="0" simplePos="0" relativeHeight="251678720" behindDoc="0" locked="0" layoutInCell="1" allowOverlap="1">
            <wp:simplePos x="0" y="0"/>
            <wp:positionH relativeFrom="column">
              <wp:posOffset>5782945</wp:posOffset>
            </wp:positionH>
            <wp:positionV relativeFrom="paragraph">
              <wp:posOffset>2414905</wp:posOffset>
            </wp:positionV>
            <wp:extent cx="1616075" cy="1519555"/>
            <wp:effectExtent l="9525" t="9525" r="20320" b="10160"/>
            <wp:wrapNone/>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6190" cy="4701540"/>
            <wp:effectExtent l="0" t="0" r="13970" b="7620"/>
            <wp:docPr id="1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6"/>
                    <pic:cNvPicPr>
                      <a:picLocks noChangeAspect="1"/>
                    </pic:cNvPicPr>
                  </pic:nvPicPr>
                  <pic:blipFill>
                    <a:blip r:embed="rId88"/>
                    <a:stretch>
                      <a:fillRect/>
                    </a:stretch>
                  </pic:blipFill>
                  <pic:spPr>
                    <a:xfrm>
                      <a:off x="0" y="0"/>
                      <a:ext cx="8886190" cy="4701540"/>
                    </a:xfrm>
                    <a:prstGeom prst="rect">
                      <a:avLst/>
                    </a:prstGeom>
                    <a:noFill/>
                    <a:ln>
                      <a:noFill/>
                    </a:ln>
                  </pic:spPr>
                </pic:pic>
              </a:graphicData>
            </a:graphic>
          </wp:inline>
        </w:drawing>
      </w:r>
    </w:p>
    <w:p w14:paraId="42DB9F0D">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图6.2-8  本项目PM</w:t>
      </w:r>
      <w:r>
        <w:rPr>
          <w:rFonts w:hint="eastAsia" w:eastAsia="宋体" w:cs="Times New Roman"/>
          <w:b/>
          <w:bCs/>
          <w:color w:val="auto"/>
          <w:sz w:val="24"/>
          <w:szCs w:val="24"/>
          <w:highlight w:val="none"/>
          <w:vertAlign w:val="subscript"/>
          <w:lang w:val="en-US" w:eastAsia="zh-CN"/>
        </w:rPr>
        <w:t>2.5</w:t>
      </w:r>
      <w:r>
        <w:rPr>
          <w:rFonts w:hint="eastAsia" w:eastAsia="宋体" w:cs="Times New Roman"/>
          <w:b/>
          <w:bCs/>
          <w:color w:val="auto"/>
          <w:sz w:val="24"/>
          <w:szCs w:val="24"/>
          <w:highlight w:val="none"/>
          <w:lang w:val="en-US" w:eastAsia="zh-CN"/>
        </w:rPr>
        <w:t>年平均质量浓度分布图（μg/m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73CD9299">
      <w:pPr>
        <w:ind w:firstLine="0" w:firstLineChars="0"/>
        <w:jc w:val="center"/>
        <w:rPr>
          <w:rFonts w:hint="eastAsia" w:ascii="Times New Roman" w:hAnsi="Times New Roman" w:eastAsia="宋体" w:cs="Times New Roman"/>
          <w:color w:val="auto"/>
          <w:szCs w:val="24"/>
          <w:highlight w:val="yellow"/>
        </w:rPr>
      </w:pPr>
      <w:r>
        <w:rPr>
          <w:rFonts w:hint="eastAsia" w:ascii="Times New Roman" w:hAnsi="Times New Roman" w:eastAsia="宋体" w:cs="Times New Roman"/>
          <w:color w:val="auto"/>
          <w:szCs w:val="24"/>
          <w:highlight w:val="yellow"/>
        </w:rPr>
        <w:drawing>
          <wp:anchor distT="0" distB="0" distL="114300" distR="114300" simplePos="0" relativeHeight="251668480" behindDoc="0" locked="0" layoutInCell="1" allowOverlap="1">
            <wp:simplePos x="0" y="0"/>
            <wp:positionH relativeFrom="column">
              <wp:posOffset>6632575</wp:posOffset>
            </wp:positionH>
            <wp:positionV relativeFrom="paragraph">
              <wp:posOffset>2228850</wp:posOffset>
            </wp:positionV>
            <wp:extent cx="1408430" cy="1320165"/>
            <wp:effectExtent l="0" t="0" r="1270" b="13335"/>
            <wp:wrapNone/>
            <wp:docPr id="83" name="图片 83" descr="173658024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736580240807"/>
                    <pic:cNvPicPr>
                      <a:picLocks noChangeAspect="1"/>
                    </pic:cNvPicPr>
                  </pic:nvPicPr>
                  <pic:blipFill>
                    <a:blip r:embed="rId86"/>
                    <a:stretch>
                      <a:fillRect/>
                    </a:stretch>
                  </pic:blipFill>
                  <pic:spPr>
                    <a:xfrm>
                      <a:off x="0" y="0"/>
                      <a:ext cx="1408430" cy="1320165"/>
                    </a:xfrm>
                    <a:prstGeom prst="rect">
                      <a:avLst/>
                    </a:prstGeom>
                  </pic:spPr>
                </pic:pic>
              </a:graphicData>
            </a:graphic>
          </wp:anchor>
        </w:drawing>
      </w:r>
    </w:p>
    <w:p w14:paraId="22E5ADD5">
      <w:pPr>
        <w:ind w:firstLine="0" w:firstLineChars="0"/>
        <w:jc w:val="center"/>
        <w:rPr>
          <w:rFonts w:hint="eastAsia" w:ascii="Times New Roman" w:hAnsi="Times New Roman" w:eastAsia="宋体" w:cs="Times New Roman"/>
          <w:color w:val="auto"/>
          <w:szCs w:val="24"/>
          <w:highlight w:val="yellow"/>
        </w:rPr>
      </w:pPr>
      <w:r>
        <w:rPr>
          <w:color w:val="auto"/>
        </w:rPr>
        <w:drawing>
          <wp:anchor distT="0" distB="0" distL="0" distR="0" simplePos="0" relativeHeight="251679744" behindDoc="0" locked="0" layoutInCell="1" allowOverlap="1">
            <wp:simplePos x="0" y="0"/>
            <wp:positionH relativeFrom="column">
              <wp:posOffset>5782945</wp:posOffset>
            </wp:positionH>
            <wp:positionV relativeFrom="paragraph">
              <wp:posOffset>2693670</wp:posOffset>
            </wp:positionV>
            <wp:extent cx="1616075" cy="1519555"/>
            <wp:effectExtent l="9525" t="9525" r="20320" b="10160"/>
            <wp:wrapNone/>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p>
    <w:p w14:paraId="08E64E1D">
      <w:pPr>
        <w:ind w:firstLine="0" w:firstLineChars="0"/>
        <w:jc w:val="center"/>
        <w:rPr>
          <w:rFonts w:ascii="Times New Roman" w:hAnsi="Times New Roman" w:eastAsia="宋体" w:cs="Times New Roman"/>
          <w:color w:val="auto"/>
        </w:rPr>
      </w:pPr>
      <w:r>
        <w:rPr>
          <w:color w:val="auto"/>
        </w:rPr>
        <w:drawing>
          <wp:inline distT="0" distB="0" distL="114300" distR="114300">
            <wp:extent cx="8887460" cy="4780915"/>
            <wp:effectExtent l="0" t="0" r="12700" b="4445"/>
            <wp:docPr id="1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8"/>
                    <pic:cNvPicPr>
                      <a:picLocks noChangeAspect="1"/>
                    </pic:cNvPicPr>
                  </pic:nvPicPr>
                  <pic:blipFill>
                    <a:blip r:embed="rId89"/>
                    <a:stretch>
                      <a:fillRect/>
                    </a:stretch>
                  </pic:blipFill>
                  <pic:spPr>
                    <a:xfrm>
                      <a:off x="0" y="0"/>
                      <a:ext cx="8887460" cy="4780915"/>
                    </a:xfrm>
                    <a:prstGeom prst="rect">
                      <a:avLst/>
                    </a:prstGeom>
                    <a:noFill/>
                    <a:ln>
                      <a:noFill/>
                    </a:ln>
                  </pic:spPr>
                </pic:pic>
              </a:graphicData>
            </a:graphic>
          </wp:inline>
        </w:drawing>
      </w:r>
    </w:p>
    <w:p w14:paraId="23D3F5A6">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图6.2-9  本项目PM</w:t>
      </w:r>
      <w:r>
        <w:rPr>
          <w:rFonts w:hint="eastAsia" w:eastAsia="宋体" w:cs="Times New Roman"/>
          <w:b/>
          <w:bCs/>
          <w:color w:val="auto"/>
          <w:sz w:val="24"/>
          <w:szCs w:val="24"/>
          <w:highlight w:val="none"/>
          <w:vertAlign w:val="subscript"/>
          <w:lang w:val="en-US" w:eastAsia="zh-CN"/>
        </w:rPr>
        <w:t>2.5</w:t>
      </w:r>
      <w:r>
        <w:rPr>
          <w:rFonts w:hint="eastAsia" w:eastAsia="宋体" w:cs="Times New Roman"/>
          <w:b/>
          <w:bCs/>
          <w:color w:val="auto"/>
          <w:sz w:val="24"/>
          <w:szCs w:val="24"/>
          <w:highlight w:val="none"/>
          <w:lang w:val="en-US" w:eastAsia="zh-CN"/>
        </w:rPr>
        <w:t>保证率日平均质量浓度分布图（μg/m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6D563391">
      <w:pPr>
        <w:ind w:firstLine="0" w:firstLineChars="0"/>
        <w:jc w:val="center"/>
        <w:rPr>
          <w:rFonts w:ascii="Times New Roman" w:hAnsi="Times New Roman" w:eastAsia="宋体" w:cs="Times New Roman"/>
          <w:color w:val="auto"/>
        </w:rPr>
      </w:pPr>
    </w:p>
    <w:p w14:paraId="7A3043CF">
      <w:pPr>
        <w:ind w:firstLine="0" w:firstLineChars="0"/>
        <w:jc w:val="center"/>
        <w:rPr>
          <w:rFonts w:ascii="Times New Roman" w:hAnsi="Times New Roman" w:eastAsia="宋体" w:cs="Times New Roman"/>
          <w:color w:val="auto"/>
        </w:rPr>
      </w:pPr>
      <w:r>
        <w:rPr>
          <w:color w:val="auto"/>
        </w:rPr>
        <w:drawing>
          <wp:anchor distT="0" distB="0" distL="0" distR="0" simplePos="0" relativeHeight="251680768" behindDoc="0" locked="0" layoutInCell="1" allowOverlap="1">
            <wp:simplePos x="0" y="0"/>
            <wp:positionH relativeFrom="column">
              <wp:posOffset>5782945</wp:posOffset>
            </wp:positionH>
            <wp:positionV relativeFrom="paragraph">
              <wp:posOffset>2693670</wp:posOffset>
            </wp:positionV>
            <wp:extent cx="1616075" cy="1519555"/>
            <wp:effectExtent l="9525" t="9525" r="20320" b="10160"/>
            <wp:wrapNone/>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7460" cy="4689475"/>
            <wp:effectExtent l="0" t="0" r="12700" b="4445"/>
            <wp:docPr id="1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0"/>
                    <pic:cNvPicPr>
                      <a:picLocks noChangeAspect="1"/>
                    </pic:cNvPicPr>
                  </pic:nvPicPr>
                  <pic:blipFill>
                    <a:blip r:embed="rId90"/>
                    <a:stretch>
                      <a:fillRect/>
                    </a:stretch>
                  </pic:blipFill>
                  <pic:spPr>
                    <a:xfrm>
                      <a:off x="0" y="0"/>
                      <a:ext cx="8887460" cy="4689475"/>
                    </a:xfrm>
                    <a:prstGeom prst="rect">
                      <a:avLst/>
                    </a:prstGeom>
                    <a:noFill/>
                    <a:ln>
                      <a:noFill/>
                    </a:ln>
                  </pic:spPr>
                </pic:pic>
              </a:graphicData>
            </a:graphic>
          </wp:inline>
        </w:drawing>
      </w:r>
    </w:p>
    <w:p w14:paraId="226F893E">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图6.2-10  本项目SO</w:t>
      </w:r>
      <w:r>
        <w:rPr>
          <w:rFonts w:hint="eastAsia" w:eastAsia="宋体" w:cs="Times New Roman"/>
          <w:b/>
          <w:bCs/>
          <w:color w:val="auto"/>
          <w:sz w:val="24"/>
          <w:szCs w:val="24"/>
          <w:highlight w:val="none"/>
          <w:vertAlign w:val="subscript"/>
          <w:lang w:val="en-US" w:eastAsia="zh-CN"/>
        </w:rPr>
        <w:t>2</w:t>
      </w:r>
      <w:r>
        <w:rPr>
          <w:rFonts w:hint="eastAsia" w:eastAsia="宋体" w:cs="Times New Roman"/>
          <w:b/>
          <w:bCs/>
          <w:color w:val="auto"/>
          <w:sz w:val="24"/>
          <w:szCs w:val="24"/>
          <w:highlight w:val="none"/>
          <w:lang w:val="en-US" w:eastAsia="zh-CN"/>
        </w:rPr>
        <w:t>年平均质量浓度分布图（μg/m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0DD2B694">
      <w:pPr>
        <w:ind w:firstLine="0" w:firstLineChars="0"/>
        <w:jc w:val="center"/>
        <w:rPr>
          <w:rFonts w:hint="eastAsia" w:ascii="Times New Roman" w:hAnsi="Times New Roman" w:eastAsia="宋体" w:cs="Times New Roman"/>
          <w:color w:val="auto"/>
          <w:szCs w:val="24"/>
          <w:highlight w:val="yellow"/>
        </w:rPr>
      </w:pPr>
      <w:r>
        <w:rPr>
          <w:rFonts w:hint="eastAsia" w:ascii="Times New Roman" w:hAnsi="Times New Roman" w:eastAsia="宋体" w:cs="Times New Roman"/>
          <w:color w:val="auto"/>
          <w:szCs w:val="24"/>
          <w:highlight w:val="yellow"/>
        </w:rPr>
        <w:drawing>
          <wp:anchor distT="0" distB="0" distL="114300" distR="114300" simplePos="0" relativeHeight="251664384" behindDoc="0" locked="0" layoutInCell="1" allowOverlap="1">
            <wp:simplePos x="0" y="0"/>
            <wp:positionH relativeFrom="column">
              <wp:posOffset>6584315</wp:posOffset>
            </wp:positionH>
            <wp:positionV relativeFrom="paragraph">
              <wp:posOffset>2149475</wp:posOffset>
            </wp:positionV>
            <wp:extent cx="1301115" cy="1219835"/>
            <wp:effectExtent l="0" t="0" r="13335" b="18415"/>
            <wp:wrapNone/>
            <wp:docPr id="45" name="图片 45" descr="173658024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736580240807"/>
                    <pic:cNvPicPr>
                      <a:picLocks noChangeAspect="1"/>
                    </pic:cNvPicPr>
                  </pic:nvPicPr>
                  <pic:blipFill>
                    <a:blip r:embed="rId86"/>
                    <a:stretch>
                      <a:fillRect/>
                    </a:stretch>
                  </pic:blipFill>
                  <pic:spPr>
                    <a:xfrm>
                      <a:off x="0" y="0"/>
                      <a:ext cx="1301115" cy="1219835"/>
                    </a:xfrm>
                    <a:prstGeom prst="rect">
                      <a:avLst/>
                    </a:prstGeom>
                  </pic:spPr>
                </pic:pic>
              </a:graphicData>
            </a:graphic>
          </wp:anchor>
        </w:drawing>
      </w:r>
    </w:p>
    <w:p w14:paraId="0E01CD3D">
      <w:pPr>
        <w:ind w:firstLine="0" w:firstLineChars="0"/>
        <w:jc w:val="center"/>
        <w:rPr>
          <w:rFonts w:ascii="Times New Roman" w:hAnsi="Times New Roman" w:eastAsia="宋体" w:cs="Times New Roman"/>
          <w:color w:val="auto"/>
        </w:rPr>
      </w:pPr>
      <w:r>
        <w:rPr>
          <w:color w:val="auto"/>
        </w:rPr>
        <w:drawing>
          <wp:anchor distT="0" distB="0" distL="0" distR="0" simplePos="0" relativeHeight="251681792" behindDoc="0" locked="0" layoutInCell="1" allowOverlap="1">
            <wp:simplePos x="0" y="0"/>
            <wp:positionH relativeFrom="column">
              <wp:posOffset>5782945</wp:posOffset>
            </wp:positionH>
            <wp:positionV relativeFrom="paragraph">
              <wp:posOffset>2693670</wp:posOffset>
            </wp:positionV>
            <wp:extent cx="1616075" cy="1519555"/>
            <wp:effectExtent l="9525" t="9525" r="20320" b="10160"/>
            <wp:wrapNone/>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4285" cy="4897755"/>
            <wp:effectExtent l="0" t="0" r="635" b="9525"/>
            <wp:docPr id="15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2"/>
                    <pic:cNvPicPr>
                      <a:picLocks noChangeAspect="1"/>
                    </pic:cNvPicPr>
                  </pic:nvPicPr>
                  <pic:blipFill>
                    <a:blip r:embed="rId91"/>
                    <a:stretch>
                      <a:fillRect/>
                    </a:stretch>
                  </pic:blipFill>
                  <pic:spPr>
                    <a:xfrm>
                      <a:off x="0" y="0"/>
                      <a:ext cx="8884285" cy="4897755"/>
                    </a:xfrm>
                    <a:prstGeom prst="rect">
                      <a:avLst/>
                    </a:prstGeom>
                    <a:noFill/>
                    <a:ln>
                      <a:noFill/>
                    </a:ln>
                  </pic:spPr>
                </pic:pic>
              </a:graphicData>
            </a:graphic>
          </wp:inline>
        </w:drawing>
      </w:r>
    </w:p>
    <w:p w14:paraId="6F598214">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图6.2-11 本项目SO</w:t>
      </w:r>
      <w:r>
        <w:rPr>
          <w:rFonts w:hint="eastAsia" w:eastAsia="宋体" w:cs="Times New Roman"/>
          <w:b/>
          <w:bCs/>
          <w:color w:val="auto"/>
          <w:sz w:val="24"/>
          <w:szCs w:val="24"/>
          <w:highlight w:val="none"/>
          <w:vertAlign w:val="subscript"/>
          <w:lang w:val="en-US" w:eastAsia="zh-CN"/>
        </w:rPr>
        <w:t>2</w:t>
      </w:r>
      <w:r>
        <w:rPr>
          <w:rFonts w:hint="eastAsia" w:eastAsia="宋体" w:cs="Times New Roman"/>
          <w:b/>
          <w:bCs/>
          <w:color w:val="auto"/>
          <w:sz w:val="24"/>
          <w:szCs w:val="24"/>
          <w:highlight w:val="none"/>
          <w:lang w:val="en-US" w:eastAsia="zh-CN"/>
        </w:rPr>
        <w:t>保证率日平均质量浓度分布图（μg/m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0D04BCE1">
      <w:pPr>
        <w:ind w:firstLine="0" w:firstLineChars="0"/>
        <w:jc w:val="center"/>
        <w:rPr>
          <w:rFonts w:hint="eastAsia" w:ascii="Times New Roman" w:hAnsi="Times New Roman" w:eastAsia="宋体" w:cs="Times New Roman"/>
          <w:color w:val="auto"/>
          <w:szCs w:val="24"/>
          <w:highlight w:val="yellow"/>
        </w:rPr>
      </w:pPr>
    </w:p>
    <w:p w14:paraId="7AD240F7">
      <w:pPr>
        <w:ind w:firstLine="0" w:firstLineChars="0"/>
        <w:jc w:val="center"/>
        <w:rPr>
          <w:rFonts w:ascii="Times New Roman" w:hAnsi="Times New Roman" w:eastAsia="宋体" w:cs="Times New Roman"/>
          <w:color w:val="auto"/>
        </w:rPr>
      </w:pPr>
      <w:r>
        <w:rPr>
          <w:color w:val="auto"/>
        </w:rPr>
        <w:drawing>
          <wp:anchor distT="0" distB="0" distL="0" distR="0" simplePos="0" relativeHeight="251682816" behindDoc="0" locked="0" layoutInCell="1" allowOverlap="1">
            <wp:simplePos x="0" y="0"/>
            <wp:positionH relativeFrom="column">
              <wp:posOffset>5752465</wp:posOffset>
            </wp:positionH>
            <wp:positionV relativeFrom="paragraph">
              <wp:posOffset>2739390</wp:posOffset>
            </wp:positionV>
            <wp:extent cx="1616075" cy="1519555"/>
            <wp:effectExtent l="9525" t="9525" r="20320" b="10160"/>
            <wp:wrapNone/>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7460" cy="4776470"/>
            <wp:effectExtent l="0" t="0" r="12700" b="8890"/>
            <wp:docPr id="1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3"/>
                    <pic:cNvPicPr>
                      <a:picLocks noChangeAspect="1"/>
                    </pic:cNvPicPr>
                  </pic:nvPicPr>
                  <pic:blipFill>
                    <a:blip r:embed="rId92"/>
                    <a:stretch>
                      <a:fillRect/>
                    </a:stretch>
                  </pic:blipFill>
                  <pic:spPr>
                    <a:xfrm>
                      <a:off x="0" y="0"/>
                      <a:ext cx="8887460" cy="4776470"/>
                    </a:xfrm>
                    <a:prstGeom prst="rect">
                      <a:avLst/>
                    </a:prstGeom>
                    <a:noFill/>
                    <a:ln>
                      <a:noFill/>
                    </a:ln>
                  </pic:spPr>
                </pic:pic>
              </a:graphicData>
            </a:graphic>
          </wp:inline>
        </w:drawing>
      </w:r>
    </w:p>
    <w:p w14:paraId="3E0153C4">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图6.2-12  本项目NO</w:t>
      </w:r>
      <w:r>
        <w:rPr>
          <w:rFonts w:hint="eastAsia" w:eastAsia="宋体" w:cs="Times New Roman"/>
          <w:b/>
          <w:bCs/>
          <w:color w:val="auto"/>
          <w:sz w:val="24"/>
          <w:szCs w:val="24"/>
          <w:highlight w:val="none"/>
          <w:vertAlign w:val="subscript"/>
          <w:lang w:val="en-US" w:eastAsia="zh-CN"/>
        </w:rPr>
        <w:t>2</w:t>
      </w:r>
      <w:r>
        <w:rPr>
          <w:rFonts w:hint="eastAsia" w:eastAsia="宋体" w:cs="Times New Roman"/>
          <w:b/>
          <w:bCs/>
          <w:color w:val="auto"/>
          <w:sz w:val="24"/>
          <w:szCs w:val="24"/>
          <w:highlight w:val="none"/>
          <w:lang w:val="en-US" w:eastAsia="zh-CN"/>
        </w:rPr>
        <w:t>年平均质量浓度分布图（μg/m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314DC6C3">
      <w:pPr>
        <w:ind w:firstLine="0" w:firstLineChars="0"/>
        <w:jc w:val="center"/>
        <w:rPr>
          <w:rFonts w:hint="eastAsia" w:ascii="Times New Roman" w:hAnsi="Times New Roman" w:eastAsia="宋体" w:cs="Times New Roman"/>
          <w:color w:val="auto"/>
          <w:szCs w:val="24"/>
          <w:highlight w:val="yellow"/>
        </w:rPr>
      </w:pPr>
      <w:r>
        <w:rPr>
          <w:rFonts w:hint="eastAsia" w:ascii="Times New Roman" w:hAnsi="Times New Roman" w:eastAsia="宋体" w:cs="Times New Roman"/>
          <w:color w:val="auto"/>
          <w:szCs w:val="24"/>
          <w:highlight w:val="yellow"/>
        </w:rPr>
        <w:drawing>
          <wp:anchor distT="0" distB="0" distL="114300" distR="114300" simplePos="0" relativeHeight="251665408" behindDoc="0" locked="0" layoutInCell="1" allowOverlap="1">
            <wp:simplePos x="0" y="0"/>
            <wp:positionH relativeFrom="column">
              <wp:posOffset>6609715</wp:posOffset>
            </wp:positionH>
            <wp:positionV relativeFrom="paragraph">
              <wp:posOffset>2149475</wp:posOffset>
            </wp:positionV>
            <wp:extent cx="1301115" cy="1219835"/>
            <wp:effectExtent l="0" t="0" r="13335" b="18415"/>
            <wp:wrapNone/>
            <wp:docPr id="50" name="图片 50" descr="173658024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736580240807"/>
                    <pic:cNvPicPr>
                      <a:picLocks noChangeAspect="1"/>
                    </pic:cNvPicPr>
                  </pic:nvPicPr>
                  <pic:blipFill>
                    <a:blip r:embed="rId86"/>
                    <a:stretch>
                      <a:fillRect/>
                    </a:stretch>
                  </pic:blipFill>
                  <pic:spPr>
                    <a:xfrm>
                      <a:off x="0" y="0"/>
                      <a:ext cx="1301115" cy="1219835"/>
                    </a:xfrm>
                    <a:prstGeom prst="rect">
                      <a:avLst/>
                    </a:prstGeom>
                  </pic:spPr>
                </pic:pic>
              </a:graphicData>
            </a:graphic>
          </wp:anchor>
        </w:drawing>
      </w:r>
    </w:p>
    <w:p w14:paraId="4A5E4A3D">
      <w:pPr>
        <w:ind w:firstLine="0" w:firstLineChars="0"/>
        <w:jc w:val="center"/>
        <w:rPr>
          <w:rFonts w:ascii="Times New Roman" w:hAnsi="Times New Roman" w:eastAsia="宋体" w:cs="Times New Roman"/>
          <w:color w:val="auto"/>
        </w:rPr>
      </w:pPr>
      <w:r>
        <w:rPr>
          <w:color w:val="auto"/>
        </w:rPr>
        <w:drawing>
          <wp:anchor distT="0" distB="0" distL="0" distR="0" simplePos="0" relativeHeight="251683840" behindDoc="0" locked="0" layoutInCell="1" allowOverlap="1">
            <wp:simplePos x="0" y="0"/>
            <wp:positionH relativeFrom="column">
              <wp:posOffset>5356225</wp:posOffset>
            </wp:positionH>
            <wp:positionV relativeFrom="paragraph">
              <wp:posOffset>3150870</wp:posOffset>
            </wp:positionV>
            <wp:extent cx="1616075" cy="1519555"/>
            <wp:effectExtent l="9525" t="9525" r="20320" b="10160"/>
            <wp:wrapNone/>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8095" cy="4890770"/>
            <wp:effectExtent l="0" t="0" r="12065" b="1270"/>
            <wp:docPr id="1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4"/>
                    <pic:cNvPicPr>
                      <a:picLocks noChangeAspect="1"/>
                    </pic:cNvPicPr>
                  </pic:nvPicPr>
                  <pic:blipFill>
                    <a:blip r:embed="rId93"/>
                    <a:stretch>
                      <a:fillRect/>
                    </a:stretch>
                  </pic:blipFill>
                  <pic:spPr>
                    <a:xfrm>
                      <a:off x="0" y="0"/>
                      <a:ext cx="8888095" cy="4890770"/>
                    </a:xfrm>
                    <a:prstGeom prst="rect">
                      <a:avLst/>
                    </a:prstGeom>
                    <a:noFill/>
                    <a:ln>
                      <a:noFill/>
                    </a:ln>
                  </pic:spPr>
                </pic:pic>
              </a:graphicData>
            </a:graphic>
          </wp:inline>
        </w:drawing>
      </w:r>
    </w:p>
    <w:p w14:paraId="1EFC7CDB">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图6.2-13  本项目NO</w:t>
      </w:r>
      <w:r>
        <w:rPr>
          <w:rFonts w:hint="eastAsia" w:eastAsia="宋体" w:cs="Times New Roman"/>
          <w:b/>
          <w:bCs/>
          <w:color w:val="auto"/>
          <w:sz w:val="24"/>
          <w:szCs w:val="24"/>
          <w:highlight w:val="none"/>
          <w:vertAlign w:val="subscript"/>
          <w:lang w:val="en-US" w:eastAsia="zh-CN"/>
        </w:rPr>
        <w:t>2</w:t>
      </w:r>
      <w:r>
        <w:rPr>
          <w:rFonts w:hint="eastAsia" w:eastAsia="宋体" w:cs="Times New Roman"/>
          <w:b/>
          <w:bCs/>
          <w:color w:val="auto"/>
          <w:sz w:val="24"/>
          <w:szCs w:val="24"/>
          <w:highlight w:val="none"/>
          <w:lang w:val="en-US" w:eastAsia="zh-CN"/>
        </w:rPr>
        <w:t>保证率日平均质量浓度分布图（μg/m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704988F5">
      <w:pPr>
        <w:ind w:firstLine="0" w:firstLineChars="0"/>
        <w:jc w:val="center"/>
        <w:rPr>
          <w:rFonts w:ascii="Times New Roman" w:hAnsi="Times New Roman" w:eastAsia="宋体" w:cs="Times New Roman"/>
          <w:color w:val="auto"/>
        </w:rPr>
      </w:pPr>
      <w:r>
        <w:rPr>
          <w:color w:val="auto"/>
        </w:rPr>
        <w:drawing>
          <wp:anchor distT="0" distB="0" distL="0" distR="0" simplePos="0" relativeHeight="251684864" behindDoc="0" locked="0" layoutInCell="1" allowOverlap="1">
            <wp:simplePos x="0" y="0"/>
            <wp:positionH relativeFrom="column">
              <wp:posOffset>5752465</wp:posOffset>
            </wp:positionH>
            <wp:positionV relativeFrom="paragraph">
              <wp:posOffset>2739390</wp:posOffset>
            </wp:positionV>
            <wp:extent cx="1616075" cy="1519555"/>
            <wp:effectExtent l="9525" t="9525" r="20320" b="10160"/>
            <wp:wrapNone/>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8095" cy="4867275"/>
            <wp:effectExtent l="0" t="0" r="12065" b="9525"/>
            <wp:docPr id="16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5"/>
                    <pic:cNvPicPr>
                      <a:picLocks noChangeAspect="1"/>
                    </pic:cNvPicPr>
                  </pic:nvPicPr>
                  <pic:blipFill>
                    <a:blip r:embed="rId94"/>
                    <a:stretch>
                      <a:fillRect/>
                    </a:stretch>
                  </pic:blipFill>
                  <pic:spPr>
                    <a:xfrm>
                      <a:off x="0" y="0"/>
                      <a:ext cx="8888095" cy="4867275"/>
                    </a:xfrm>
                    <a:prstGeom prst="rect">
                      <a:avLst/>
                    </a:prstGeom>
                    <a:noFill/>
                    <a:ln>
                      <a:noFill/>
                    </a:ln>
                  </pic:spPr>
                </pic:pic>
              </a:graphicData>
            </a:graphic>
          </wp:inline>
        </w:drawing>
      </w:r>
    </w:p>
    <w:p w14:paraId="1812ED93">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图6.2-14  本项目Hg日平均质量浓度分布图（μg/m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6473017C">
      <w:pPr>
        <w:ind w:firstLine="0" w:firstLineChars="0"/>
        <w:jc w:val="center"/>
        <w:rPr>
          <w:rFonts w:ascii="Times New Roman" w:hAnsi="Times New Roman" w:eastAsia="宋体" w:cs="Times New Roman"/>
          <w:color w:val="auto"/>
        </w:rPr>
      </w:pPr>
      <w:r>
        <w:rPr>
          <w:color w:val="auto"/>
        </w:rPr>
        <w:drawing>
          <wp:anchor distT="0" distB="0" distL="0" distR="0" simplePos="0" relativeHeight="251685888" behindDoc="0" locked="0" layoutInCell="1" allowOverlap="1">
            <wp:simplePos x="0" y="0"/>
            <wp:positionH relativeFrom="column">
              <wp:posOffset>5752465</wp:posOffset>
            </wp:positionH>
            <wp:positionV relativeFrom="paragraph">
              <wp:posOffset>2739390</wp:posOffset>
            </wp:positionV>
            <wp:extent cx="1616075" cy="1519555"/>
            <wp:effectExtent l="9525" t="9525" r="20320" b="10160"/>
            <wp:wrapNone/>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rPr>
          <w:color w:val="auto"/>
        </w:rPr>
        <w:drawing>
          <wp:inline distT="0" distB="0" distL="114300" distR="114300">
            <wp:extent cx="8887460" cy="4799965"/>
            <wp:effectExtent l="0" t="0" r="12700" b="635"/>
            <wp:docPr id="16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6"/>
                    <pic:cNvPicPr>
                      <a:picLocks noChangeAspect="1"/>
                    </pic:cNvPicPr>
                  </pic:nvPicPr>
                  <pic:blipFill>
                    <a:blip r:embed="rId95"/>
                    <a:stretch>
                      <a:fillRect/>
                    </a:stretch>
                  </pic:blipFill>
                  <pic:spPr>
                    <a:xfrm>
                      <a:off x="0" y="0"/>
                      <a:ext cx="8887460" cy="4799965"/>
                    </a:xfrm>
                    <a:prstGeom prst="rect">
                      <a:avLst/>
                    </a:prstGeom>
                    <a:noFill/>
                    <a:ln>
                      <a:noFill/>
                    </a:ln>
                  </pic:spPr>
                </pic:pic>
              </a:graphicData>
            </a:graphic>
          </wp:inline>
        </w:drawing>
      </w:r>
    </w:p>
    <w:p w14:paraId="4E20C4EF">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auto"/>
          <w:sz w:val="24"/>
          <w:szCs w:val="24"/>
          <w:highlight w:val="none"/>
          <w:lang w:val="en-US" w:eastAsia="zh-CN"/>
        </w:rPr>
        <w:t>图6.2-15 本项目TSP日平均质量浓度分布图（μg/m</w:t>
      </w:r>
      <w:r>
        <w:rPr>
          <w:rFonts w:hint="eastAsia" w:eastAsia="宋体" w:cs="Times New Roman"/>
          <w:b/>
          <w:bCs/>
          <w:color w:val="auto"/>
          <w:sz w:val="24"/>
          <w:szCs w:val="24"/>
          <w:highlight w:val="none"/>
          <w:vertAlign w:val="superscript"/>
          <w:lang w:val="en-US" w:eastAsia="zh-CN"/>
        </w:rPr>
        <w:t>3</w:t>
      </w:r>
      <w:r>
        <w:rPr>
          <w:rFonts w:hint="eastAsia" w:eastAsia="宋体" w:cs="Times New Roman"/>
          <w:b/>
          <w:bCs/>
          <w:color w:val="auto"/>
          <w:sz w:val="24"/>
          <w:szCs w:val="24"/>
          <w:highlight w:val="none"/>
          <w:lang w:val="en-US" w:eastAsia="zh-CN"/>
        </w:rPr>
        <w:t>）</w:t>
      </w:r>
    </w:p>
    <w:p w14:paraId="5636DE73">
      <w:pPr>
        <w:ind w:firstLine="0" w:firstLineChars="0"/>
        <w:jc w:val="center"/>
        <w:rPr>
          <w:rFonts w:ascii="Times New Roman" w:hAnsi="Times New Roman" w:eastAsia="宋体" w:cs="Times New Roman"/>
          <w:color w:val="auto"/>
        </w:rPr>
      </w:pPr>
      <w:r>
        <w:rPr>
          <w:color w:val="auto"/>
        </w:rPr>
        <w:drawing>
          <wp:anchor distT="0" distB="0" distL="0" distR="0" simplePos="0" relativeHeight="251687936" behindDoc="0" locked="0" layoutInCell="1" allowOverlap="1">
            <wp:simplePos x="0" y="0"/>
            <wp:positionH relativeFrom="column">
              <wp:posOffset>5534660</wp:posOffset>
            </wp:positionH>
            <wp:positionV relativeFrom="paragraph">
              <wp:posOffset>3185795</wp:posOffset>
            </wp:positionV>
            <wp:extent cx="1616075" cy="1519555"/>
            <wp:effectExtent l="9525" t="9525" r="12700" b="20320"/>
            <wp:wrapNone/>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30"/>
                    <a:stretch>
                      <a:fillRect/>
                    </a:stretch>
                  </pic:blipFill>
                  <pic:spPr>
                    <a:xfrm>
                      <a:off x="0" y="0"/>
                      <a:ext cx="1616075" cy="1519555"/>
                    </a:xfrm>
                    <a:prstGeom prst="rect">
                      <a:avLst/>
                    </a:prstGeom>
                    <a:ln>
                      <a:solidFill>
                        <a:schemeClr val="tx1"/>
                      </a:solidFill>
                    </a:ln>
                  </pic:spPr>
                </pic:pic>
              </a:graphicData>
            </a:graphic>
          </wp:anchor>
        </w:drawing>
      </w:r>
      <w:r>
        <w:drawing>
          <wp:inline distT="0" distB="0" distL="114300" distR="114300">
            <wp:extent cx="8791575" cy="5143500"/>
            <wp:effectExtent l="0" t="0" r="9525" b="0"/>
            <wp:docPr id="2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1"/>
                    <pic:cNvPicPr>
                      <a:picLocks noChangeAspect="1"/>
                    </pic:cNvPicPr>
                  </pic:nvPicPr>
                  <pic:blipFill>
                    <a:blip r:embed="rId96"/>
                    <a:stretch>
                      <a:fillRect/>
                    </a:stretch>
                  </pic:blipFill>
                  <pic:spPr>
                    <a:xfrm>
                      <a:off x="0" y="0"/>
                      <a:ext cx="8791575" cy="5143500"/>
                    </a:xfrm>
                    <a:prstGeom prst="rect">
                      <a:avLst/>
                    </a:prstGeom>
                    <a:noFill/>
                    <a:ln>
                      <a:noFill/>
                    </a:ln>
                  </pic:spPr>
                </pic:pic>
              </a:graphicData>
            </a:graphic>
          </wp:inline>
        </w:drawing>
      </w:r>
    </w:p>
    <w:p w14:paraId="39999345">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pPr>
      <w:r>
        <w:rPr>
          <w:rFonts w:hint="eastAsia" w:eastAsia="宋体" w:cs="Times New Roman"/>
          <w:b/>
          <w:bCs/>
          <w:color w:val="FF0000"/>
          <w:sz w:val="24"/>
          <w:szCs w:val="24"/>
          <w:highlight w:val="none"/>
          <w:lang w:val="en-US" w:eastAsia="zh-CN"/>
        </w:rPr>
        <w:t>图6.2-16 本项目NH</w:t>
      </w:r>
      <w:r>
        <w:rPr>
          <w:rFonts w:hint="eastAsia" w:eastAsia="宋体" w:cs="Times New Roman"/>
          <w:b/>
          <w:bCs/>
          <w:color w:val="FF0000"/>
          <w:sz w:val="24"/>
          <w:szCs w:val="24"/>
          <w:highlight w:val="none"/>
          <w:vertAlign w:val="subscript"/>
          <w:lang w:val="en-US" w:eastAsia="zh-CN"/>
        </w:rPr>
        <w:t>3</w:t>
      </w:r>
      <w:r>
        <w:rPr>
          <w:rFonts w:hint="eastAsia" w:eastAsia="宋体" w:cs="Times New Roman"/>
          <w:b/>
          <w:bCs/>
          <w:color w:val="FF0000"/>
          <w:sz w:val="24"/>
          <w:szCs w:val="24"/>
          <w:highlight w:val="none"/>
          <w:vertAlign w:val="baseline"/>
          <w:lang w:val="en-US" w:eastAsia="zh-CN"/>
        </w:rPr>
        <w:t>小时</w:t>
      </w:r>
      <w:r>
        <w:rPr>
          <w:rFonts w:hint="eastAsia" w:eastAsia="宋体" w:cs="Times New Roman"/>
          <w:b/>
          <w:bCs/>
          <w:color w:val="FF0000"/>
          <w:sz w:val="24"/>
          <w:szCs w:val="24"/>
          <w:highlight w:val="none"/>
          <w:lang w:val="en-US" w:eastAsia="zh-CN"/>
        </w:rPr>
        <w:t>平均质量浓度分布图（μg/m</w:t>
      </w:r>
      <w:r>
        <w:rPr>
          <w:rFonts w:hint="eastAsia" w:eastAsia="宋体" w:cs="Times New Roman"/>
          <w:b/>
          <w:bCs/>
          <w:color w:val="FF0000"/>
          <w:sz w:val="24"/>
          <w:szCs w:val="24"/>
          <w:highlight w:val="none"/>
          <w:vertAlign w:val="superscript"/>
          <w:lang w:val="en-US" w:eastAsia="zh-CN"/>
        </w:rPr>
        <w:t>3</w:t>
      </w:r>
      <w:r>
        <w:rPr>
          <w:rFonts w:hint="eastAsia" w:eastAsia="宋体" w:cs="Times New Roman"/>
          <w:b/>
          <w:bCs/>
          <w:color w:val="FF0000"/>
          <w:sz w:val="24"/>
          <w:szCs w:val="24"/>
          <w:highlight w:val="none"/>
          <w:lang w:val="en-US" w:eastAsia="zh-CN"/>
        </w:rPr>
        <w:t>）</w:t>
      </w:r>
    </w:p>
    <w:p w14:paraId="3E45C7C7">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eastAsia" w:eastAsia="宋体" w:cs="Times New Roman"/>
          <w:b/>
          <w:bCs/>
          <w:color w:val="auto"/>
          <w:sz w:val="24"/>
          <w:szCs w:val="24"/>
          <w:highlight w:val="none"/>
          <w:lang w:val="en-US" w:eastAsia="zh-CN"/>
        </w:rPr>
        <w:sectPr>
          <w:pgSz w:w="16838" w:h="11906" w:orient="landscape"/>
          <w:pgMar w:top="1417" w:right="1417" w:bottom="1417" w:left="1417" w:header="1191" w:footer="1191" w:gutter="0"/>
          <w:pgBorders>
            <w:top w:val="none" w:sz="0" w:space="0"/>
            <w:left w:val="none" w:sz="0" w:space="0"/>
            <w:bottom w:val="none" w:sz="0" w:space="0"/>
            <w:right w:val="none" w:sz="0" w:space="0"/>
          </w:pgBorders>
          <w:pgNumType w:fmt="decimal"/>
          <w:cols w:space="720" w:num="1"/>
          <w:docGrid w:linePitch="286" w:charSpace="0"/>
        </w:sectPr>
      </w:pPr>
    </w:p>
    <w:p w14:paraId="2A326DA0">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6.2.1.2非正常工况排放预测分析</w:t>
      </w:r>
    </w:p>
    <w:p w14:paraId="38EBB912">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①非正常工况污染物源强</w:t>
      </w:r>
    </w:p>
    <w:p w14:paraId="20D0B876">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本项目非正常工况下污染源源强情况见表6.2-2</w:t>
      </w:r>
      <w:r>
        <w:rPr>
          <w:rFonts w:hint="eastAsia" w:ascii="Times New Roman" w:hAnsi="Times New Roman" w:eastAsia="宋体" w:cs="Times New Roman"/>
          <w:color w:val="auto"/>
          <w:spacing w:val="-2"/>
          <w:szCs w:val="24"/>
          <w:lang w:val="en-US" w:eastAsia="zh-CN"/>
        </w:rPr>
        <w:t>7</w:t>
      </w:r>
      <w:r>
        <w:rPr>
          <w:rFonts w:hint="eastAsia" w:ascii="Times New Roman" w:hAnsi="Times New Roman" w:eastAsia="宋体" w:cs="Times New Roman"/>
          <w:color w:val="auto"/>
          <w:spacing w:val="-2"/>
          <w:szCs w:val="24"/>
          <w:lang w:eastAsia="zh-CN"/>
        </w:rPr>
        <w:t>。</w:t>
      </w:r>
    </w:p>
    <w:p w14:paraId="014C0BC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表6.2-2</w:t>
      </w:r>
      <w:r>
        <w:rPr>
          <w:rFonts w:hint="eastAsia" w:ascii="Times New Roman" w:hAnsi="Times New Roman" w:eastAsia="宋体" w:cs="Times New Roman"/>
          <w:b/>
          <w:bCs/>
          <w:color w:val="auto"/>
          <w:sz w:val="24"/>
          <w:szCs w:val="24"/>
          <w:lang w:val="en-US" w:eastAsia="zh-CN"/>
        </w:rPr>
        <w:t>7</w:t>
      </w:r>
      <w:r>
        <w:rPr>
          <w:rFonts w:hint="default" w:ascii="Times New Roman" w:hAnsi="Times New Roman" w:eastAsia="宋体" w:cs="Times New Roman"/>
          <w:b/>
          <w:bCs/>
          <w:color w:val="auto"/>
          <w:sz w:val="24"/>
          <w:szCs w:val="24"/>
          <w:lang w:eastAsia="zh-CN"/>
        </w:rPr>
        <w:t xml:space="preserve">  本项目非正常排放参数表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5"/>
        <w:gridCol w:w="2589"/>
        <w:gridCol w:w="1331"/>
        <w:gridCol w:w="1494"/>
        <w:gridCol w:w="1025"/>
        <w:gridCol w:w="918"/>
      </w:tblGrid>
      <w:tr w14:paraId="20E66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3" w:type="pct"/>
            <w:tcBorders>
              <w:tl2br w:val="nil"/>
              <w:tr2bl w:val="nil"/>
            </w:tcBorders>
            <w:vAlign w:val="center"/>
          </w:tcPr>
          <w:p w14:paraId="7EC4F273">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非正常排放源</w:t>
            </w:r>
          </w:p>
        </w:tc>
        <w:tc>
          <w:tcPr>
            <w:tcW w:w="1518" w:type="pct"/>
            <w:tcBorders>
              <w:tl2br w:val="nil"/>
              <w:tr2bl w:val="nil"/>
            </w:tcBorders>
            <w:vAlign w:val="center"/>
          </w:tcPr>
          <w:p w14:paraId="1010BD04">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非正常排放原因</w:t>
            </w:r>
          </w:p>
        </w:tc>
        <w:tc>
          <w:tcPr>
            <w:tcW w:w="780" w:type="pct"/>
            <w:tcBorders>
              <w:tl2br w:val="nil"/>
              <w:tr2bl w:val="nil"/>
            </w:tcBorders>
            <w:vAlign w:val="center"/>
          </w:tcPr>
          <w:p w14:paraId="462E5DE9">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污染物</w:t>
            </w:r>
          </w:p>
        </w:tc>
        <w:tc>
          <w:tcPr>
            <w:tcW w:w="876" w:type="pct"/>
            <w:tcBorders>
              <w:tl2br w:val="nil"/>
              <w:tr2bl w:val="nil"/>
            </w:tcBorders>
            <w:vAlign w:val="center"/>
          </w:tcPr>
          <w:p w14:paraId="3B22D09F">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非正常排放速率/kg/h</w:t>
            </w:r>
          </w:p>
        </w:tc>
        <w:tc>
          <w:tcPr>
            <w:tcW w:w="601" w:type="pct"/>
            <w:tcBorders>
              <w:tl2br w:val="nil"/>
              <w:tr2bl w:val="nil"/>
            </w:tcBorders>
            <w:vAlign w:val="center"/>
          </w:tcPr>
          <w:p w14:paraId="4C135142">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单次持续时间/h</w:t>
            </w:r>
          </w:p>
        </w:tc>
        <w:tc>
          <w:tcPr>
            <w:tcW w:w="538" w:type="pct"/>
            <w:tcBorders>
              <w:tl2br w:val="nil"/>
              <w:tr2bl w:val="nil"/>
            </w:tcBorders>
            <w:vAlign w:val="center"/>
          </w:tcPr>
          <w:p w14:paraId="36D57EBC">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年发生频次/次</w:t>
            </w:r>
          </w:p>
        </w:tc>
      </w:tr>
      <w:tr w14:paraId="4A78E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3" w:type="pct"/>
            <w:vMerge w:val="restart"/>
            <w:tcBorders>
              <w:tl2br w:val="nil"/>
              <w:tr2bl w:val="nil"/>
            </w:tcBorders>
            <w:vAlign w:val="center"/>
          </w:tcPr>
          <w:p w14:paraId="1B4AD86D">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eastAsia="zh-CN"/>
              </w:rPr>
            </w:pPr>
            <w:r>
              <w:rPr>
                <w:rFonts w:hint="eastAsia" w:eastAsia="宋体" w:cs="Times New Roman"/>
                <w:bCs/>
                <w:color w:val="auto"/>
                <w:sz w:val="21"/>
                <w:szCs w:val="21"/>
                <w:lang w:val="en-US" w:eastAsia="zh-CN"/>
              </w:rPr>
              <w:t>2</w:t>
            </w:r>
            <w:r>
              <w:rPr>
                <w:rFonts w:hint="eastAsia" w:eastAsia="宋体" w:cs="Times New Roman"/>
                <w:bCs/>
                <w:color w:val="auto"/>
                <w:sz w:val="21"/>
                <w:szCs w:val="21"/>
              </w:rPr>
              <w:t>×4</w:t>
            </w:r>
            <w:r>
              <w:rPr>
                <w:rFonts w:hint="eastAsia" w:eastAsia="宋体" w:cs="Times New Roman"/>
                <w:bCs/>
                <w:color w:val="auto"/>
                <w:sz w:val="21"/>
                <w:szCs w:val="21"/>
                <w:lang w:val="en-US" w:eastAsia="zh-CN"/>
              </w:rPr>
              <w:t>2</w:t>
            </w:r>
            <w:r>
              <w:rPr>
                <w:rFonts w:hint="eastAsia" w:eastAsia="宋体" w:cs="Times New Roman"/>
                <w:bCs/>
                <w:color w:val="auto"/>
                <w:sz w:val="21"/>
                <w:szCs w:val="21"/>
              </w:rPr>
              <w:t>MW</w:t>
            </w:r>
            <w:r>
              <w:rPr>
                <w:rFonts w:hint="eastAsia" w:eastAsia="宋体" w:cs="Times New Roman"/>
                <w:bCs/>
                <w:color w:val="auto"/>
                <w:sz w:val="21"/>
                <w:szCs w:val="21"/>
                <w:lang w:eastAsia="zh-CN"/>
              </w:rPr>
              <w:t>链条炉排热水锅炉</w:t>
            </w:r>
          </w:p>
        </w:tc>
        <w:tc>
          <w:tcPr>
            <w:tcW w:w="1518" w:type="pct"/>
            <w:tcBorders>
              <w:tl2br w:val="nil"/>
              <w:tr2bl w:val="nil"/>
            </w:tcBorders>
            <w:vAlign w:val="center"/>
          </w:tcPr>
          <w:p w14:paraId="7B65409A">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除尘器发生破袋故障</w:t>
            </w:r>
          </w:p>
        </w:tc>
        <w:tc>
          <w:tcPr>
            <w:tcW w:w="780" w:type="pct"/>
            <w:tcBorders>
              <w:tl2br w:val="nil"/>
              <w:tr2bl w:val="nil"/>
            </w:tcBorders>
            <w:vAlign w:val="center"/>
          </w:tcPr>
          <w:p w14:paraId="6153AB18">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PM</w:t>
            </w:r>
            <w:r>
              <w:rPr>
                <w:rFonts w:ascii="Times New Roman" w:hAnsi="Times New Roman" w:cs="Times New Roman"/>
                <w:bCs/>
                <w:color w:val="auto"/>
                <w:sz w:val="21"/>
                <w:szCs w:val="21"/>
                <w:vertAlign w:val="subscript"/>
              </w:rPr>
              <w:t>10</w:t>
            </w:r>
          </w:p>
        </w:tc>
        <w:tc>
          <w:tcPr>
            <w:tcW w:w="876" w:type="pct"/>
            <w:tcBorders>
              <w:tl2br w:val="nil"/>
              <w:tr2bl w:val="nil"/>
            </w:tcBorders>
            <w:vAlign w:val="center"/>
          </w:tcPr>
          <w:p w14:paraId="60F772A1">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cs="Times New Roman"/>
                <w:bCs/>
                <w:color w:val="auto"/>
                <w:sz w:val="21"/>
                <w:szCs w:val="21"/>
                <w:lang w:val="en-US" w:eastAsia="zh-CN"/>
              </w:rPr>
              <w:t>242.70</w:t>
            </w:r>
          </w:p>
        </w:tc>
        <w:tc>
          <w:tcPr>
            <w:tcW w:w="601" w:type="pct"/>
            <w:tcBorders>
              <w:tl2br w:val="nil"/>
              <w:tr2bl w:val="nil"/>
            </w:tcBorders>
            <w:vAlign w:val="center"/>
          </w:tcPr>
          <w:p w14:paraId="557C4D10">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538" w:type="pct"/>
            <w:tcBorders>
              <w:tl2br w:val="nil"/>
              <w:tr2bl w:val="nil"/>
            </w:tcBorders>
            <w:vAlign w:val="center"/>
          </w:tcPr>
          <w:p w14:paraId="280287B5">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r>
      <w:tr w14:paraId="06CFF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3" w:type="pct"/>
            <w:vMerge w:val="continue"/>
            <w:tcBorders>
              <w:tl2br w:val="nil"/>
              <w:tr2bl w:val="nil"/>
            </w:tcBorders>
            <w:vAlign w:val="center"/>
          </w:tcPr>
          <w:p w14:paraId="63CC39E6">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1518" w:type="pct"/>
            <w:tcBorders>
              <w:tl2br w:val="nil"/>
              <w:tr2bl w:val="nil"/>
            </w:tcBorders>
            <w:vAlign w:val="center"/>
          </w:tcPr>
          <w:p w14:paraId="1B12DB39">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脱硫装置故障</w:t>
            </w:r>
          </w:p>
        </w:tc>
        <w:tc>
          <w:tcPr>
            <w:tcW w:w="780" w:type="pct"/>
            <w:tcBorders>
              <w:tl2br w:val="nil"/>
              <w:tr2bl w:val="nil"/>
            </w:tcBorders>
            <w:vAlign w:val="center"/>
          </w:tcPr>
          <w:p w14:paraId="1B75E5DC">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SO</w:t>
            </w:r>
            <w:r>
              <w:rPr>
                <w:rFonts w:ascii="Times New Roman" w:hAnsi="Times New Roman" w:cs="Times New Roman"/>
                <w:bCs/>
                <w:color w:val="auto"/>
                <w:sz w:val="21"/>
                <w:szCs w:val="21"/>
                <w:vertAlign w:val="subscript"/>
              </w:rPr>
              <w:t>2</w:t>
            </w:r>
          </w:p>
        </w:tc>
        <w:tc>
          <w:tcPr>
            <w:tcW w:w="876" w:type="pct"/>
            <w:tcBorders>
              <w:tl2br w:val="nil"/>
              <w:tr2bl w:val="nil"/>
            </w:tcBorders>
            <w:vAlign w:val="center"/>
          </w:tcPr>
          <w:p w14:paraId="72FDAAAC">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default" w:ascii="Times New Roman" w:hAnsi="Times New Roman" w:cs="Times New Roman"/>
                <w:bCs/>
                <w:color w:val="auto"/>
                <w:sz w:val="21"/>
                <w:szCs w:val="21"/>
                <w:lang w:val="en-US"/>
              </w:rPr>
            </w:pPr>
            <w:r>
              <w:rPr>
                <w:rFonts w:hint="eastAsia" w:ascii="Times New Roman" w:hAnsi="Times New Roman" w:cs="Times New Roman"/>
                <w:bCs/>
                <w:color w:val="auto"/>
                <w:sz w:val="21"/>
                <w:szCs w:val="21"/>
                <w:lang w:val="en-US" w:eastAsia="zh-CN"/>
              </w:rPr>
              <w:t>19.77</w:t>
            </w:r>
          </w:p>
        </w:tc>
        <w:tc>
          <w:tcPr>
            <w:tcW w:w="601" w:type="pct"/>
            <w:tcBorders>
              <w:tl2br w:val="nil"/>
              <w:tr2bl w:val="nil"/>
            </w:tcBorders>
            <w:vAlign w:val="center"/>
          </w:tcPr>
          <w:p w14:paraId="37BE4B0C">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538" w:type="pct"/>
            <w:tcBorders>
              <w:tl2br w:val="nil"/>
              <w:tr2bl w:val="nil"/>
            </w:tcBorders>
            <w:vAlign w:val="center"/>
          </w:tcPr>
          <w:p w14:paraId="2E65C9A4">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r>
      <w:tr w14:paraId="09E1F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3" w:type="pct"/>
            <w:vMerge w:val="continue"/>
            <w:tcBorders>
              <w:tl2br w:val="nil"/>
              <w:tr2bl w:val="nil"/>
            </w:tcBorders>
            <w:vAlign w:val="center"/>
          </w:tcPr>
          <w:p w14:paraId="103B65B5">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1518" w:type="pct"/>
            <w:tcBorders>
              <w:tl2br w:val="nil"/>
              <w:tr2bl w:val="nil"/>
            </w:tcBorders>
            <w:vAlign w:val="center"/>
          </w:tcPr>
          <w:p w14:paraId="17CBD81F">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hint="eastAsia" w:ascii="Times New Roman" w:hAnsi="Times New Roman" w:cs="Times New Roman"/>
                <w:bCs/>
                <w:color w:val="auto"/>
                <w:sz w:val="21"/>
                <w:szCs w:val="21"/>
              </w:rPr>
              <w:t>SNCR-SCR联合脱硝系统</w:t>
            </w:r>
            <w:r>
              <w:rPr>
                <w:rFonts w:ascii="Times New Roman" w:hAnsi="Times New Roman" w:cs="Times New Roman"/>
                <w:bCs/>
                <w:color w:val="auto"/>
                <w:sz w:val="21"/>
                <w:szCs w:val="21"/>
              </w:rPr>
              <w:t>故障</w:t>
            </w:r>
          </w:p>
        </w:tc>
        <w:tc>
          <w:tcPr>
            <w:tcW w:w="780" w:type="pct"/>
            <w:tcBorders>
              <w:tl2br w:val="nil"/>
              <w:tr2bl w:val="nil"/>
            </w:tcBorders>
            <w:vAlign w:val="center"/>
          </w:tcPr>
          <w:p w14:paraId="3A30DD55">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NOx</w:t>
            </w:r>
          </w:p>
        </w:tc>
        <w:tc>
          <w:tcPr>
            <w:tcW w:w="876" w:type="pct"/>
            <w:tcBorders>
              <w:tl2br w:val="nil"/>
              <w:tr2bl w:val="nil"/>
            </w:tcBorders>
            <w:vAlign w:val="center"/>
          </w:tcPr>
          <w:p w14:paraId="31282007">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cs="Times New Roman"/>
                <w:bCs/>
                <w:color w:val="auto"/>
                <w:sz w:val="21"/>
                <w:szCs w:val="21"/>
                <w:lang w:val="en-US" w:eastAsia="zh-CN"/>
              </w:rPr>
              <w:t>30.14</w:t>
            </w:r>
          </w:p>
        </w:tc>
        <w:tc>
          <w:tcPr>
            <w:tcW w:w="601" w:type="pct"/>
            <w:tcBorders>
              <w:tl2br w:val="nil"/>
              <w:tr2bl w:val="nil"/>
            </w:tcBorders>
            <w:vAlign w:val="center"/>
          </w:tcPr>
          <w:p w14:paraId="470D2F05">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538" w:type="pct"/>
            <w:tcBorders>
              <w:tl2br w:val="nil"/>
              <w:tr2bl w:val="nil"/>
            </w:tcBorders>
            <w:vAlign w:val="center"/>
          </w:tcPr>
          <w:p w14:paraId="4A7B12D3">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r>
    </w:tbl>
    <w:p w14:paraId="35D9F0AB">
      <w:pPr>
        <w:keepNext w:val="0"/>
        <w:keepLines w:val="0"/>
        <w:pageBreakBefore w:val="0"/>
        <w:widowControl w:val="0"/>
        <w:kinsoku/>
        <w:wordWrap/>
        <w:overflowPunct/>
        <w:topLinePunct w:val="0"/>
        <w:autoSpaceDE w:val="0"/>
        <w:autoSpaceDN w:val="0"/>
        <w:bidi w:val="0"/>
        <w:adjustRightInd w:val="0"/>
        <w:snapToGrid/>
        <w:spacing w:line="500" w:lineRule="exact"/>
        <w:ind w:firstLine="480"/>
        <w:textAlignment w:val="bottom"/>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②本项目非正常工况下预测结果</w:t>
      </w:r>
    </w:p>
    <w:p w14:paraId="56CEE6EC">
      <w:pPr>
        <w:pStyle w:val="53"/>
        <w:keepNext w:val="0"/>
        <w:keepLines w:val="0"/>
        <w:pageBreakBefore w:val="0"/>
        <w:widowControl w:val="0"/>
        <w:kinsoku/>
        <w:wordWrap/>
        <w:overflowPunct/>
        <w:topLinePunct w:val="0"/>
        <w:autoSpaceDE w:val="0"/>
        <w:autoSpaceDN w:val="0"/>
        <w:bidi w:val="0"/>
        <w:adjustRightInd w:val="0"/>
        <w:snapToGrid/>
        <w:spacing w:line="500" w:lineRule="exact"/>
        <w:ind w:firstLine="480"/>
        <w:textAlignment w:val="auto"/>
        <w:rPr>
          <w:rFonts w:ascii="Times New Roman" w:hAnsi="Times New Roman"/>
          <w:color w:val="auto"/>
        </w:rPr>
      </w:pPr>
      <w:r>
        <w:rPr>
          <w:rFonts w:ascii="Times New Roman" w:hAnsi="Times New Roman"/>
          <w:bCs/>
          <w:color w:val="auto"/>
          <w:kern w:val="0"/>
        </w:rPr>
        <w:t>本项目烟气治理设施非正常工况时，全年逐时小时气象条件下，污染物最大浓度预测见表6.2-2</w:t>
      </w:r>
      <w:r>
        <w:rPr>
          <w:rFonts w:hint="eastAsia" w:ascii="Times New Roman" w:hAnsi="Times New Roman"/>
          <w:bCs/>
          <w:color w:val="auto"/>
          <w:kern w:val="0"/>
          <w:lang w:val="en-US" w:eastAsia="zh-CN"/>
        </w:rPr>
        <w:t>8</w:t>
      </w:r>
      <w:r>
        <w:rPr>
          <w:rFonts w:ascii="Times New Roman" w:hAnsi="Times New Roman"/>
          <w:bCs/>
          <w:color w:val="auto"/>
          <w:kern w:val="0"/>
        </w:rPr>
        <w:t>～6.2-</w:t>
      </w:r>
      <w:r>
        <w:rPr>
          <w:rFonts w:hint="eastAsia" w:ascii="Times New Roman" w:hAnsi="Times New Roman"/>
          <w:bCs/>
          <w:color w:val="auto"/>
          <w:kern w:val="0"/>
        </w:rPr>
        <w:t>31</w:t>
      </w:r>
      <w:r>
        <w:rPr>
          <w:rFonts w:ascii="Times New Roman" w:hAnsi="Times New Roman"/>
          <w:bCs/>
          <w:color w:val="auto"/>
          <w:kern w:val="0"/>
        </w:rPr>
        <w:t>。</w:t>
      </w:r>
      <w:r>
        <w:rPr>
          <w:rFonts w:ascii="Times New Roman" w:hAnsi="Times New Roman"/>
          <w:color w:val="auto"/>
          <w:kern w:val="0"/>
        </w:rPr>
        <w:t>非正常情况下</w:t>
      </w:r>
      <w:r>
        <w:rPr>
          <w:rFonts w:hint="eastAsia" w:ascii="Times New Roman" w:hAnsi="Times New Roman"/>
          <w:bCs/>
          <w:color w:val="auto"/>
          <w:lang w:val="en-US" w:eastAsia="zh-CN"/>
        </w:rPr>
        <w:t>2</w:t>
      </w:r>
      <w:r>
        <w:rPr>
          <w:rFonts w:hint="eastAsia" w:ascii="Times New Roman" w:hAnsi="Times New Roman"/>
          <w:bCs/>
          <w:color w:val="auto"/>
        </w:rPr>
        <w:t>×4</w:t>
      </w:r>
      <w:r>
        <w:rPr>
          <w:rFonts w:hint="eastAsia" w:ascii="Times New Roman" w:hAnsi="Times New Roman"/>
          <w:bCs/>
          <w:color w:val="auto"/>
          <w:lang w:val="en-US" w:eastAsia="zh-CN"/>
        </w:rPr>
        <w:t>2</w:t>
      </w:r>
      <w:r>
        <w:rPr>
          <w:rFonts w:hint="eastAsia" w:ascii="Times New Roman" w:hAnsi="Times New Roman"/>
          <w:bCs/>
          <w:color w:val="auto"/>
        </w:rPr>
        <w:t>MW</w:t>
      </w:r>
      <w:r>
        <w:rPr>
          <w:rFonts w:hint="eastAsia" w:ascii="Times New Roman" w:hAnsi="Times New Roman"/>
          <w:bCs/>
          <w:color w:val="auto"/>
          <w:lang w:eastAsia="zh-CN"/>
        </w:rPr>
        <w:t>链条炉排热水锅炉</w:t>
      </w:r>
      <w:r>
        <w:rPr>
          <w:rFonts w:ascii="Times New Roman" w:hAnsi="Times New Roman"/>
          <w:color w:val="auto"/>
          <w:kern w:val="0"/>
        </w:rPr>
        <w:t>污染物PM</w:t>
      </w:r>
      <w:r>
        <w:rPr>
          <w:rFonts w:ascii="Times New Roman" w:hAnsi="Times New Roman"/>
          <w:color w:val="auto"/>
          <w:kern w:val="0"/>
          <w:vertAlign w:val="subscript"/>
        </w:rPr>
        <w:t>10</w:t>
      </w:r>
      <w:r>
        <w:rPr>
          <w:rFonts w:ascii="Times New Roman" w:hAnsi="Times New Roman"/>
          <w:color w:val="auto"/>
          <w:kern w:val="0"/>
        </w:rPr>
        <w:t>、SO</w:t>
      </w:r>
      <w:r>
        <w:rPr>
          <w:rFonts w:ascii="Times New Roman" w:hAnsi="Times New Roman"/>
          <w:color w:val="auto"/>
          <w:kern w:val="0"/>
          <w:vertAlign w:val="subscript"/>
        </w:rPr>
        <w:t>2</w:t>
      </w:r>
      <w:r>
        <w:rPr>
          <w:rFonts w:ascii="Times New Roman" w:hAnsi="Times New Roman"/>
          <w:color w:val="auto"/>
          <w:kern w:val="0"/>
        </w:rPr>
        <w:t>和NO</w:t>
      </w:r>
      <w:r>
        <w:rPr>
          <w:rFonts w:ascii="Times New Roman" w:hAnsi="Times New Roman"/>
          <w:color w:val="auto"/>
          <w:kern w:val="0"/>
          <w:vertAlign w:val="subscript"/>
        </w:rPr>
        <w:t>2</w:t>
      </w:r>
      <w:r>
        <w:rPr>
          <w:rFonts w:ascii="Times New Roman" w:hAnsi="Times New Roman"/>
          <w:color w:val="auto"/>
          <w:kern w:val="0"/>
        </w:rPr>
        <w:t>最大贡献浓度占标率分别为</w:t>
      </w:r>
      <w:r>
        <w:rPr>
          <w:rFonts w:hint="eastAsia" w:ascii="Times New Roman" w:hAnsi="Times New Roman"/>
          <w:color w:val="auto"/>
          <w:kern w:val="0"/>
          <w:lang w:val="en-US" w:eastAsia="zh-CN"/>
        </w:rPr>
        <w:t>128.31</w:t>
      </w:r>
      <w:r>
        <w:rPr>
          <w:rFonts w:ascii="Times New Roman" w:hAnsi="Times New Roman"/>
          <w:color w:val="auto"/>
          <w:kern w:val="0"/>
        </w:rPr>
        <w:t>%、</w:t>
      </w:r>
      <w:r>
        <w:rPr>
          <w:rFonts w:hint="eastAsia" w:ascii="Times New Roman" w:hAnsi="Times New Roman"/>
          <w:color w:val="auto"/>
          <w:kern w:val="0"/>
          <w:lang w:val="en-US" w:eastAsia="zh-CN"/>
        </w:rPr>
        <w:t>7.53</w:t>
      </w:r>
      <w:r>
        <w:rPr>
          <w:rFonts w:ascii="Times New Roman" w:hAnsi="Times New Roman"/>
          <w:color w:val="auto"/>
          <w:kern w:val="0"/>
        </w:rPr>
        <w:t>%、</w:t>
      </w:r>
      <w:r>
        <w:rPr>
          <w:rFonts w:hint="eastAsia" w:ascii="Times New Roman" w:hAnsi="Times New Roman"/>
          <w:color w:val="auto"/>
          <w:kern w:val="0"/>
          <w:lang w:val="en-US" w:eastAsia="zh-CN"/>
        </w:rPr>
        <w:t>25.81</w:t>
      </w:r>
      <w:r>
        <w:rPr>
          <w:rFonts w:ascii="Times New Roman" w:hAnsi="Times New Roman"/>
          <w:color w:val="auto"/>
          <w:kern w:val="0"/>
        </w:rPr>
        <w:t>%。</w:t>
      </w:r>
      <w:r>
        <w:rPr>
          <w:rFonts w:ascii="Times New Roman" w:hAnsi="Times New Roman"/>
          <w:color w:val="auto"/>
        </w:rPr>
        <w:t>为确保</w:t>
      </w:r>
      <w:r>
        <w:rPr>
          <w:rFonts w:ascii="Times New Roman" w:hAnsi="Times New Roman"/>
          <w:color w:val="auto"/>
          <w:kern w:val="0"/>
        </w:rPr>
        <w:t>PM</w:t>
      </w:r>
      <w:r>
        <w:rPr>
          <w:rFonts w:ascii="Times New Roman" w:hAnsi="Times New Roman"/>
          <w:color w:val="auto"/>
          <w:kern w:val="0"/>
          <w:vertAlign w:val="subscript"/>
        </w:rPr>
        <w:t>10</w:t>
      </w:r>
      <w:r>
        <w:rPr>
          <w:rFonts w:ascii="Times New Roman" w:hAnsi="Times New Roman"/>
          <w:color w:val="auto"/>
          <w:kern w:val="0"/>
        </w:rPr>
        <w:t>、SO</w:t>
      </w:r>
      <w:r>
        <w:rPr>
          <w:rFonts w:ascii="Times New Roman" w:hAnsi="Times New Roman"/>
          <w:color w:val="auto"/>
          <w:kern w:val="0"/>
          <w:vertAlign w:val="subscript"/>
        </w:rPr>
        <w:t>2</w:t>
      </w:r>
      <w:r>
        <w:rPr>
          <w:rFonts w:ascii="Times New Roman" w:hAnsi="Times New Roman"/>
          <w:color w:val="auto"/>
        </w:rPr>
        <w:t>和NO</w:t>
      </w:r>
      <w:r>
        <w:rPr>
          <w:rFonts w:ascii="Times New Roman" w:hAnsi="Times New Roman"/>
          <w:color w:val="auto"/>
          <w:vertAlign w:val="subscript"/>
        </w:rPr>
        <w:t>2</w:t>
      </w:r>
      <w:r>
        <w:rPr>
          <w:rFonts w:ascii="Times New Roman" w:hAnsi="Times New Roman"/>
          <w:color w:val="auto"/>
        </w:rPr>
        <w:t>达标排放，建设方应加强除尘器、脱硫系统和脱硝系统的维护保养及运行管理，杜绝事故发生，发生事故工况时及时维修。</w:t>
      </w:r>
    </w:p>
    <w:p w14:paraId="31E1519C">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表6.2-2</w:t>
      </w:r>
      <w:r>
        <w:rPr>
          <w:rFonts w:hint="eastAsia" w:ascii="Times New Roman" w:hAnsi="Times New Roman" w:eastAsia="宋体" w:cs="Times New Roman"/>
          <w:b/>
          <w:bCs/>
          <w:color w:val="auto"/>
          <w:sz w:val="24"/>
          <w:szCs w:val="24"/>
          <w:lang w:val="en-US" w:eastAsia="zh-CN"/>
        </w:rPr>
        <w:t>8</w:t>
      </w:r>
      <w:r>
        <w:rPr>
          <w:rFonts w:hint="default"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eastAsia="zh-CN"/>
        </w:rPr>
        <w:t>2×42MW链条炉排热水锅炉</w:t>
      </w:r>
      <w:r>
        <w:rPr>
          <w:rFonts w:hint="default" w:ascii="Times New Roman" w:hAnsi="Times New Roman" w:eastAsia="宋体" w:cs="Times New Roman"/>
          <w:b/>
          <w:bCs/>
          <w:color w:val="auto"/>
          <w:sz w:val="24"/>
          <w:szCs w:val="24"/>
          <w:lang w:eastAsia="zh-CN"/>
        </w:rPr>
        <w:t>非正常工况PM</w:t>
      </w:r>
      <w:r>
        <w:rPr>
          <w:rFonts w:hint="default" w:ascii="Times New Roman" w:hAnsi="Times New Roman" w:eastAsia="宋体" w:cs="Times New Roman"/>
          <w:b/>
          <w:bCs/>
          <w:color w:val="auto"/>
          <w:sz w:val="24"/>
          <w:szCs w:val="24"/>
          <w:vertAlign w:val="subscript"/>
          <w:lang w:eastAsia="zh-CN"/>
        </w:rPr>
        <w:t>10</w:t>
      </w:r>
      <w:r>
        <w:rPr>
          <w:rFonts w:hint="default" w:ascii="Times New Roman" w:hAnsi="Times New Roman" w:eastAsia="宋体" w:cs="Times New Roman"/>
          <w:b/>
          <w:bCs/>
          <w:color w:val="auto"/>
          <w:sz w:val="24"/>
          <w:szCs w:val="24"/>
          <w:lang w:eastAsia="zh-CN"/>
        </w:rPr>
        <w:t>预测结果表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9"/>
        <w:gridCol w:w="1202"/>
        <w:gridCol w:w="1398"/>
        <w:gridCol w:w="1361"/>
        <w:gridCol w:w="1335"/>
        <w:gridCol w:w="1067"/>
      </w:tblGrid>
      <w:tr w14:paraId="387FF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6334C306">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预测点</w:t>
            </w:r>
          </w:p>
        </w:tc>
        <w:tc>
          <w:tcPr>
            <w:tcW w:w="705" w:type="pct"/>
            <w:tcBorders>
              <w:tl2br w:val="nil"/>
              <w:tr2bl w:val="nil"/>
            </w:tcBorders>
            <w:vAlign w:val="center"/>
          </w:tcPr>
          <w:p w14:paraId="1316B152">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浓度类型</w:t>
            </w:r>
          </w:p>
        </w:tc>
        <w:tc>
          <w:tcPr>
            <w:tcW w:w="820" w:type="pct"/>
            <w:tcBorders>
              <w:tl2br w:val="nil"/>
              <w:tr2bl w:val="nil"/>
            </w:tcBorders>
            <w:vAlign w:val="center"/>
          </w:tcPr>
          <w:p w14:paraId="75E17BF1">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贡献浓度</w:t>
            </w:r>
            <w:r>
              <w:rPr>
                <w:rFonts w:ascii="Times New Roman" w:hAnsi="Times New Roman" w:eastAsia="宋体" w:cs="Times New Roman"/>
                <w:color w:val="auto"/>
                <w:sz w:val="21"/>
                <w:szCs w:val="21"/>
              </w:rPr>
              <w:t>(ug/m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798" w:type="pct"/>
            <w:tcBorders>
              <w:tl2br w:val="nil"/>
              <w:tr2bl w:val="nil"/>
            </w:tcBorders>
            <w:vAlign w:val="center"/>
          </w:tcPr>
          <w:p w14:paraId="4713A12E">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出现时间</w:t>
            </w:r>
          </w:p>
        </w:tc>
        <w:tc>
          <w:tcPr>
            <w:tcW w:w="783" w:type="pct"/>
            <w:tcBorders>
              <w:tl2br w:val="nil"/>
              <w:tr2bl w:val="nil"/>
            </w:tcBorders>
            <w:vAlign w:val="center"/>
          </w:tcPr>
          <w:p w14:paraId="5989CC5E">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占标率（%）</w:t>
            </w:r>
          </w:p>
        </w:tc>
        <w:tc>
          <w:tcPr>
            <w:tcW w:w="625" w:type="pct"/>
            <w:tcBorders>
              <w:tl2br w:val="nil"/>
              <w:tr2bl w:val="nil"/>
            </w:tcBorders>
            <w:vAlign w:val="center"/>
          </w:tcPr>
          <w:p w14:paraId="2A3E0A4A">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达标情况</w:t>
            </w:r>
          </w:p>
        </w:tc>
      </w:tr>
      <w:tr w14:paraId="2383C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47DCD1F5">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八五二农场场部</w:t>
            </w:r>
          </w:p>
        </w:tc>
        <w:tc>
          <w:tcPr>
            <w:tcW w:w="705" w:type="pct"/>
            <w:tcBorders>
              <w:tl2br w:val="nil"/>
              <w:tr2bl w:val="nil"/>
            </w:tcBorders>
            <w:vAlign w:val="center"/>
          </w:tcPr>
          <w:p w14:paraId="0A7B291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5C8DA6B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112.5474</w:t>
            </w:r>
          </w:p>
        </w:tc>
        <w:tc>
          <w:tcPr>
            <w:tcW w:w="798" w:type="pct"/>
            <w:tcBorders>
              <w:tl2br w:val="nil"/>
              <w:tr2bl w:val="nil"/>
            </w:tcBorders>
            <w:vAlign w:val="center"/>
          </w:tcPr>
          <w:p w14:paraId="1B75678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24103012</w:t>
            </w:r>
          </w:p>
        </w:tc>
        <w:tc>
          <w:tcPr>
            <w:tcW w:w="783" w:type="pct"/>
            <w:tcBorders>
              <w:tl2br w:val="nil"/>
              <w:tr2bl w:val="nil"/>
            </w:tcBorders>
            <w:vAlign w:val="center"/>
          </w:tcPr>
          <w:p w14:paraId="6928650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31.26</w:t>
            </w:r>
          </w:p>
        </w:tc>
        <w:tc>
          <w:tcPr>
            <w:tcW w:w="625" w:type="pct"/>
            <w:tcBorders>
              <w:tl2br w:val="nil"/>
              <w:tr2bl w:val="nil"/>
            </w:tcBorders>
            <w:vAlign w:val="center"/>
          </w:tcPr>
          <w:p w14:paraId="2661901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05B97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6113E348">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和平管理区</w:t>
            </w:r>
          </w:p>
        </w:tc>
        <w:tc>
          <w:tcPr>
            <w:tcW w:w="705" w:type="pct"/>
            <w:tcBorders>
              <w:tl2br w:val="nil"/>
              <w:tr2bl w:val="nil"/>
            </w:tcBorders>
            <w:vAlign w:val="center"/>
          </w:tcPr>
          <w:p w14:paraId="7B07DF43">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547E5DB3">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131.4861</w:t>
            </w:r>
          </w:p>
        </w:tc>
        <w:tc>
          <w:tcPr>
            <w:tcW w:w="798" w:type="pct"/>
            <w:tcBorders>
              <w:tl2br w:val="nil"/>
              <w:tr2bl w:val="nil"/>
            </w:tcBorders>
            <w:vAlign w:val="center"/>
          </w:tcPr>
          <w:p w14:paraId="76CA56D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6EC5A41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36.52</w:t>
            </w:r>
          </w:p>
        </w:tc>
        <w:tc>
          <w:tcPr>
            <w:tcW w:w="625" w:type="pct"/>
            <w:tcBorders>
              <w:tl2br w:val="nil"/>
              <w:tr2bl w:val="nil"/>
            </w:tcBorders>
            <w:vAlign w:val="center"/>
          </w:tcPr>
          <w:p w14:paraId="5E73723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22714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5F4AC995">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南林小区</w:t>
            </w:r>
          </w:p>
        </w:tc>
        <w:tc>
          <w:tcPr>
            <w:tcW w:w="705" w:type="pct"/>
            <w:tcBorders>
              <w:tl2br w:val="nil"/>
              <w:tr2bl w:val="nil"/>
            </w:tcBorders>
            <w:vAlign w:val="center"/>
          </w:tcPr>
          <w:p w14:paraId="7BDCD1B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278C5B2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93.83472</w:t>
            </w:r>
          </w:p>
        </w:tc>
        <w:tc>
          <w:tcPr>
            <w:tcW w:w="798" w:type="pct"/>
            <w:tcBorders>
              <w:tl2br w:val="nil"/>
              <w:tr2bl w:val="nil"/>
            </w:tcBorders>
            <w:vAlign w:val="center"/>
          </w:tcPr>
          <w:p w14:paraId="464411F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24100709</w:t>
            </w:r>
          </w:p>
        </w:tc>
        <w:tc>
          <w:tcPr>
            <w:tcW w:w="783" w:type="pct"/>
            <w:tcBorders>
              <w:tl2br w:val="nil"/>
              <w:tr2bl w:val="nil"/>
            </w:tcBorders>
            <w:vAlign w:val="center"/>
          </w:tcPr>
          <w:p w14:paraId="621791B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26.07</w:t>
            </w:r>
          </w:p>
        </w:tc>
        <w:tc>
          <w:tcPr>
            <w:tcW w:w="625" w:type="pct"/>
            <w:tcBorders>
              <w:tl2br w:val="nil"/>
              <w:tr2bl w:val="nil"/>
            </w:tcBorders>
            <w:vAlign w:val="center"/>
          </w:tcPr>
          <w:p w14:paraId="327E602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53306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7C3ED744">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八五二农场四分场</w:t>
            </w:r>
          </w:p>
        </w:tc>
        <w:tc>
          <w:tcPr>
            <w:tcW w:w="705" w:type="pct"/>
            <w:tcBorders>
              <w:tl2br w:val="nil"/>
              <w:tr2bl w:val="nil"/>
            </w:tcBorders>
            <w:vAlign w:val="center"/>
          </w:tcPr>
          <w:p w14:paraId="22476D3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73524B2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57.13868</w:t>
            </w:r>
          </w:p>
        </w:tc>
        <w:tc>
          <w:tcPr>
            <w:tcW w:w="798" w:type="pct"/>
            <w:tcBorders>
              <w:tl2br w:val="nil"/>
              <w:tr2bl w:val="nil"/>
            </w:tcBorders>
            <w:vAlign w:val="center"/>
          </w:tcPr>
          <w:p w14:paraId="50025CC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7F9E259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15.87</w:t>
            </w:r>
          </w:p>
        </w:tc>
        <w:tc>
          <w:tcPr>
            <w:tcW w:w="625" w:type="pct"/>
            <w:tcBorders>
              <w:tl2br w:val="nil"/>
              <w:tr2bl w:val="nil"/>
            </w:tcBorders>
            <w:vAlign w:val="center"/>
          </w:tcPr>
          <w:p w14:paraId="698DABC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4CD8D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63D283A4">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八五二农场副业队</w:t>
            </w:r>
          </w:p>
        </w:tc>
        <w:tc>
          <w:tcPr>
            <w:tcW w:w="705" w:type="pct"/>
            <w:tcBorders>
              <w:tl2br w:val="nil"/>
              <w:tr2bl w:val="nil"/>
            </w:tcBorders>
            <w:vAlign w:val="center"/>
          </w:tcPr>
          <w:p w14:paraId="63F4301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7C4C673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86.9092</w:t>
            </w:r>
          </w:p>
        </w:tc>
        <w:tc>
          <w:tcPr>
            <w:tcW w:w="798" w:type="pct"/>
            <w:tcBorders>
              <w:tl2br w:val="nil"/>
              <w:tr2bl w:val="nil"/>
            </w:tcBorders>
            <w:vAlign w:val="center"/>
          </w:tcPr>
          <w:p w14:paraId="457DFE4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76AC2EA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24.14</w:t>
            </w:r>
          </w:p>
        </w:tc>
        <w:tc>
          <w:tcPr>
            <w:tcW w:w="625" w:type="pct"/>
            <w:tcBorders>
              <w:tl2br w:val="nil"/>
              <w:tr2bl w:val="nil"/>
            </w:tcBorders>
            <w:vAlign w:val="center"/>
          </w:tcPr>
          <w:p w14:paraId="4E0225B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7FC60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1707F0C9">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八五二农场种畜站</w:t>
            </w:r>
          </w:p>
        </w:tc>
        <w:tc>
          <w:tcPr>
            <w:tcW w:w="705" w:type="pct"/>
            <w:tcBorders>
              <w:tl2br w:val="nil"/>
              <w:tr2bl w:val="nil"/>
            </w:tcBorders>
            <w:vAlign w:val="center"/>
          </w:tcPr>
          <w:p w14:paraId="6CFFBC9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59C1ECA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52.51783</w:t>
            </w:r>
          </w:p>
        </w:tc>
        <w:tc>
          <w:tcPr>
            <w:tcW w:w="798" w:type="pct"/>
            <w:tcBorders>
              <w:tl2br w:val="nil"/>
              <w:tr2bl w:val="nil"/>
            </w:tcBorders>
            <w:vAlign w:val="center"/>
          </w:tcPr>
          <w:p w14:paraId="33BF45F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24032108</w:t>
            </w:r>
          </w:p>
        </w:tc>
        <w:tc>
          <w:tcPr>
            <w:tcW w:w="783" w:type="pct"/>
            <w:tcBorders>
              <w:tl2br w:val="nil"/>
              <w:tr2bl w:val="nil"/>
            </w:tcBorders>
            <w:vAlign w:val="center"/>
          </w:tcPr>
          <w:p w14:paraId="69D6FDC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14.59</w:t>
            </w:r>
          </w:p>
        </w:tc>
        <w:tc>
          <w:tcPr>
            <w:tcW w:w="625" w:type="pct"/>
            <w:tcBorders>
              <w:tl2br w:val="nil"/>
              <w:tr2bl w:val="nil"/>
            </w:tcBorders>
            <w:vAlign w:val="center"/>
          </w:tcPr>
          <w:p w14:paraId="170139C3">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034C8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2229F70F">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迎春林业局光明林场</w:t>
            </w:r>
          </w:p>
        </w:tc>
        <w:tc>
          <w:tcPr>
            <w:tcW w:w="705" w:type="pct"/>
            <w:tcBorders>
              <w:tl2br w:val="nil"/>
              <w:tr2bl w:val="nil"/>
            </w:tcBorders>
            <w:vAlign w:val="center"/>
          </w:tcPr>
          <w:p w14:paraId="2A5B5A1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5DDE17D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48.7867</w:t>
            </w:r>
          </w:p>
        </w:tc>
        <w:tc>
          <w:tcPr>
            <w:tcW w:w="798" w:type="pct"/>
            <w:tcBorders>
              <w:tl2br w:val="nil"/>
              <w:tr2bl w:val="nil"/>
            </w:tcBorders>
            <w:vAlign w:val="center"/>
          </w:tcPr>
          <w:p w14:paraId="06CA78B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24112910</w:t>
            </w:r>
          </w:p>
        </w:tc>
        <w:tc>
          <w:tcPr>
            <w:tcW w:w="783" w:type="pct"/>
            <w:tcBorders>
              <w:tl2br w:val="nil"/>
              <w:tr2bl w:val="nil"/>
            </w:tcBorders>
            <w:vAlign w:val="center"/>
          </w:tcPr>
          <w:p w14:paraId="54D1D22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13.55</w:t>
            </w:r>
          </w:p>
        </w:tc>
        <w:tc>
          <w:tcPr>
            <w:tcW w:w="625" w:type="pct"/>
            <w:tcBorders>
              <w:tl2br w:val="nil"/>
              <w:tr2bl w:val="nil"/>
            </w:tcBorders>
            <w:vAlign w:val="center"/>
          </w:tcPr>
          <w:p w14:paraId="335AB4A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71842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34CBE728">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虎宝工厂南林工段</w:t>
            </w:r>
          </w:p>
        </w:tc>
        <w:tc>
          <w:tcPr>
            <w:tcW w:w="705" w:type="pct"/>
            <w:tcBorders>
              <w:tl2br w:val="nil"/>
              <w:tr2bl w:val="nil"/>
            </w:tcBorders>
            <w:vAlign w:val="center"/>
          </w:tcPr>
          <w:p w14:paraId="3DA6238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3413C3E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47.50038</w:t>
            </w:r>
          </w:p>
        </w:tc>
        <w:tc>
          <w:tcPr>
            <w:tcW w:w="798" w:type="pct"/>
            <w:tcBorders>
              <w:tl2br w:val="nil"/>
              <w:tr2bl w:val="nil"/>
            </w:tcBorders>
            <w:vAlign w:val="center"/>
          </w:tcPr>
          <w:p w14:paraId="6A76811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24112913</w:t>
            </w:r>
          </w:p>
        </w:tc>
        <w:tc>
          <w:tcPr>
            <w:tcW w:w="783" w:type="pct"/>
            <w:tcBorders>
              <w:tl2br w:val="nil"/>
              <w:tr2bl w:val="nil"/>
            </w:tcBorders>
            <w:vAlign w:val="center"/>
          </w:tcPr>
          <w:p w14:paraId="436E5EA0">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13.19</w:t>
            </w:r>
          </w:p>
        </w:tc>
        <w:tc>
          <w:tcPr>
            <w:tcW w:w="625" w:type="pct"/>
            <w:tcBorders>
              <w:tl2br w:val="nil"/>
              <w:tr2bl w:val="nil"/>
            </w:tcBorders>
            <w:vAlign w:val="center"/>
          </w:tcPr>
          <w:p w14:paraId="5F7A01A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3E80E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3B535D41">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虎宝村</w:t>
            </w:r>
          </w:p>
        </w:tc>
        <w:tc>
          <w:tcPr>
            <w:tcW w:w="705" w:type="pct"/>
            <w:tcBorders>
              <w:tl2br w:val="nil"/>
              <w:tr2bl w:val="nil"/>
            </w:tcBorders>
            <w:vAlign w:val="center"/>
          </w:tcPr>
          <w:p w14:paraId="28441E0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31A394B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38.88942</w:t>
            </w:r>
          </w:p>
        </w:tc>
        <w:tc>
          <w:tcPr>
            <w:tcW w:w="798" w:type="pct"/>
            <w:tcBorders>
              <w:tl2br w:val="nil"/>
              <w:tr2bl w:val="nil"/>
            </w:tcBorders>
            <w:vAlign w:val="center"/>
          </w:tcPr>
          <w:p w14:paraId="0F25933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24112913</w:t>
            </w:r>
          </w:p>
        </w:tc>
        <w:tc>
          <w:tcPr>
            <w:tcW w:w="783" w:type="pct"/>
            <w:tcBorders>
              <w:tl2br w:val="nil"/>
              <w:tr2bl w:val="nil"/>
            </w:tcBorders>
            <w:vAlign w:val="center"/>
          </w:tcPr>
          <w:p w14:paraId="6AC1DA8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10.80</w:t>
            </w:r>
          </w:p>
        </w:tc>
        <w:tc>
          <w:tcPr>
            <w:tcW w:w="625" w:type="pct"/>
            <w:tcBorders>
              <w:tl2br w:val="nil"/>
              <w:tr2bl w:val="nil"/>
            </w:tcBorders>
            <w:vAlign w:val="center"/>
          </w:tcPr>
          <w:p w14:paraId="405C88F3">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达标</w:t>
            </w:r>
          </w:p>
        </w:tc>
      </w:tr>
      <w:tr w14:paraId="76245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3216F19D">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sz w:val="21"/>
                <w:szCs w:val="21"/>
              </w:rPr>
              <w:t>区域最大落地浓度</w:t>
            </w:r>
          </w:p>
        </w:tc>
        <w:tc>
          <w:tcPr>
            <w:tcW w:w="705" w:type="pct"/>
            <w:tcBorders>
              <w:tl2br w:val="nil"/>
              <w:tr2bl w:val="nil"/>
            </w:tcBorders>
            <w:vAlign w:val="center"/>
          </w:tcPr>
          <w:p w14:paraId="1F39D33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1小时平均</w:t>
            </w:r>
          </w:p>
        </w:tc>
        <w:tc>
          <w:tcPr>
            <w:tcW w:w="820" w:type="pct"/>
            <w:tcBorders>
              <w:tl2br w:val="nil"/>
              <w:tr2bl w:val="nil"/>
            </w:tcBorders>
            <w:vAlign w:val="center"/>
          </w:tcPr>
          <w:p w14:paraId="6078674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461.9109</w:t>
            </w:r>
          </w:p>
        </w:tc>
        <w:tc>
          <w:tcPr>
            <w:tcW w:w="798" w:type="pct"/>
            <w:tcBorders>
              <w:tl2br w:val="nil"/>
              <w:tr2bl w:val="nil"/>
            </w:tcBorders>
            <w:vAlign w:val="center"/>
          </w:tcPr>
          <w:p w14:paraId="4293328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24012618</w:t>
            </w:r>
          </w:p>
        </w:tc>
        <w:tc>
          <w:tcPr>
            <w:tcW w:w="783" w:type="pct"/>
            <w:tcBorders>
              <w:tl2br w:val="nil"/>
              <w:tr2bl w:val="nil"/>
            </w:tcBorders>
            <w:vAlign w:val="center"/>
          </w:tcPr>
          <w:p w14:paraId="0B7856D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128.31</w:t>
            </w:r>
          </w:p>
        </w:tc>
        <w:tc>
          <w:tcPr>
            <w:tcW w:w="625" w:type="pct"/>
            <w:tcBorders>
              <w:tl2br w:val="nil"/>
              <w:tr2bl w:val="nil"/>
            </w:tcBorders>
            <w:vAlign w:val="center"/>
          </w:tcPr>
          <w:p w14:paraId="117D278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hint="eastAsia" w:eastAsia="宋体" w:cs="Times New Roman"/>
                <w:color w:val="auto"/>
                <w:sz w:val="21"/>
                <w:szCs w:val="21"/>
                <w:lang w:val="en-US" w:eastAsia="zh-CN"/>
              </w:rPr>
              <w:t>超</w:t>
            </w:r>
            <w:r>
              <w:rPr>
                <w:rFonts w:eastAsia="宋体" w:cs="Times New Roman"/>
                <w:color w:val="auto"/>
                <w:sz w:val="21"/>
                <w:szCs w:val="21"/>
              </w:rPr>
              <w:t>标</w:t>
            </w:r>
          </w:p>
        </w:tc>
      </w:tr>
    </w:tbl>
    <w:p w14:paraId="25372B1F">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val="en-US" w:eastAsia="zh-CN"/>
        </w:rPr>
        <w:t>29</w:t>
      </w:r>
      <w:r>
        <w:rPr>
          <w:rFonts w:hint="eastAsia" w:ascii="Times New Roman" w:hAnsi="Times New Roman" w:eastAsia="宋体" w:cs="Times New Roman"/>
          <w:b/>
          <w:bCs/>
          <w:color w:val="auto"/>
          <w:sz w:val="24"/>
          <w:szCs w:val="24"/>
          <w:lang w:eastAsia="zh-CN"/>
        </w:rPr>
        <w:t xml:space="preserve">  2×42MW链条炉排热水锅炉非正常工况SO</w:t>
      </w:r>
      <w:r>
        <w:rPr>
          <w:rFonts w:hint="eastAsia" w:ascii="Times New Roman" w:hAnsi="Times New Roman" w:eastAsia="宋体" w:cs="Times New Roman"/>
          <w:b/>
          <w:bCs/>
          <w:color w:val="auto"/>
          <w:sz w:val="24"/>
          <w:szCs w:val="24"/>
          <w:vertAlign w:val="subscript"/>
          <w:lang w:eastAsia="zh-CN"/>
        </w:rPr>
        <w:t>2</w:t>
      </w:r>
      <w:r>
        <w:rPr>
          <w:rFonts w:hint="eastAsia" w:ascii="Times New Roman" w:hAnsi="Times New Roman" w:eastAsia="宋体" w:cs="Times New Roman"/>
          <w:b/>
          <w:bCs/>
          <w:color w:val="auto"/>
          <w:sz w:val="24"/>
          <w:szCs w:val="24"/>
          <w:lang w:eastAsia="zh-CN"/>
        </w:rPr>
        <w:t>预测结果表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9"/>
        <w:gridCol w:w="1202"/>
        <w:gridCol w:w="1398"/>
        <w:gridCol w:w="1361"/>
        <w:gridCol w:w="1335"/>
        <w:gridCol w:w="1067"/>
      </w:tblGrid>
      <w:tr w14:paraId="28537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78496DBC">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预测点</w:t>
            </w:r>
          </w:p>
        </w:tc>
        <w:tc>
          <w:tcPr>
            <w:tcW w:w="705" w:type="pct"/>
            <w:tcBorders>
              <w:tl2br w:val="nil"/>
              <w:tr2bl w:val="nil"/>
            </w:tcBorders>
            <w:vAlign w:val="center"/>
          </w:tcPr>
          <w:p w14:paraId="3C6E6151">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浓度类型</w:t>
            </w:r>
          </w:p>
        </w:tc>
        <w:tc>
          <w:tcPr>
            <w:tcW w:w="820" w:type="pct"/>
            <w:tcBorders>
              <w:tl2br w:val="nil"/>
              <w:tr2bl w:val="nil"/>
            </w:tcBorders>
            <w:vAlign w:val="center"/>
          </w:tcPr>
          <w:p w14:paraId="0A07E212">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贡献浓度</w:t>
            </w:r>
            <w:r>
              <w:rPr>
                <w:rFonts w:ascii="Times New Roman" w:hAnsi="Times New Roman" w:eastAsia="宋体" w:cs="Times New Roman"/>
                <w:color w:val="auto"/>
                <w:sz w:val="21"/>
                <w:szCs w:val="21"/>
              </w:rPr>
              <w:t>(ug/m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798" w:type="pct"/>
            <w:tcBorders>
              <w:tl2br w:val="nil"/>
              <w:tr2bl w:val="nil"/>
            </w:tcBorders>
            <w:vAlign w:val="center"/>
          </w:tcPr>
          <w:p w14:paraId="48AC91E6">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出现时间</w:t>
            </w:r>
          </w:p>
        </w:tc>
        <w:tc>
          <w:tcPr>
            <w:tcW w:w="783" w:type="pct"/>
            <w:tcBorders>
              <w:tl2br w:val="nil"/>
              <w:tr2bl w:val="nil"/>
            </w:tcBorders>
            <w:vAlign w:val="center"/>
          </w:tcPr>
          <w:p w14:paraId="54C8946C">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占标率（%）</w:t>
            </w:r>
          </w:p>
        </w:tc>
        <w:tc>
          <w:tcPr>
            <w:tcW w:w="625" w:type="pct"/>
            <w:tcBorders>
              <w:tl2br w:val="nil"/>
              <w:tr2bl w:val="nil"/>
            </w:tcBorders>
            <w:vAlign w:val="center"/>
          </w:tcPr>
          <w:p w14:paraId="2ECEAC2A">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达标情况</w:t>
            </w:r>
          </w:p>
        </w:tc>
      </w:tr>
      <w:tr w14:paraId="2EE81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67E8B0D6">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八五二农场场部</w:t>
            </w:r>
          </w:p>
        </w:tc>
        <w:tc>
          <w:tcPr>
            <w:tcW w:w="705" w:type="pct"/>
            <w:tcBorders>
              <w:tl2br w:val="nil"/>
              <w:tr2bl w:val="nil"/>
            </w:tcBorders>
            <w:vAlign w:val="center"/>
          </w:tcPr>
          <w:p w14:paraId="256D174E">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2A376D0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9.16796</w:t>
            </w:r>
          </w:p>
        </w:tc>
        <w:tc>
          <w:tcPr>
            <w:tcW w:w="798" w:type="pct"/>
            <w:tcBorders>
              <w:tl2br w:val="nil"/>
              <w:tr2bl w:val="nil"/>
            </w:tcBorders>
            <w:vAlign w:val="center"/>
          </w:tcPr>
          <w:p w14:paraId="093A9CCB">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24103012</w:t>
            </w:r>
          </w:p>
        </w:tc>
        <w:tc>
          <w:tcPr>
            <w:tcW w:w="783" w:type="pct"/>
            <w:tcBorders>
              <w:tl2br w:val="nil"/>
              <w:tr2bl w:val="nil"/>
            </w:tcBorders>
            <w:vAlign w:val="center"/>
          </w:tcPr>
          <w:p w14:paraId="20DB101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1.83</w:t>
            </w:r>
          </w:p>
        </w:tc>
        <w:tc>
          <w:tcPr>
            <w:tcW w:w="625" w:type="pct"/>
            <w:tcBorders>
              <w:tl2br w:val="nil"/>
              <w:tr2bl w:val="nil"/>
            </w:tcBorders>
            <w:vAlign w:val="center"/>
          </w:tcPr>
          <w:p w14:paraId="5C916B3D">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12E3B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29599BB1">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和平管理区</w:t>
            </w:r>
          </w:p>
        </w:tc>
        <w:tc>
          <w:tcPr>
            <w:tcW w:w="705" w:type="pct"/>
            <w:tcBorders>
              <w:tl2br w:val="nil"/>
              <w:tr2bl w:val="nil"/>
            </w:tcBorders>
            <w:vAlign w:val="center"/>
          </w:tcPr>
          <w:p w14:paraId="068E3212">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6D6CC09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10.71068</w:t>
            </w:r>
          </w:p>
        </w:tc>
        <w:tc>
          <w:tcPr>
            <w:tcW w:w="798" w:type="pct"/>
            <w:tcBorders>
              <w:tl2br w:val="nil"/>
              <w:tr2bl w:val="nil"/>
            </w:tcBorders>
            <w:vAlign w:val="center"/>
          </w:tcPr>
          <w:p w14:paraId="3D2C0D5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3561348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2.14</w:t>
            </w:r>
          </w:p>
        </w:tc>
        <w:tc>
          <w:tcPr>
            <w:tcW w:w="625" w:type="pct"/>
            <w:tcBorders>
              <w:tl2br w:val="nil"/>
              <w:tr2bl w:val="nil"/>
            </w:tcBorders>
            <w:vAlign w:val="center"/>
          </w:tcPr>
          <w:p w14:paraId="373A0D06">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5E72C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3B3BBF4D">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南林小区</w:t>
            </w:r>
          </w:p>
        </w:tc>
        <w:tc>
          <w:tcPr>
            <w:tcW w:w="705" w:type="pct"/>
            <w:tcBorders>
              <w:tl2br w:val="nil"/>
              <w:tr2bl w:val="nil"/>
            </w:tcBorders>
            <w:vAlign w:val="center"/>
          </w:tcPr>
          <w:p w14:paraId="2ABA3B68">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00326622">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7.64365</w:t>
            </w:r>
          </w:p>
        </w:tc>
        <w:tc>
          <w:tcPr>
            <w:tcW w:w="798" w:type="pct"/>
            <w:tcBorders>
              <w:tl2br w:val="nil"/>
              <w:tr2bl w:val="nil"/>
            </w:tcBorders>
            <w:vAlign w:val="center"/>
          </w:tcPr>
          <w:p w14:paraId="2DD666D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24100709</w:t>
            </w:r>
          </w:p>
        </w:tc>
        <w:tc>
          <w:tcPr>
            <w:tcW w:w="783" w:type="pct"/>
            <w:tcBorders>
              <w:tl2br w:val="nil"/>
              <w:tr2bl w:val="nil"/>
            </w:tcBorders>
            <w:vAlign w:val="center"/>
          </w:tcPr>
          <w:p w14:paraId="75724892">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1.53</w:t>
            </w:r>
          </w:p>
        </w:tc>
        <w:tc>
          <w:tcPr>
            <w:tcW w:w="625" w:type="pct"/>
            <w:tcBorders>
              <w:tl2br w:val="nil"/>
              <w:tr2bl w:val="nil"/>
            </w:tcBorders>
            <w:vAlign w:val="center"/>
          </w:tcPr>
          <w:p w14:paraId="32F25B74">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5A55A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184705FD">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八五二农场四分场</w:t>
            </w:r>
          </w:p>
        </w:tc>
        <w:tc>
          <w:tcPr>
            <w:tcW w:w="705" w:type="pct"/>
            <w:tcBorders>
              <w:tl2br w:val="nil"/>
              <w:tr2bl w:val="nil"/>
            </w:tcBorders>
            <w:vAlign w:val="center"/>
          </w:tcPr>
          <w:p w14:paraId="6AB7BA9B">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3F0E1A3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4.65444</w:t>
            </w:r>
          </w:p>
        </w:tc>
        <w:tc>
          <w:tcPr>
            <w:tcW w:w="798" w:type="pct"/>
            <w:tcBorders>
              <w:tl2br w:val="nil"/>
              <w:tr2bl w:val="nil"/>
            </w:tcBorders>
            <w:vAlign w:val="center"/>
          </w:tcPr>
          <w:p w14:paraId="09588820">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293D928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0.93</w:t>
            </w:r>
          </w:p>
        </w:tc>
        <w:tc>
          <w:tcPr>
            <w:tcW w:w="625" w:type="pct"/>
            <w:tcBorders>
              <w:tl2br w:val="nil"/>
              <w:tr2bl w:val="nil"/>
            </w:tcBorders>
            <w:vAlign w:val="center"/>
          </w:tcPr>
          <w:p w14:paraId="0863EE26">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2EC25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1C8F54D8">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八五二农场副业队</w:t>
            </w:r>
          </w:p>
        </w:tc>
        <w:tc>
          <w:tcPr>
            <w:tcW w:w="705" w:type="pct"/>
            <w:tcBorders>
              <w:tl2br w:val="nil"/>
              <w:tr2bl w:val="nil"/>
            </w:tcBorders>
            <w:vAlign w:val="center"/>
          </w:tcPr>
          <w:p w14:paraId="3E2B518F">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22952D8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7.0795</w:t>
            </w:r>
          </w:p>
        </w:tc>
        <w:tc>
          <w:tcPr>
            <w:tcW w:w="798" w:type="pct"/>
            <w:tcBorders>
              <w:tl2br w:val="nil"/>
              <w:tr2bl w:val="nil"/>
            </w:tcBorders>
            <w:vAlign w:val="center"/>
          </w:tcPr>
          <w:p w14:paraId="0C49082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40304FA0">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1.42</w:t>
            </w:r>
          </w:p>
        </w:tc>
        <w:tc>
          <w:tcPr>
            <w:tcW w:w="625" w:type="pct"/>
            <w:tcBorders>
              <w:tl2br w:val="nil"/>
              <w:tr2bl w:val="nil"/>
            </w:tcBorders>
            <w:vAlign w:val="center"/>
          </w:tcPr>
          <w:p w14:paraId="14ECB8F0">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21661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55E1E942">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八五二农场种畜站</w:t>
            </w:r>
          </w:p>
        </w:tc>
        <w:tc>
          <w:tcPr>
            <w:tcW w:w="705" w:type="pct"/>
            <w:tcBorders>
              <w:tl2br w:val="nil"/>
              <w:tr2bl w:val="nil"/>
            </w:tcBorders>
            <w:vAlign w:val="center"/>
          </w:tcPr>
          <w:p w14:paraId="1BEA84F3">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7B0B686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4.27803</w:t>
            </w:r>
          </w:p>
        </w:tc>
        <w:tc>
          <w:tcPr>
            <w:tcW w:w="798" w:type="pct"/>
            <w:tcBorders>
              <w:tl2br w:val="nil"/>
              <w:tr2bl w:val="nil"/>
            </w:tcBorders>
            <w:vAlign w:val="center"/>
          </w:tcPr>
          <w:p w14:paraId="4902DDC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24032108</w:t>
            </w:r>
          </w:p>
        </w:tc>
        <w:tc>
          <w:tcPr>
            <w:tcW w:w="783" w:type="pct"/>
            <w:tcBorders>
              <w:tl2br w:val="nil"/>
              <w:tr2bl w:val="nil"/>
            </w:tcBorders>
            <w:vAlign w:val="center"/>
          </w:tcPr>
          <w:p w14:paraId="3398D52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0.86</w:t>
            </w:r>
          </w:p>
        </w:tc>
        <w:tc>
          <w:tcPr>
            <w:tcW w:w="625" w:type="pct"/>
            <w:tcBorders>
              <w:tl2br w:val="nil"/>
              <w:tr2bl w:val="nil"/>
            </w:tcBorders>
            <w:vAlign w:val="center"/>
          </w:tcPr>
          <w:p w14:paraId="719C8D72">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2A7D8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2A69D765">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迎春林业局光明林场</w:t>
            </w:r>
          </w:p>
        </w:tc>
        <w:tc>
          <w:tcPr>
            <w:tcW w:w="705" w:type="pct"/>
            <w:tcBorders>
              <w:tl2br w:val="nil"/>
              <w:tr2bl w:val="nil"/>
            </w:tcBorders>
            <w:vAlign w:val="center"/>
          </w:tcPr>
          <w:p w14:paraId="09B1152C">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7DBA4DE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3.9741</w:t>
            </w:r>
          </w:p>
        </w:tc>
        <w:tc>
          <w:tcPr>
            <w:tcW w:w="798" w:type="pct"/>
            <w:tcBorders>
              <w:tl2br w:val="nil"/>
              <w:tr2bl w:val="nil"/>
            </w:tcBorders>
            <w:vAlign w:val="center"/>
          </w:tcPr>
          <w:p w14:paraId="6A8FCA2B">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24112910</w:t>
            </w:r>
          </w:p>
        </w:tc>
        <w:tc>
          <w:tcPr>
            <w:tcW w:w="783" w:type="pct"/>
            <w:tcBorders>
              <w:tl2br w:val="nil"/>
              <w:tr2bl w:val="nil"/>
            </w:tcBorders>
            <w:vAlign w:val="center"/>
          </w:tcPr>
          <w:p w14:paraId="3C9B471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0.79</w:t>
            </w:r>
          </w:p>
        </w:tc>
        <w:tc>
          <w:tcPr>
            <w:tcW w:w="625" w:type="pct"/>
            <w:tcBorders>
              <w:tl2br w:val="nil"/>
              <w:tr2bl w:val="nil"/>
            </w:tcBorders>
            <w:vAlign w:val="center"/>
          </w:tcPr>
          <w:p w14:paraId="6E197825">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6E8AB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60610108">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虎宝工厂南林工段</w:t>
            </w:r>
          </w:p>
        </w:tc>
        <w:tc>
          <w:tcPr>
            <w:tcW w:w="705" w:type="pct"/>
            <w:tcBorders>
              <w:tl2br w:val="nil"/>
              <w:tr2bl w:val="nil"/>
            </w:tcBorders>
            <w:vAlign w:val="center"/>
          </w:tcPr>
          <w:p w14:paraId="4E59CB0A">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44274630">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3.86931</w:t>
            </w:r>
          </w:p>
        </w:tc>
        <w:tc>
          <w:tcPr>
            <w:tcW w:w="798" w:type="pct"/>
            <w:tcBorders>
              <w:tl2br w:val="nil"/>
              <w:tr2bl w:val="nil"/>
            </w:tcBorders>
            <w:vAlign w:val="center"/>
          </w:tcPr>
          <w:p w14:paraId="736FA4A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24112913</w:t>
            </w:r>
          </w:p>
        </w:tc>
        <w:tc>
          <w:tcPr>
            <w:tcW w:w="783" w:type="pct"/>
            <w:tcBorders>
              <w:tl2br w:val="nil"/>
              <w:tr2bl w:val="nil"/>
            </w:tcBorders>
            <w:vAlign w:val="center"/>
          </w:tcPr>
          <w:p w14:paraId="6FAD1703">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0.77</w:t>
            </w:r>
          </w:p>
        </w:tc>
        <w:tc>
          <w:tcPr>
            <w:tcW w:w="625" w:type="pct"/>
            <w:tcBorders>
              <w:tl2br w:val="nil"/>
              <w:tr2bl w:val="nil"/>
            </w:tcBorders>
            <w:vAlign w:val="center"/>
          </w:tcPr>
          <w:p w14:paraId="6B8C8A73">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677D4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38B9B215">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虎宝村</w:t>
            </w:r>
          </w:p>
        </w:tc>
        <w:tc>
          <w:tcPr>
            <w:tcW w:w="705" w:type="pct"/>
            <w:tcBorders>
              <w:tl2br w:val="nil"/>
              <w:tr2bl w:val="nil"/>
            </w:tcBorders>
            <w:vAlign w:val="center"/>
          </w:tcPr>
          <w:p w14:paraId="5AB69D20">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19B66BD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3.16788</w:t>
            </w:r>
          </w:p>
        </w:tc>
        <w:tc>
          <w:tcPr>
            <w:tcW w:w="798" w:type="pct"/>
            <w:tcBorders>
              <w:tl2br w:val="nil"/>
              <w:tr2bl w:val="nil"/>
            </w:tcBorders>
            <w:vAlign w:val="center"/>
          </w:tcPr>
          <w:p w14:paraId="6DE6D19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24112913</w:t>
            </w:r>
          </w:p>
        </w:tc>
        <w:tc>
          <w:tcPr>
            <w:tcW w:w="783" w:type="pct"/>
            <w:tcBorders>
              <w:tl2br w:val="nil"/>
              <w:tr2bl w:val="nil"/>
            </w:tcBorders>
            <w:vAlign w:val="center"/>
          </w:tcPr>
          <w:p w14:paraId="4A64823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0.63</w:t>
            </w:r>
          </w:p>
        </w:tc>
        <w:tc>
          <w:tcPr>
            <w:tcW w:w="625" w:type="pct"/>
            <w:tcBorders>
              <w:tl2br w:val="nil"/>
              <w:tr2bl w:val="nil"/>
            </w:tcBorders>
            <w:vAlign w:val="center"/>
          </w:tcPr>
          <w:p w14:paraId="116AB181">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25B83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0E8A3584">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sz w:val="21"/>
                <w:szCs w:val="21"/>
              </w:rPr>
              <w:t>区域最大落地浓度</w:t>
            </w:r>
          </w:p>
        </w:tc>
        <w:tc>
          <w:tcPr>
            <w:tcW w:w="705" w:type="pct"/>
            <w:tcBorders>
              <w:tl2br w:val="nil"/>
              <w:tr2bl w:val="nil"/>
            </w:tcBorders>
            <w:vAlign w:val="center"/>
          </w:tcPr>
          <w:p w14:paraId="38D6F573">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1小时平均</w:t>
            </w:r>
          </w:p>
        </w:tc>
        <w:tc>
          <w:tcPr>
            <w:tcW w:w="820" w:type="pct"/>
            <w:tcBorders>
              <w:tl2br w:val="nil"/>
              <w:tr2bl w:val="nil"/>
            </w:tcBorders>
            <w:vAlign w:val="center"/>
          </w:tcPr>
          <w:p w14:paraId="64B0B803">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37.62662</w:t>
            </w:r>
          </w:p>
        </w:tc>
        <w:tc>
          <w:tcPr>
            <w:tcW w:w="798" w:type="pct"/>
            <w:tcBorders>
              <w:tl2br w:val="nil"/>
              <w:tr2bl w:val="nil"/>
            </w:tcBorders>
            <w:vAlign w:val="center"/>
          </w:tcPr>
          <w:p w14:paraId="00A521F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24012618</w:t>
            </w:r>
          </w:p>
        </w:tc>
        <w:tc>
          <w:tcPr>
            <w:tcW w:w="783" w:type="pct"/>
            <w:tcBorders>
              <w:tl2br w:val="nil"/>
              <w:tr2bl w:val="nil"/>
            </w:tcBorders>
            <w:vAlign w:val="center"/>
          </w:tcPr>
          <w:p w14:paraId="303D2E0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7.53</w:t>
            </w:r>
          </w:p>
        </w:tc>
        <w:tc>
          <w:tcPr>
            <w:tcW w:w="625" w:type="pct"/>
            <w:tcBorders>
              <w:tl2br w:val="nil"/>
              <w:tr2bl w:val="nil"/>
            </w:tcBorders>
            <w:vAlign w:val="center"/>
          </w:tcPr>
          <w:p w14:paraId="179459F9">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bl>
    <w:p w14:paraId="4D252459">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表6.2-3</w:t>
      </w:r>
      <w:r>
        <w:rPr>
          <w:rFonts w:hint="eastAsia" w:ascii="Times New Roman" w:hAnsi="Times New Roman" w:eastAsia="宋体" w:cs="Times New Roman"/>
          <w:b/>
          <w:bCs/>
          <w:color w:val="auto"/>
          <w:sz w:val="24"/>
          <w:szCs w:val="24"/>
          <w:lang w:val="en-US" w:eastAsia="zh-CN"/>
        </w:rPr>
        <w:t>0</w:t>
      </w:r>
      <w:r>
        <w:rPr>
          <w:rFonts w:hint="eastAsia" w:ascii="Times New Roman" w:hAnsi="Times New Roman" w:eastAsia="宋体" w:cs="Times New Roman"/>
          <w:b/>
          <w:bCs/>
          <w:color w:val="auto"/>
          <w:sz w:val="24"/>
          <w:szCs w:val="24"/>
          <w:lang w:eastAsia="zh-CN"/>
        </w:rPr>
        <w:t xml:space="preserve">  2×42MW链条炉排热水锅炉非正常工况NO</w:t>
      </w:r>
      <w:r>
        <w:rPr>
          <w:rFonts w:hint="eastAsia" w:ascii="Times New Roman" w:hAnsi="Times New Roman" w:eastAsia="宋体" w:cs="Times New Roman"/>
          <w:b/>
          <w:bCs/>
          <w:color w:val="auto"/>
          <w:sz w:val="24"/>
          <w:szCs w:val="24"/>
          <w:vertAlign w:val="subscript"/>
          <w:lang w:eastAsia="zh-CN"/>
        </w:rPr>
        <w:t>2</w:t>
      </w:r>
      <w:r>
        <w:rPr>
          <w:rFonts w:hint="eastAsia" w:ascii="Times New Roman" w:hAnsi="Times New Roman" w:eastAsia="宋体" w:cs="Times New Roman"/>
          <w:b/>
          <w:bCs/>
          <w:color w:val="auto"/>
          <w:sz w:val="24"/>
          <w:szCs w:val="24"/>
          <w:lang w:eastAsia="zh-CN"/>
        </w:rPr>
        <w:t>预测结果表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9"/>
        <w:gridCol w:w="1202"/>
        <w:gridCol w:w="1398"/>
        <w:gridCol w:w="1361"/>
        <w:gridCol w:w="1335"/>
        <w:gridCol w:w="1067"/>
      </w:tblGrid>
      <w:tr w14:paraId="4BE4A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03016DC2">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预测点</w:t>
            </w:r>
          </w:p>
        </w:tc>
        <w:tc>
          <w:tcPr>
            <w:tcW w:w="705" w:type="pct"/>
            <w:tcBorders>
              <w:tl2br w:val="nil"/>
              <w:tr2bl w:val="nil"/>
            </w:tcBorders>
            <w:vAlign w:val="center"/>
          </w:tcPr>
          <w:p w14:paraId="583AB043">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浓度类型</w:t>
            </w:r>
          </w:p>
        </w:tc>
        <w:tc>
          <w:tcPr>
            <w:tcW w:w="820" w:type="pct"/>
            <w:tcBorders>
              <w:tl2br w:val="nil"/>
              <w:tr2bl w:val="nil"/>
            </w:tcBorders>
            <w:vAlign w:val="center"/>
          </w:tcPr>
          <w:p w14:paraId="65CE7130">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贡献浓度</w:t>
            </w:r>
            <w:r>
              <w:rPr>
                <w:rFonts w:ascii="Times New Roman" w:hAnsi="Times New Roman" w:eastAsia="宋体" w:cs="Times New Roman"/>
                <w:color w:val="auto"/>
                <w:sz w:val="21"/>
                <w:szCs w:val="21"/>
              </w:rPr>
              <w:t>(ug/m</w:t>
            </w:r>
            <w:r>
              <w:rPr>
                <w:rFonts w:ascii="Times New Roman" w:hAnsi="Times New Roman" w:eastAsia="宋体" w:cs="Times New Roman"/>
                <w:color w:val="auto"/>
                <w:sz w:val="21"/>
                <w:szCs w:val="21"/>
                <w:vertAlign w:val="superscript"/>
              </w:rPr>
              <w:t>3</w:t>
            </w:r>
            <w:r>
              <w:rPr>
                <w:rFonts w:ascii="Times New Roman" w:hAnsi="Times New Roman" w:eastAsia="宋体" w:cs="Times New Roman"/>
                <w:color w:val="auto"/>
                <w:sz w:val="21"/>
                <w:szCs w:val="21"/>
              </w:rPr>
              <w:t>)</w:t>
            </w:r>
          </w:p>
        </w:tc>
        <w:tc>
          <w:tcPr>
            <w:tcW w:w="798" w:type="pct"/>
            <w:tcBorders>
              <w:tl2br w:val="nil"/>
              <w:tr2bl w:val="nil"/>
            </w:tcBorders>
            <w:vAlign w:val="center"/>
          </w:tcPr>
          <w:p w14:paraId="645EB234">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出现时间</w:t>
            </w:r>
          </w:p>
        </w:tc>
        <w:tc>
          <w:tcPr>
            <w:tcW w:w="783" w:type="pct"/>
            <w:tcBorders>
              <w:tl2br w:val="nil"/>
              <w:tr2bl w:val="nil"/>
            </w:tcBorders>
            <w:vAlign w:val="center"/>
          </w:tcPr>
          <w:p w14:paraId="77C838AF">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占标率（%）</w:t>
            </w:r>
          </w:p>
        </w:tc>
        <w:tc>
          <w:tcPr>
            <w:tcW w:w="625" w:type="pct"/>
            <w:tcBorders>
              <w:tl2br w:val="nil"/>
              <w:tr2bl w:val="nil"/>
            </w:tcBorders>
            <w:vAlign w:val="center"/>
          </w:tcPr>
          <w:p w14:paraId="3E397EC8">
            <w:pPr>
              <w:keepNext w:val="0"/>
              <w:keepLines w:val="0"/>
              <w:pageBreakBefore w:val="0"/>
              <w:widowControl/>
              <w:kinsoku/>
              <w:wordWrap/>
              <w:overflowPunct/>
              <w:topLinePunct w:val="0"/>
              <w:autoSpaceDE/>
              <w:autoSpaceDN/>
              <w:bidi w:val="0"/>
              <w:snapToGrid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达标情况</w:t>
            </w:r>
          </w:p>
        </w:tc>
      </w:tr>
      <w:tr w14:paraId="0134E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1E73E4E0">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八五二农场场部</w:t>
            </w:r>
          </w:p>
        </w:tc>
        <w:tc>
          <w:tcPr>
            <w:tcW w:w="705" w:type="pct"/>
            <w:tcBorders>
              <w:tl2br w:val="nil"/>
              <w:tr2bl w:val="nil"/>
            </w:tcBorders>
            <w:vAlign w:val="center"/>
          </w:tcPr>
          <w:p w14:paraId="4F083816">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5E4E613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12.57916</w:t>
            </w:r>
          </w:p>
        </w:tc>
        <w:tc>
          <w:tcPr>
            <w:tcW w:w="798" w:type="pct"/>
            <w:tcBorders>
              <w:tl2br w:val="nil"/>
              <w:tr2bl w:val="nil"/>
            </w:tcBorders>
            <w:vAlign w:val="center"/>
          </w:tcPr>
          <w:p w14:paraId="7416A02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24103012</w:t>
            </w:r>
          </w:p>
        </w:tc>
        <w:tc>
          <w:tcPr>
            <w:tcW w:w="783" w:type="pct"/>
            <w:tcBorders>
              <w:tl2br w:val="nil"/>
              <w:tr2bl w:val="nil"/>
            </w:tcBorders>
            <w:vAlign w:val="center"/>
          </w:tcPr>
          <w:p w14:paraId="17AA23A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6.29</w:t>
            </w:r>
          </w:p>
        </w:tc>
        <w:tc>
          <w:tcPr>
            <w:tcW w:w="625" w:type="pct"/>
            <w:tcBorders>
              <w:tl2br w:val="nil"/>
              <w:tr2bl w:val="nil"/>
            </w:tcBorders>
            <w:vAlign w:val="center"/>
          </w:tcPr>
          <w:p w14:paraId="4D514510">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6BC3A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23450973">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和平管理区</w:t>
            </w:r>
          </w:p>
        </w:tc>
        <w:tc>
          <w:tcPr>
            <w:tcW w:w="705" w:type="pct"/>
            <w:tcBorders>
              <w:tl2br w:val="nil"/>
              <w:tr2bl w:val="nil"/>
            </w:tcBorders>
            <w:vAlign w:val="center"/>
          </w:tcPr>
          <w:p w14:paraId="7236CA88">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60F039D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14.69589</w:t>
            </w:r>
          </w:p>
        </w:tc>
        <w:tc>
          <w:tcPr>
            <w:tcW w:w="798" w:type="pct"/>
            <w:tcBorders>
              <w:tl2br w:val="nil"/>
              <w:tr2bl w:val="nil"/>
            </w:tcBorders>
            <w:vAlign w:val="center"/>
          </w:tcPr>
          <w:p w14:paraId="3E6FA1D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33EF316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7.35</w:t>
            </w:r>
          </w:p>
        </w:tc>
        <w:tc>
          <w:tcPr>
            <w:tcW w:w="625" w:type="pct"/>
            <w:tcBorders>
              <w:tl2br w:val="nil"/>
              <w:tr2bl w:val="nil"/>
            </w:tcBorders>
            <w:vAlign w:val="center"/>
          </w:tcPr>
          <w:p w14:paraId="62CDDC1D">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4C3E3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47C115CF">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南林小区</w:t>
            </w:r>
          </w:p>
        </w:tc>
        <w:tc>
          <w:tcPr>
            <w:tcW w:w="705" w:type="pct"/>
            <w:tcBorders>
              <w:tl2br w:val="nil"/>
              <w:tr2bl w:val="nil"/>
            </w:tcBorders>
            <w:vAlign w:val="center"/>
          </w:tcPr>
          <w:p w14:paraId="48641A49">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529CED7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10.48768</w:t>
            </w:r>
          </w:p>
        </w:tc>
        <w:tc>
          <w:tcPr>
            <w:tcW w:w="798" w:type="pct"/>
            <w:tcBorders>
              <w:tl2br w:val="nil"/>
              <w:tr2bl w:val="nil"/>
            </w:tcBorders>
            <w:vAlign w:val="center"/>
          </w:tcPr>
          <w:p w14:paraId="491ABF3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24100709</w:t>
            </w:r>
          </w:p>
        </w:tc>
        <w:tc>
          <w:tcPr>
            <w:tcW w:w="783" w:type="pct"/>
            <w:tcBorders>
              <w:tl2br w:val="nil"/>
              <w:tr2bl w:val="nil"/>
            </w:tcBorders>
            <w:vAlign w:val="center"/>
          </w:tcPr>
          <w:p w14:paraId="1D591FD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5.24</w:t>
            </w:r>
          </w:p>
        </w:tc>
        <w:tc>
          <w:tcPr>
            <w:tcW w:w="625" w:type="pct"/>
            <w:tcBorders>
              <w:tl2br w:val="nil"/>
              <w:tr2bl w:val="nil"/>
            </w:tcBorders>
            <w:vAlign w:val="center"/>
          </w:tcPr>
          <w:p w14:paraId="10A4996F">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1A183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4BDF3984">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八五二农场四分场</w:t>
            </w:r>
          </w:p>
        </w:tc>
        <w:tc>
          <w:tcPr>
            <w:tcW w:w="705" w:type="pct"/>
            <w:tcBorders>
              <w:tl2br w:val="nil"/>
              <w:tr2bl w:val="nil"/>
            </w:tcBorders>
            <w:vAlign w:val="center"/>
          </w:tcPr>
          <w:p w14:paraId="69DF7775">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4B296D82">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6.38625</w:t>
            </w:r>
          </w:p>
        </w:tc>
        <w:tc>
          <w:tcPr>
            <w:tcW w:w="798" w:type="pct"/>
            <w:tcBorders>
              <w:tl2br w:val="nil"/>
              <w:tr2bl w:val="nil"/>
            </w:tcBorders>
            <w:vAlign w:val="center"/>
          </w:tcPr>
          <w:p w14:paraId="5E47EB7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31608D8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3.19</w:t>
            </w:r>
          </w:p>
        </w:tc>
        <w:tc>
          <w:tcPr>
            <w:tcW w:w="625" w:type="pct"/>
            <w:tcBorders>
              <w:tl2br w:val="nil"/>
              <w:tr2bl w:val="nil"/>
            </w:tcBorders>
            <w:vAlign w:val="center"/>
          </w:tcPr>
          <w:p w14:paraId="73DDA5A4">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638B5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267DF79F">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八五二农场副业队</w:t>
            </w:r>
          </w:p>
        </w:tc>
        <w:tc>
          <w:tcPr>
            <w:tcW w:w="705" w:type="pct"/>
            <w:tcBorders>
              <w:tl2br w:val="nil"/>
              <w:tr2bl w:val="nil"/>
            </w:tcBorders>
            <w:vAlign w:val="center"/>
          </w:tcPr>
          <w:p w14:paraId="18ECCEAE">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172DCF82">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9.71364</w:t>
            </w:r>
          </w:p>
        </w:tc>
        <w:tc>
          <w:tcPr>
            <w:tcW w:w="798" w:type="pct"/>
            <w:tcBorders>
              <w:tl2br w:val="nil"/>
              <w:tr2bl w:val="nil"/>
            </w:tcBorders>
            <w:vAlign w:val="center"/>
          </w:tcPr>
          <w:p w14:paraId="1520C8A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24123111</w:t>
            </w:r>
          </w:p>
        </w:tc>
        <w:tc>
          <w:tcPr>
            <w:tcW w:w="783" w:type="pct"/>
            <w:tcBorders>
              <w:tl2br w:val="nil"/>
              <w:tr2bl w:val="nil"/>
            </w:tcBorders>
            <w:vAlign w:val="center"/>
          </w:tcPr>
          <w:p w14:paraId="44BFA24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4.86</w:t>
            </w:r>
          </w:p>
        </w:tc>
        <w:tc>
          <w:tcPr>
            <w:tcW w:w="625" w:type="pct"/>
            <w:tcBorders>
              <w:tl2br w:val="nil"/>
              <w:tr2bl w:val="nil"/>
            </w:tcBorders>
            <w:vAlign w:val="center"/>
          </w:tcPr>
          <w:p w14:paraId="2F9FB350">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683AA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6ED17F5B">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八五二农场种畜站</w:t>
            </w:r>
          </w:p>
        </w:tc>
        <w:tc>
          <w:tcPr>
            <w:tcW w:w="705" w:type="pct"/>
            <w:tcBorders>
              <w:tl2br w:val="nil"/>
              <w:tr2bl w:val="nil"/>
            </w:tcBorders>
            <w:vAlign w:val="center"/>
          </w:tcPr>
          <w:p w14:paraId="7FA8A138">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5D8B573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5.86979</w:t>
            </w:r>
          </w:p>
        </w:tc>
        <w:tc>
          <w:tcPr>
            <w:tcW w:w="798" w:type="pct"/>
            <w:tcBorders>
              <w:tl2br w:val="nil"/>
              <w:tr2bl w:val="nil"/>
            </w:tcBorders>
            <w:vAlign w:val="center"/>
          </w:tcPr>
          <w:p w14:paraId="314DE84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24032108</w:t>
            </w:r>
          </w:p>
        </w:tc>
        <w:tc>
          <w:tcPr>
            <w:tcW w:w="783" w:type="pct"/>
            <w:tcBorders>
              <w:tl2br w:val="nil"/>
              <w:tr2bl w:val="nil"/>
            </w:tcBorders>
            <w:vAlign w:val="center"/>
          </w:tcPr>
          <w:p w14:paraId="3E26782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2.93</w:t>
            </w:r>
          </w:p>
        </w:tc>
        <w:tc>
          <w:tcPr>
            <w:tcW w:w="625" w:type="pct"/>
            <w:tcBorders>
              <w:tl2br w:val="nil"/>
              <w:tr2bl w:val="nil"/>
            </w:tcBorders>
            <w:vAlign w:val="center"/>
          </w:tcPr>
          <w:p w14:paraId="0775AEB3">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7B7B0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7C789098">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迎春林业局光明林场</w:t>
            </w:r>
          </w:p>
        </w:tc>
        <w:tc>
          <w:tcPr>
            <w:tcW w:w="705" w:type="pct"/>
            <w:tcBorders>
              <w:tl2br w:val="nil"/>
              <w:tr2bl w:val="nil"/>
            </w:tcBorders>
            <w:vAlign w:val="center"/>
          </w:tcPr>
          <w:p w14:paraId="6FFD6FA8">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447760E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5.45277</w:t>
            </w:r>
          </w:p>
        </w:tc>
        <w:tc>
          <w:tcPr>
            <w:tcW w:w="798" w:type="pct"/>
            <w:tcBorders>
              <w:tl2br w:val="nil"/>
              <w:tr2bl w:val="nil"/>
            </w:tcBorders>
            <w:vAlign w:val="center"/>
          </w:tcPr>
          <w:p w14:paraId="0A37BED8">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24112910</w:t>
            </w:r>
          </w:p>
        </w:tc>
        <w:tc>
          <w:tcPr>
            <w:tcW w:w="783" w:type="pct"/>
            <w:tcBorders>
              <w:tl2br w:val="nil"/>
              <w:tr2bl w:val="nil"/>
            </w:tcBorders>
            <w:vAlign w:val="center"/>
          </w:tcPr>
          <w:p w14:paraId="5C581DA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2.73</w:t>
            </w:r>
          </w:p>
        </w:tc>
        <w:tc>
          <w:tcPr>
            <w:tcW w:w="625" w:type="pct"/>
            <w:tcBorders>
              <w:tl2br w:val="nil"/>
              <w:tr2bl w:val="nil"/>
            </w:tcBorders>
            <w:vAlign w:val="center"/>
          </w:tcPr>
          <w:p w14:paraId="0DAB713E">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0911D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7803789F">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虎宝工厂南林工段</w:t>
            </w:r>
          </w:p>
        </w:tc>
        <w:tc>
          <w:tcPr>
            <w:tcW w:w="705" w:type="pct"/>
            <w:tcBorders>
              <w:tl2br w:val="nil"/>
              <w:tr2bl w:val="nil"/>
            </w:tcBorders>
            <w:vAlign w:val="center"/>
          </w:tcPr>
          <w:p w14:paraId="54DAA8AA">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55F16F3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5.309</w:t>
            </w:r>
          </w:p>
        </w:tc>
        <w:tc>
          <w:tcPr>
            <w:tcW w:w="798" w:type="pct"/>
            <w:tcBorders>
              <w:tl2br w:val="nil"/>
              <w:tr2bl w:val="nil"/>
            </w:tcBorders>
            <w:vAlign w:val="center"/>
          </w:tcPr>
          <w:p w14:paraId="4E916F52">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24112913</w:t>
            </w:r>
          </w:p>
        </w:tc>
        <w:tc>
          <w:tcPr>
            <w:tcW w:w="783" w:type="pct"/>
            <w:tcBorders>
              <w:tl2br w:val="nil"/>
              <w:tr2bl w:val="nil"/>
            </w:tcBorders>
            <w:vAlign w:val="center"/>
          </w:tcPr>
          <w:p w14:paraId="355079B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2.65</w:t>
            </w:r>
          </w:p>
        </w:tc>
        <w:tc>
          <w:tcPr>
            <w:tcW w:w="625" w:type="pct"/>
            <w:tcBorders>
              <w:tl2br w:val="nil"/>
              <w:tr2bl w:val="nil"/>
            </w:tcBorders>
            <w:vAlign w:val="center"/>
          </w:tcPr>
          <w:p w14:paraId="1377D8A2">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7C85C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5DDD21D5">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rPr>
              <w:t>虎宝村</w:t>
            </w:r>
          </w:p>
        </w:tc>
        <w:tc>
          <w:tcPr>
            <w:tcW w:w="705" w:type="pct"/>
            <w:tcBorders>
              <w:tl2br w:val="nil"/>
              <w:tr2bl w:val="nil"/>
            </w:tcBorders>
            <w:vAlign w:val="center"/>
          </w:tcPr>
          <w:p w14:paraId="7BEE666F">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310046B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4.34658</w:t>
            </w:r>
          </w:p>
        </w:tc>
        <w:tc>
          <w:tcPr>
            <w:tcW w:w="798" w:type="pct"/>
            <w:tcBorders>
              <w:tl2br w:val="nil"/>
              <w:tr2bl w:val="nil"/>
            </w:tcBorders>
            <w:vAlign w:val="center"/>
          </w:tcPr>
          <w:p w14:paraId="1F922F2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24112913</w:t>
            </w:r>
          </w:p>
        </w:tc>
        <w:tc>
          <w:tcPr>
            <w:tcW w:w="783" w:type="pct"/>
            <w:tcBorders>
              <w:tl2br w:val="nil"/>
              <w:tr2bl w:val="nil"/>
            </w:tcBorders>
            <w:vAlign w:val="center"/>
          </w:tcPr>
          <w:p w14:paraId="23107AC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2.17</w:t>
            </w:r>
          </w:p>
        </w:tc>
        <w:tc>
          <w:tcPr>
            <w:tcW w:w="625" w:type="pct"/>
            <w:tcBorders>
              <w:tl2br w:val="nil"/>
              <w:tr2bl w:val="nil"/>
            </w:tcBorders>
            <w:vAlign w:val="center"/>
          </w:tcPr>
          <w:p w14:paraId="1D9ED73E">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r w14:paraId="7B3C0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66" w:type="pct"/>
            <w:tcBorders>
              <w:tl2br w:val="nil"/>
              <w:tr2bl w:val="nil"/>
            </w:tcBorders>
            <w:vAlign w:val="center"/>
          </w:tcPr>
          <w:p w14:paraId="071C6994">
            <w:pPr>
              <w:keepNext w:val="0"/>
              <w:keepLines w:val="0"/>
              <w:pageBreakBefore w:val="0"/>
              <w:kinsoku/>
              <w:wordWrap/>
              <w:overflowPunct/>
              <w:topLinePunct w:val="0"/>
              <w:autoSpaceDE/>
              <w:autoSpaceDN/>
              <w:bidi w:val="0"/>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sz w:val="21"/>
                <w:szCs w:val="21"/>
              </w:rPr>
              <w:t>区域最大落地浓度</w:t>
            </w:r>
          </w:p>
        </w:tc>
        <w:tc>
          <w:tcPr>
            <w:tcW w:w="705" w:type="pct"/>
            <w:tcBorders>
              <w:tl2br w:val="nil"/>
              <w:tr2bl w:val="nil"/>
            </w:tcBorders>
            <w:vAlign w:val="center"/>
          </w:tcPr>
          <w:p w14:paraId="362924BB">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1小时平均</w:t>
            </w:r>
          </w:p>
        </w:tc>
        <w:tc>
          <w:tcPr>
            <w:tcW w:w="820" w:type="pct"/>
            <w:tcBorders>
              <w:tl2br w:val="nil"/>
              <w:tr2bl w:val="nil"/>
            </w:tcBorders>
            <w:vAlign w:val="center"/>
          </w:tcPr>
          <w:p w14:paraId="6E7413F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51.62668</w:t>
            </w:r>
          </w:p>
        </w:tc>
        <w:tc>
          <w:tcPr>
            <w:tcW w:w="798" w:type="pct"/>
            <w:tcBorders>
              <w:tl2br w:val="nil"/>
              <w:tr2bl w:val="nil"/>
            </w:tcBorders>
            <w:vAlign w:val="center"/>
          </w:tcPr>
          <w:p w14:paraId="604C8EE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24012618</w:t>
            </w:r>
          </w:p>
        </w:tc>
        <w:tc>
          <w:tcPr>
            <w:tcW w:w="783" w:type="pct"/>
            <w:tcBorders>
              <w:tl2br w:val="nil"/>
              <w:tr2bl w:val="nil"/>
            </w:tcBorders>
            <w:vAlign w:val="center"/>
          </w:tcPr>
          <w:p w14:paraId="287990B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rPr>
              <w:t>25.81</w:t>
            </w:r>
          </w:p>
        </w:tc>
        <w:tc>
          <w:tcPr>
            <w:tcW w:w="625" w:type="pct"/>
            <w:tcBorders>
              <w:tl2br w:val="nil"/>
              <w:tr2bl w:val="nil"/>
            </w:tcBorders>
            <w:vAlign w:val="center"/>
          </w:tcPr>
          <w:p w14:paraId="45447811">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lang w:bidi="ar"/>
              </w:rPr>
              <w:t>达标</w:t>
            </w:r>
          </w:p>
        </w:tc>
      </w:tr>
    </w:tbl>
    <w:p w14:paraId="3C35511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6.2.1.3大气环境防护距离计算</w:t>
      </w:r>
    </w:p>
    <w:p w14:paraId="2A8CA838">
      <w:pPr>
        <w:pStyle w:val="53"/>
        <w:keepNext w:val="0"/>
        <w:keepLines w:val="0"/>
        <w:pageBreakBefore w:val="0"/>
        <w:widowControl w:val="0"/>
        <w:kinsoku/>
        <w:wordWrap/>
        <w:overflowPunct/>
        <w:topLinePunct w:val="0"/>
        <w:autoSpaceDE w:val="0"/>
        <w:autoSpaceDN w:val="0"/>
        <w:bidi w:val="0"/>
        <w:adjustRightInd w:val="0"/>
        <w:snapToGrid/>
        <w:spacing w:line="500" w:lineRule="exact"/>
        <w:ind w:firstLine="480" w:firstLineChars="200"/>
        <w:jc w:val="both"/>
        <w:textAlignment w:val="auto"/>
        <w:outlineLvl w:val="9"/>
        <w:rPr>
          <w:rFonts w:ascii="Times New Roman" w:hAnsi="Times New Roman" w:eastAsia="宋体" w:cs="Times New Roman"/>
          <w:color w:val="auto"/>
        </w:rPr>
      </w:pPr>
      <w:r>
        <w:rPr>
          <w:rFonts w:ascii="Times New Roman" w:hAnsi="Times New Roman" w:eastAsia="宋体" w:cs="Times New Roman"/>
          <w:color w:val="auto"/>
        </w:rPr>
        <w:t>根据《环境影响评价技术导则 大气环境》（HJ2.2-2018）“8.8.5大气环境防护距离确定，采用进一步预测模型模拟评价基准年内，本项目所有污染源(改建、扩建项目应包括全厂现有污染源)对厂界外主要</w:t>
      </w:r>
      <w:r>
        <w:rPr>
          <w:rFonts w:hint="eastAsia" w:ascii="Times New Roman" w:hAnsi="Times New Roman" w:eastAsia="宋体" w:cs="Times New Roman"/>
          <w:color w:val="auto"/>
          <w:lang w:val="en-US" w:eastAsia="zh-CN"/>
        </w:rPr>
        <w:t>0</w:t>
      </w:r>
      <w:r>
        <w:rPr>
          <w:rFonts w:ascii="Times New Roman" w:hAnsi="Times New Roman" w:eastAsia="宋体" w:cs="Times New Roman"/>
          <w:color w:val="auto"/>
        </w:rPr>
        <w:t>污染物的短期贡献浓度分布。厂界外预测网格分辨率不应超过50m。”</w:t>
      </w:r>
    </w:p>
    <w:p w14:paraId="5124B6AF">
      <w:pPr>
        <w:pStyle w:val="53"/>
        <w:keepNext w:val="0"/>
        <w:keepLines w:val="0"/>
        <w:pageBreakBefore w:val="0"/>
        <w:widowControl w:val="0"/>
        <w:kinsoku/>
        <w:wordWrap/>
        <w:overflowPunct/>
        <w:topLinePunct w:val="0"/>
        <w:autoSpaceDE w:val="0"/>
        <w:autoSpaceDN w:val="0"/>
        <w:bidi w:val="0"/>
        <w:adjustRightInd w:val="0"/>
        <w:snapToGrid/>
        <w:spacing w:line="500" w:lineRule="exact"/>
        <w:ind w:firstLine="480" w:firstLineChars="200"/>
        <w:jc w:val="both"/>
        <w:textAlignment w:val="auto"/>
        <w:outlineLvl w:val="9"/>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w:t>
      </w:r>
      <w:r>
        <w:rPr>
          <w:rFonts w:hint="default" w:ascii="Times New Roman" w:hAnsi="Times New Roman" w:eastAsia="宋体" w:cs="Times New Roman"/>
          <w:color w:val="auto"/>
          <w:lang w:val="en-US" w:eastAsia="zh-CN"/>
        </w:rPr>
        <w:t>厂界外预测网格分辨率为</w:t>
      </w:r>
      <w:r>
        <w:rPr>
          <w:rFonts w:hint="eastAsia" w:ascii="Times New Roman" w:hAnsi="Times New Roman" w:eastAsia="宋体" w:cs="Times New Roman"/>
          <w:color w:val="auto"/>
          <w:lang w:val="en-US" w:eastAsia="zh-CN"/>
        </w:rPr>
        <w:t>50</w:t>
      </w:r>
      <w:r>
        <w:rPr>
          <w:rFonts w:hint="default" w:ascii="Times New Roman" w:hAnsi="Times New Roman" w:eastAsia="宋体" w:cs="Times New Roman"/>
          <w:color w:val="auto"/>
          <w:lang w:val="en-US" w:eastAsia="zh-CN"/>
        </w:rPr>
        <w:t>m</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经计算，本项目所有污染源对厂界外主要污染物的短期贡献浓度均无超标点，无需设置大气环境防护距离。</w:t>
      </w:r>
    </w:p>
    <w:p w14:paraId="0D230836">
      <w:pPr>
        <w:pStyle w:val="50"/>
        <w:ind w:left="0" w:leftChars="0" w:firstLine="0" w:firstLineChars="0"/>
        <w:rPr>
          <w:rFonts w:hint="default" w:ascii="Times New Roman" w:hAnsi="Times New Roman" w:cs="Times New Roman"/>
          <w:color w:val="auto"/>
          <w:kern w:val="0"/>
          <w:sz w:val="24"/>
          <w:szCs w:val="24"/>
          <w:highlight w:val="none"/>
          <w:lang w:val="en-US" w:eastAsia="zh-CN" w:bidi="ar-SA"/>
        </w:rPr>
      </w:pPr>
      <w:r>
        <w:rPr>
          <w:color w:val="auto"/>
        </w:rPr>
        <w:drawing>
          <wp:inline distT="0" distB="0" distL="114300" distR="114300">
            <wp:extent cx="5269865" cy="4038600"/>
            <wp:effectExtent l="0" t="0" r="3175" b="0"/>
            <wp:docPr id="16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7"/>
                    <pic:cNvPicPr>
                      <a:picLocks noChangeAspect="1"/>
                    </pic:cNvPicPr>
                  </pic:nvPicPr>
                  <pic:blipFill>
                    <a:blip r:embed="rId97"/>
                    <a:stretch>
                      <a:fillRect/>
                    </a:stretch>
                  </pic:blipFill>
                  <pic:spPr>
                    <a:xfrm>
                      <a:off x="0" y="0"/>
                      <a:ext cx="5269865" cy="4038600"/>
                    </a:xfrm>
                    <a:prstGeom prst="rect">
                      <a:avLst/>
                    </a:prstGeom>
                    <a:noFill/>
                    <a:ln>
                      <a:noFill/>
                    </a:ln>
                  </pic:spPr>
                </pic:pic>
              </a:graphicData>
            </a:graphic>
          </wp:inline>
        </w:drawing>
      </w:r>
    </w:p>
    <w:p w14:paraId="0E72C42E">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eastAsia="宋体" w:cs="Times New Roman"/>
          <w:b/>
          <w:bCs/>
          <w:color w:val="auto"/>
          <w:sz w:val="24"/>
          <w:szCs w:val="24"/>
          <w:lang w:val="en-US" w:eastAsia="zh-CN"/>
        </w:rPr>
      </w:pPr>
      <w:r>
        <w:rPr>
          <w:rFonts w:hint="default" w:eastAsia="宋体" w:cs="Times New Roman"/>
          <w:b/>
          <w:bCs/>
          <w:color w:val="auto"/>
          <w:sz w:val="24"/>
          <w:szCs w:val="24"/>
          <w:lang w:val="en-US" w:eastAsia="zh-CN"/>
        </w:rPr>
        <w:t>图</w:t>
      </w:r>
      <w:r>
        <w:rPr>
          <w:rFonts w:hint="eastAsia" w:eastAsia="宋体" w:cs="Times New Roman"/>
          <w:b/>
          <w:bCs/>
          <w:color w:val="auto"/>
          <w:sz w:val="24"/>
          <w:szCs w:val="24"/>
          <w:lang w:val="en-US" w:eastAsia="zh-CN"/>
        </w:rPr>
        <w:t>6.2</w:t>
      </w:r>
      <w:r>
        <w:rPr>
          <w:rFonts w:hint="default" w:eastAsia="宋体" w:cs="Times New Roman"/>
          <w:b/>
          <w:bCs/>
          <w:color w:val="auto"/>
          <w:sz w:val="24"/>
          <w:szCs w:val="24"/>
          <w:lang w:val="en-US" w:eastAsia="zh-CN"/>
        </w:rPr>
        <w:t>-</w:t>
      </w:r>
      <w:r>
        <w:rPr>
          <w:rFonts w:hint="eastAsia" w:eastAsia="宋体" w:cs="Times New Roman"/>
          <w:b/>
          <w:bCs/>
          <w:color w:val="auto"/>
          <w:sz w:val="24"/>
          <w:szCs w:val="24"/>
          <w:lang w:val="en-US" w:eastAsia="zh-CN"/>
        </w:rPr>
        <w:t>17</w:t>
      </w:r>
      <w:r>
        <w:rPr>
          <w:rFonts w:hint="default" w:eastAsia="宋体" w:cs="Times New Roman"/>
          <w:b/>
          <w:bCs/>
          <w:color w:val="auto"/>
          <w:sz w:val="24"/>
          <w:szCs w:val="24"/>
          <w:lang w:val="en-US" w:eastAsia="zh-CN"/>
        </w:rPr>
        <w:t xml:space="preserve"> </w:t>
      </w:r>
      <w:r>
        <w:rPr>
          <w:rFonts w:hint="eastAsia" w:eastAsia="宋体" w:cs="Times New Roman"/>
          <w:b/>
          <w:bCs/>
          <w:color w:val="auto"/>
          <w:sz w:val="24"/>
          <w:szCs w:val="24"/>
          <w:lang w:val="en-US" w:eastAsia="zh-CN"/>
        </w:rPr>
        <w:t xml:space="preserve"> </w:t>
      </w:r>
      <w:r>
        <w:rPr>
          <w:rFonts w:hint="default" w:eastAsia="宋体" w:cs="Times New Roman"/>
          <w:b/>
          <w:bCs/>
          <w:color w:val="auto"/>
          <w:sz w:val="24"/>
          <w:szCs w:val="24"/>
          <w:lang w:val="en-US" w:eastAsia="zh-CN"/>
        </w:rPr>
        <w:t>本项目</w:t>
      </w:r>
      <w:r>
        <w:rPr>
          <w:rFonts w:hint="eastAsia" w:eastAsia="宋体" w:cs="Times New Roman"/>
          <w:b/>
          <w:bCs/>
          <w:color w:val="auto"/>
          <w:sz w:val="24"/>
          <w:szCs w:val="24"/>
          <w:lang w:val="en-US" w:eastAsia="zh-CN"/>
        </w:rPr>
        <w:t>PM</w:t>
      </w:r>
      <w:r>
        <w:rPr>
          <w:rFonts w:hint="eastAsia" w:eastAsia="宋体" w:cs="Times New Roman"/>
          <w:b/>
          <w:bCs/>
          <w:color w:val="auto"/>
          <w:sz w:val="24"/>
          <w:szCs w:val="24"/>
          <w:vertAlign w:val="subscript"/>
          <w:lang w:val="en-US" w:eastAsia="zh-CN"/>
        </w:rPr>
        <w:t>10</w:t>
      </w:r>
      <w:r>
        <w:rPr>
          <w:rFonts w:hint="eastAsia" w:eastAsia="宋体" w:cs="Times New Roman"/>
          <w:b/>
          <w:bCs/>
          <w:color w:val="auto"/>
          <w:sz w:val="24"/>
          <w:szCs w:val="24"/>
          <w:lang w:val="en-US" w:eastAsia="zh-CN"/>
        </w:rPr>
        <w:t>防护距离计算结果</w:t>
      </w:r>
      <w:r>
        <w:rPr>
          <w:rFonts w:hint="default" w:eastAsia="宋体" w:cs="Times New Roman"/>
          <w:b/>
          <w:bCs/>
          <w:color w:val="auto"/>
          <w:sz w:val="24"/>
          <w:szCs w:val="24"/>
          <w:lang w:val="en-US" w:eastAsia="zh-CN"/>
        </w:rPr>
        <w:t>图（ug/m</w:t>
      </w:r>
      <w:r>
        <w:rPr>
          <w:rFonts w:hint="default" w:eastAsia="宋体" w:cs="Times New Roman"/>
          <w:b/>
          <w:bCs/>
          <w:color w:val="auto"/>
          <w:sz w:val="24"/>
          <w:szCs w:val="24"/>
          <w:vertAlign w:val="superscript"/>
          <w:lang w:val="en-US" w:eastAsia="zh-CN"/>
        </w:rPr>
        <w:t>3</w:t>
      </w:r>
      <w:r>
        <w:rPr>
          <w:rFonts w:hint="default" w:eastAsia="宋体" w:cs="Times New Roman"/>
          <w:b/>
          <w:bCs/>
          <w:color w:val="auto"/>
          <w:sz w:val="24"/>
          <w:szCs w:val="24"/>
          <w:lang w:val="en-US" w:eastAsia="zh-CN"/>
        </w:rPr>
        <w:t>）</w:t>
      </w:r>
    </w:p>
    <w:p w14:paraId="3A6B8AB2">
      <w:pPr>
        <w:ind w:left="0" w:leftChars="0" w:firstLine="0" w:firstLineChars="0"/>
        <w:jc w:val="both"/>
        <w:rPr>
          <w:rFonts w:hint="default" w:ascii="Times New Roman" w:hAnsi="Times New Roman" w:cs="Times New Roman"/>
          <w:color w:val="auto"/>
          <w:kern w:val="0"/>
          <w:sz w:val="24"/>
          <w:szCs w:val="24"/>
          <w:highlight w:val="none"/>
          <w:u w:val="none"/>
          <w:lang w:val="en-US" w:eastAsia="zh-CN" w:bidi="ar-SA"/>
        </w:rPr>
      </w:pPr>
      <w:r>
        <w:rPr>
          <w:color w:val="auto"/>
        </w:rPr>
        <w:drawing>
          <wp:inline distT="0" distB="0" distL="114300" distR="114300">
            <wp:extent cx="5272405" cy="3955415"/>
            <wp:effectExtent l="0" t="0" r="635" b="6985"/>
            <wp:docPr id="16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0"/>
                    <pic:cNvPicPr>
                      <a:picLocks noChangeAspect="1"/>
                    </pic:cNvPicPr>
                  </pic:nvPicPr>
                  <pic:blipFill>
                    <a:blip r:embed="rId98"/>
                    <a:stretch>
                      <a:fillRect/>
                    </a:stretch>
                  </pic:blipFill>
                  <pic:spPr>
                    <a:xfrm>
                      <a:off x="0" y="0"/>
                      <a:ext cx="5272405" cy="3955415"/>
                    </a:xfrm>
                    <a:prstGeom prst="rect">
                      <a:avLst/>
                    </a:prstGeom>
                    <a:noFill/>
                    <a:ln>
                      <a:noFill/>
                    </a:ln>
                  </pic:spPr>
                </pic:pic>
              </a:graphicData>
            </a:graphic>
          </wp:inline>
        </w:drawing>
      </w:r>
    </w:p>
    <w:p w14:paraId="0E3C863E">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eastAsia="宋体" w:cs="Times New Roman"/>
          <w:b/>
          <w:bCs/>
          <w:color w:val="auto"/>
          <w:sz w:val="24"/>
          <w:szCs w:val="24"/>
          <w:lang w:val="en-US" w:eastAsia="zh-CN"/>
        </w:rPr>
      </w:pPr>
      <w:r>
        <w:rPr>
          <w:rFonts w:hint="default" w:eastAsia="宋体" w:cs="Times New Roman"/>
          <w:b/>
          <w:bCs/>
          <w:color w:val="auto"/>
          <w:sz w:val="24"/>
          <w:szCs w:val="24"/>
          <w:lang w:val="en-US" w:eastAsia="zh-CN"/>
        </w:rPr>
        <w:t>图</w:t>
      </w:r>
      <w:r>
        <w:rPr>
          <w:rFonts w:hint="eastAsia" w:eastAsia="宋体" w:cs="Times New Roman"/>
          <w:b/>
          <w:bCs/>
          <w:color w:val="auto"/>
          <w:sz w:val="24"/>
          <w:szCs w:val="24"/>
          <w:lang w:val="en-US" w:eastAsia="zh-CN"/>
        </w:rPr>
        <w:t>6.2</w:t>
      </w:r>
      <w:r>
        <w:rPr>
          <w:rFonts w:hint="default" w:eastAsia="宋体" w:cs="Times New Roman"/>
          <w:b/>
          <w:bCs/>
          <w:color w:val="auto"/>
          <w:sz w:val="24"/>
          <w:szCs w:val="24"/>
          <w:lang w:val="en-US" w:eastAsia="zh-CN"/>
        </w:rPr>
        <w:t>-</w:t>
      </w:r>
      <w:r>
        <w:rPr>
          <w:rFonts w:hint="eastAsia" w:eastAsia="宋体" w:cs="Times New Roman"/>
          <w:b/>
          <w:bCs/>
          <w:color w:val="auto"/>
          <w:sz w:val="24"/>
          <w:szCs w:val="24"/>
          <w:lang w:val="en-US" w:eastAsia="zh-CN"/>
        </w:rPr>
        <w:t>18</w:t>
      </w:r>
      <w:r>
        <w:rPr>
          <w:rFonts w:hint="default" w:eastAsia="宋体" w:cs="Times New Roman"/>
          <w:b/>
          <w:bCs/>
          <w:color w:val="auto"/>
          <w:sz w:val="24"/>
          <w:szCs w:val="24"/>
          <w:lang w:val="en-US" w:eastAsia="zh-CN"/>
        </w:rPr>
        <w:t xml:space="preserve"> 本项目</w:t>
      </w:r>
      <w:r>
        <w:rPr>
          <w:rFonts w:hint="eastAsia" w:eastAsia="宋体" w:cs="Times New Roman"/>
          <w:b/>
          <w:bCs/>
          <w:color w:val="auto"/>
          <w:sz w:val="24"/>
          <w:szCs w:val="24"/>
          <w:lang w:val="en-US" w:eastAsia="zh-CN"/>
        </w:rPr>
        <w:t>SO</w:t>
      </w:r>
      <w:r>
        <w:rPr>
          <w:rFonts w:hint="eastAsia" w:eastAsia="宋体" w:cs="Times New Roman"/>
          <w:b/>
          <w:bCs/>
          <w:color w:val="auto"/>
          <w:sz w:val="24"/>
          <w:szCs w:val="24"/>
          <w:vertAlign w:val="subscript"/>
          <w:lang w:val="en-US" w:eastAsia="zh-CN"/>
        </w:rPr>
        <w:t>2</w:t>
      </w:r>
      <w:r>
        <w:rPr>
          <w:rFonts w:hint="eastAsia" w:eastAsia="宋体" w:cs="Times New Roman"/>
          <w:b/>
          <w:bCs/>
          <w:color w:val="auto"/>
          <w:sz w:val="24"/>
          <w:szCs w:val="24"/>
          <w:lang w:val="en-US" w:eastAsia="zh-CN"/>
        </w:rPr>
        <w:t>防护距离计算结果</w:t>
      </w:r>
      <w:r>
        <w:rPr>
          <w:rFonts w:hint="default" w:eastAsia="宋体" w:cs="Times New Roman"/>
          <w:b/>
          <w:bCs/>
          <w:color w:val="auto"/>
          <w:sz w:val="24"/>
          <w:szCs w:val="24"/>
          <w:lang w:val="en-US" w:eastAsia="zh-CN"/>
        </w:rPr>
        <w:t>图（ug/m</w:t>
      </w:r>
      <w:r>
        <w:rPr>
          <w:rFonts w:hint="default" w:eastAsia="宋体" w:cs="Times New Roman"/>
          <w:b/>
          <w:bCs/>
          <w:color w:val="auto"/>
          <w:sz w:val="24"/>
          <w:szCs w:val="24"/>
          <w:vertAlign w:val="superscript"/>
          <w:lang w:val="en-US" w:eastAsia="zh-CN"/>
        </w:rPr>
        <w:t>3</w:t>
      </w:r>
      <w:r>
        <w:rPr>
          <w:rFonts w:hint="default" w:eastAsia="宋体" w:cs="Times New Roman"/>
          <w:b/>
          <w:bCs/>
          <w:color w:val="auto"/>
          <w:sz w:val="24"/>
          <w:szCs w:val="24"/>
          <w:lang w:val="en-US" w:eastAsia="zh-CN"/>
        </w:rPr>
        <w:t>）</w:t>
      </w:r>
    </w:p>
    <w:p w14:paraId="72C5A2D7">
      <w:pPr>
        <w:pStyle w:val="50"/>
        <w:ind w:left="0" w:leftChars="0" w:firstLine="0" w:firstLineChars="0"/>
        <w:jc w:val="both"/>
        <w:rPr>
          <w:rFonts w:hint="default" w:ascii="Times New Roman" w:hAnsi="Times New Roman" w:cs="Times New Roman"/>
          <w:color w:val="auto"/>
          <w:kern w:val="0"/>
          <w:sz w:val="24"/>
          <w:szCs w:val="24"/>
          <w:highlight w:val="none"/>
          <w:lang w:val="en-US" w:eastAsia="zh-CN" w:bidi="ar-SA"/>
        </w:rPr>
      </w:pPr>
      <w:r>
        <w:rPr>
          <w:color w:val="auto"/>
        </w:rPr>
        <w:drawing>
          <wp:inline distT="0" distB="0" distL="114300" distR="114300">
            <wp:extent cx="5266690" cy="3992880"/>
            <wp:effectExtent l="0" t="0" r="6350" b="0"/>
            <wp:docPr id="1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9"/>
                    <pic:cNvPicPr>
                      <a:picLocks noChangeAspect="1"/>
                    </pic:cNvPicPr>
                  </pic:nvPicPr>
                  <pic:blipFill>
                    <a:blip r:embed="rId99"/>
                    <a:stretch>
                      <a:fillRect/>
                    </a:stretch>
                  </pic:blipFill>
                  <pic:spPr>
                    <a:xfrm>
                      <a:off x="0" y="0"/>
                      <a:ext cx="5266690" cy="3992880"/>
                    </a:xfrm>
                    <a:prstGeom prst="rect">
                      <a:avLst/>
                    </a:prstGeom>
                    <a:noFill/>
                    <a:ln>
                      <a:noFill/>
                    </a:ln>
                  </pic:spPr>
                </pic:pic>
              </a:graphicData>
            </a:graphic>
          </wp:inline>
        </w:drawing>
      </w:r>
    </w:p>
    <w:p w14:paraId="5B096774">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eastAsia="宋体" w:cs="Times New Roman"/>
          <w:b/>
          <w:bCs/>
          <w:color w:val="auto"/>
          <w:sz w:val="24"/>
          <w:szCs w:val="24"/>
          <w:lang w:val="en-US" w:eastAsia="zh-CN"/>
        </w:rPr>
      </w:pPr>
      <w:r>
        <w:rPr>
          <w:rFonts w:hint="default" w:eastAsia="宋体" w:cs="Times New Roman"/>
          <w:b/>
          <w:bCs/>
          <w:color w:val="auto"/>
          <w:sz w:val="24"/>
          <w:szCs w:val="24"/>
          <w:lang w:val="en-US" w:eastAsia="zh-CN"/>
        </w:rPr>
        <w:t>图</w:t>
      </w:r>
      <w:r>
        <w:rPr>
          <w:rFonts w:hint="eastAsia" w:eastAsia="宋体" w:cs="Times New Roman"/>
          <w:b/>
          <w:bCs/>
          <w:color w:val="auto"/>
          <w:sz w:val="24"/>
          <w:szCs w:val="24"/>
          <w:lang w:val="en-US" w:eastAsia="zh-CN"/>
        </w:rPr>
        <w:t>6.2</w:t>
      </w:r>
      <w:r>
        <w:rPr>
          <w:rFonts w:hint="default" w:eastAsia="宋体" w:cs="Times New Roman"/>
          <w:b/>
          <w:bCs/>
          <w:color w:val="auto"/>
          <w:sz w:val="24"/>
          <w:szCs w:val="24"/>
          <w:lang w:val="en-US" w:eastAsia="zh-CN"/>
        </w:rPr>
        <w:t>-</w:t>
      </w:r>
      <w:r>
        <w:rPr>
          <w:rFonts w:hint="eastAsia" w:eastAsia="宋体" w:cs="Times New Roman"/>
          <w:b/>
          <w:bCs/>
          <w:color w:val="auto"/>
          <w:sz w:val="24"/>
          <w:szCs w:val="24"/>
          <w:lang w:val="en-US" w:eastAsia="zh-CN"/>
        </w:rPr>
        <w:t>19</w:t>
      </w:r>
      <w:r>
        <w:rPr>
          <w:rFonts w:hint="default" w:eastAsia="宋体" w:cs="Times New Roman"/>
          <w:b/>
          <w:bCs/>
          <w:color w:val="auto"/>
          <w:sz w:val="24"/>
          <w:szCs w:val="24"/>
          <w:lang w:val="en-US" w:eastAsia="zh-CN"/>
        </w:rPr>
        <w:t xml:space="preserve"> </w:t>
      </w:r>
      <w:r>
        <w:rPr>
          <w:rFonts w:hint="eastAsia" w:eastAsia="宋体" w:cs="Times New Roman"/>
          <w:b/>
          <w:bCs/>
          <w:color w:val="auto"/>
          <w:sz w:val="24"/>
          <w:szCs w:val="24"/>
          <w:lang w:val="en-US" w:eastAsia="zh-CN"/>
        </w:rPr>
        <w:t xml:space="preserve"> </w:t>
      </w:r>
      <w:r>
        <w:rPr>
          <w:rFonts w:hint="default" w:eastAsia="宋体" w:cs="Times New Roman"/>
          <w:b/>
          <w:bCs/>
          <w:color w:val="auto"/>
          <w:sz w:val="24"/>
          <w:szCs w:val="24"/>
          <w:lang w:val="en-US" w:eastAsia="zh-CN"/>
        </w:rPr>
        <w:t>本项目</w:t>
      </w:r>
      <w:r>
        <w:rPr>
          <w:rFonts w:hint="eastAsia" w:eastAsia="宋体" w:cs="Times New Roman"/>
          <w:b/>
          <w:bCs/>
          <w:color w:val="auto"/>
          <w:sz w:val="24"/>
          <w:szCs w:val="24"/>
          <w:lang w:val="en-US" w:eastAsia="zh-CN"/>
        </w:rPr>
        <w:t>NO</w:t>
      </w:r>
      <w:r>
        <w:rPr>
          <w:rFonts w:hint="eastAsia" w:eastAsia="宋体" w:cs="Times New Roman"/>
          <w:b/>
          <w:bCs/>
          <w:color w:val="auto"/>
          <w:sz w:val="24"/>
          <w:szCs w:val="24"/>
          <w:vertAlign w:val="subscript"/>
          <w:lang w:val="en-US" w:eastAsia="zh-CN"/>
        </w:rPr>
        <w:t>2</w:t>
      </w:r>
      <w:r>
        <w:rPr>
          <w:rFonts w:hint="eastAsia" w:eastAsia="宋体" w:cs="Times New Roman"/>
          <w:b/>
          <w:bCs/>
          <w:color w:val="auto"/>
          <w:sz w:val="24"/>
          <w:szCs w:val="24"/>
          <w:lang w:val="en-US" w:eastAsia="zh-CN"/>
        </w:rPr>
        <w:t>防护距离计算结果</w:t>
      </w:r>
      <w:r>
        <w:rPr>
          <w:rFonts w:hint="default" w:eastAsia="宋体" w:cs="Times New Roman"/>
          <w:b/>
          <w:bCs/>
          <w:color w:val="auto"/>
          <w:sz w:val="24"/>
          <w:szCs w:val="24"/>
          <w:lang w:val="en-US" w:eastAsia="zh-CN"/>
        </w:rPr>
        <w:t>图（ug/m</w:t>
      </w:r>
      <w:r>
        <w:rPr>
          <w:rFonts w:hint="default" w:eastAsia="宋体" w:cs="Times New Roman"/>
          <w:b/>
          <w:bCs/>
          <w:color w:val="auto"/>
          <w:sz w:val="24"/>
          <w:szCs w:val="24"/>
          <w:vertAlign w:val="superscript"/>
          <w:lang w:val="en-US" w:eastAsia="zh-CN"/>
        </w:rPr>
        <w:t>3</w:t>
      </w:r>
      <w:r>
        <w:rPr>
          <w:rFonts w:hint="default" w:eastAsia="宋体" w:cs="Times New Roman"/>
          <w:b/>
          <w:bCs/>
          <w:color w:val="auto"/>
          <w:sz w:val="24"/>
          <w:szCs w:val="24"/>
          <w:lang w:val="en-US" w:eastAsia="zh-CN"/>
        </w:rPr>
        <w:t>）</w:t>
      </w:r>
    </w:p>
    <w:p w14:paraId="744AD4B7">
      <w:pPr>
        <w:pStyle w:val="50"/>
        <w:ind w:left="0" w:leftChars="0" w:firstLine="0" w:firstLineChars="0"/>
        <w:jc w:val="both"/>
        <w:rPr>
          <w:rFonts w:hint="default" w:ascii="Times New Roman" w:hAnsi="Times New Roman" w:cs="Times New Roman"/>
          <w:color w:val="auto"/>
          <w:kern w:val="0"/>
          <w:sz w:val="24"/>
          <w:szCs w:val="24"/>
          <w:highlight w:val="none"/>
          <w:lang w:val="en-US" w:eastAsia="zh-CN" w:bidi="ar-SA"/>
        </w:rPr>
      </w:pPr>
      <w:r>
        <w:rPr>
          <w:color w:val="auto"/>
        </w:rPr>
        <w:drawing>
          <wp:inline distT="0" distB="0" distL="114300" distR="114300">
            <wp:extent cx="5265420" cy="3861435"/>
            <wp:effectExtent l="0" t="0" r="7620" b="9525"/>
            <wp:docPr id="16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1"/>
                    <pic:cNvPicPr>
                      <a:picLocks noChangeAspect="1"/>
                    </pic:cNvPicPr>
                  </pic:nvPicPr>
                  <pic:blipFill>
                    <a:blip r:embed="rId100"/>
                    <a:stretch>
                      <a:fillRect/>
                    </a:stretch>
                  </pic:blipFill>
                  <pic:spPr>
                    <a:xfrm>
                      <a:off x="0" y="0"/>
                      <a:ext cx="5265420" cy="3861435"/>
                    </a:xfrm>
                    <a:prstGeom prst="rect">
                      <a:avLst/>
                    </a:prstGeom>
                    <a:noFill/>
                    <a:ln>
                      <a:noFill/>
                    </a:ln>
                  </pic:spPr>
                </pic:pic>
              </a:graphicData>
            </a:graphic>
          </wp:inline>
        </w:drawing>
      </w:r>
    </w:p>
    <w:p w14:paraId="63EE6B52">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eastAsia="宋体" w:cs="Times New Roman"/>
          <w:b/>
          <w:bCs/>
          <w:color w:val="auto"/>
          <w:sz w:val="24"/>
          <w:szCs w:val="24"/>
          <w:lang w:val="en-US" w:eastAsia="zh-CN"/>
        </w:rPr>
      </w:pPr>
      <w:r>
        <w:rPr>
          <w:rFonts w:hint="default" w:eastAsia="宋体" w:cs="Times New Roman"/>
          <w:b/>
          <w:bCs/>
          <w:color w:val="auto"/>
          <w:sz w:val="24"/>
          <w:szCs w:val="24"/>
          <w:lang w:val="en-US" w:eastAsia="zh-CN"/>
        </w:rPr>
        <w:t>图</w:t>
      </w:r>
      <w:r>
        <w:rPr>
          <w:rFonts w:hint="eastAsia" w:eastAsia="宋体" w:cs="Times New Roman"/>
          <w:b/>
          <w:bCs/>
          <w:color w:val="auto"/>
          <w:sz w:val="24"/>
          <w:szCs w:val="24"/>
          <w:lang w:val="en-US" w:eastAsia="zh-CN"/>
        </w:rPr>
        <w:t>6.2</w:t>
      </w:r>
      <w:r>
        <w:rPr>
          <w:rFonts w:hint="default" w:eastAsia="宋体" w:cs="Times New Roman"/>
          <w:b/>
          <w:bCs/>
          <w:color w:val="auto"/>
          <w:sz w:val="24"/>
          <w:szCs w:val="24"/>
          <w:lang w:val="en-US" w:eastAsia="zh-CN"/>
        </w:rPr>
        <w:t>-</w:t>
      </w:r>
      <w:r>
        <w:rPr>
          <w:rFonts w:hint="eastAsia" w:eastAsia="宋体" w:cs="Times New Roman"/>
          <w:b/>
          <w:bCs/>
          <w:color w:val="auto"/>
          <w:sz w:val="24"/>
          <w:szCs w:val="24"/>
          <w:lang w:val="en-US" w:eastAsia="zh-CN"/>
        </w:rPr>
        <w:t xml:space="preserve">20  </w:t>
      </w:r>
      <w:r>
        <w:rPr>
          <w:rFonts w:hint="default" w:eastAsia="宋体" w:cs="Times New Roman"/>
          <w:b/>
          <w:bCs/>
          <w:color w:val="auto"/>
          <w:sz w:val="24"/>
          <w:szCs w:val="24"/>
          <w:lang w:val="en-US" w:eastAsia="zh-CN"/>
        </w:rPr>
        <w:t>本项目</w:t>
      </w:r>
      <w:r>
        <w:rPr>
          <w:rFonts w:hint="eastAsia" w:eastAsia="宋体" w:cs="Times New Roman"/>
          <w:b/>
          <w:bCs/>
          <w:color w:val="auto"/>
          <w:sz w:val="24"/>
          <w:szCs w:val="24"/>
          <w:lang w:val="en-US" w:eastAsia="zh-CN"/>
        </w:rPr>
        <w:t>TSP防护距离计算结果</w:t>
      </w:r>
      <w:r>
        <w:rPr>
          <w:rFonts w:hint="default" w:eastAsia="宋体" w:cs="Times New Roman"/>
          <w:b/>
          <w:bCs/>
          <w:color w:val="auto"/>
          <w:sz w:val="24"/>
          <w:szCs w:val="24"/>
          <w:lang w:val="en-US" w:eastAsia="zh-CN"/>
        </w:rPr>
        <w:t>图（ug/m</w:t>
      </w:r>
      <w:r>
        <w:rPr>
          <w:rFonts w:hint="default" w:eastAsia="宋体" w:cs="Times New Roman"/>
          <w:b/>
          <w:bCs/>
          <w:color w:val="auto"/>
          <w:sz w:val="24"/>
          <w:szCs w:val="24"/>
          <w:vertAlign w:val="superscript"/>
          <w:lang w:val="en-US" w:eastAsia="zh-CN"/>
        </w:rPr>
        <w:t>3</w:t>
      </w:r>
      <w:r>
        <w:rPr>
          <w:rFonts w:hint="default" w:eastAsia="宋体" w:cs="Times New Roman"/>
          <w:b/>
          <w:bCs/>
          <w:color w:val="auto"/>
          <w:sz w:val="24"/>
          <w:szCs w:val="24"/>
          <w:lang w:val="en-US" w:eastAsia="zh-CN"/>
        </w:rPr>
        <w:t>）</w:t>
      </w:r>
    </w:p>
    <w:p w14:paraId="556DBBBE">
      <w:pPr>
        <w:pStyle w:val="50"/>
        <w:jc w:val="center"/>
        <w:rPr>
          <w:rFonts w:hint="default" w:ascii="Times New Roman" w:hAnsi="Times New Roman" w:eastAsia="黑体" w:cs="Times New Roman"/>
          <w:color w:val="auto"/>
          <w:highlight w:val="none"/>
        </w:rPr>
      </w:pPr>
    </w:p>
    <w:p w14:paraId="358DC33C">
      <w:pPr>
        <w:pStyle w:val="50"/>
        <w:ind w:left="0" w:leftChars="0" w:firstLine="0" w:firstLineChars="0"/>
        <w:jc w:val="both"/>
        <w:rPr>
          <w:rFonts w:hint="default" w:ascii="Times New Roman" w:hAnsi="Times New Roman" w:eastAsia="黑体" w:cs="Times New Roman"/>
          <w:color w:val="auto"/>
          <w:highlight w:val="none"/>
        </w:rPr>
      </w:pPr>
      <w:r>
        <w:rPr>
          <w:color w:val="auto"/>
        </w:rPr>
        <w:drawing>
          <wp:inline distT="0" distB="0" distL="114300" distR="114300">
            <wp:extent cx="5267325" cy="3787140"/>
            <wp:effectExtent l="0" t="0" r="5715" b="7620"/>
            <wp:docPr id="16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2"/>
                    <pic:cNvPicPr>
                      <a:picLocks noChangeAspect="1"/>
                    </pic:cNvPicPr>
                  </pic:nvPicPr>
                  <pic:blipFill>
                    <a:blip r:embed="rId101"/>
                    <a:stretch>
                      <a:fillRect/>
                    </a:stretch>
                  </pic:blipFill>
                  <pic:spPr>
                    <a:xfrm>
                      <a:off x="0" y="0"/>
                      <a:ext cx="5267325" cy="3787140"/>
                    </a:xfrm>
                    <a:prstGeom prst="rect">
                      <a:avLst/>
                    </a:prstGeom>
                    <a:noFill/>
                    <a:ln>
                      <a:noFill/>
                    </a:ln>
                  </pic:spPr>
                </pic:pic>
              </a:graphicData>
            </a:graphic>
          </wp:inline>
        </w:drawing>
      </w:r>
    </w:p>
    <w:p w14:paraId="025E8741">
      <w:pPr>
        <w:pStyle w:val="129"/>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center"/>
        <w:rPr>
          <w:rFonts w:hint="default" w:eastAsia="宋体" w:cs="Times New Roman"/>
          <w:b/>
          <w:bCs/>
          <w:color w:val="auto"/>
          <w:sz w:val="24"/>
          <w:szCs w:val="24"/>
          <w:lang w:val="en-US" w:eastAsia="zh-CN"/>
        </w:rPr>
      </w:pPr>
      <w:r>
        <w:rPr>
          <w:rFonts w:hint="default" w:eastAsia="宋体" w:cs="Times New Roman"/>
          <w:b/>
          <w:bCs/>
          <w:color w:val="auto"/>
          <w:sz w:val="24"/>
          <w:szCs w:val="24"/>
          <w:lang w:val="en-US" w:eastAsia="zh-CN"/>
        </w:rPr>
        <w:t>图</w:t>
      </w:r>
      <w:r>
        <w:rPr>
          <w:rFonts w:hint="eastAsia" w:eastAsia="宋体" w:cs="Times New Roman"/>
          <w:b/>
          <w:bCs/>
          <w:color w:val="auto"/>
          <w:sz w:val="24"/>
          <w:szCs w:val="24"/>
          <w:lang w:val="en-US" w:eastAsia="zh-CN"/>
        </w:rPr>
        <w:t>6.2</w:t>
      </w:r>
      <w:r>
        <w:rPr>
          <w:rFonts w:hint="default" w:eastAsia="宋体" w:cs="Times New Roman"/>
          <w:b/>
          <w:bCs/>
          <w:color w:val="auto"/>
          <w:sz w:val="24"/>
          <w:szCs w:val="24"/>
          <w:lang w:val="en-US" w:eastAsia="zh-CN"/>
        </w:rPr>
        <w:t>-</w:t>
      </w:r>
      <w:r>
        <w:rPr>
          <w:rFonts w:hint="eastAsia" w:eastAsia="宋体" w:cs="Times New Roman"/>
          <w:b/>
          <w:bCs/>
          <w:color w:val="auto"/>
          <w:sz w:val="24"/>
          <w:szCs w:val="24"/>
          <w:lang w:val="en-US" w:eastAsia="zh-CN"/>
        </w:rPr>
        <w:t xml:space="preserve">22  </w:t>
      </w:r>
      <w:r>
        <w:rPr>
          <w:rFonts w:hint="default" w:eastAsia="宋体" w:cs="Times New Roman"/>
          <w:b/>
          <w:bCs/>
          <w:color w:val="auto"/>
          <w:sz w:val="24"/>
          <w:szCs w:val="24"/>
          <w:lang w:val="en-US" w:eastAsia="zh-CN"/>
        </w:rPr>
        <w:t>本项目</w:t>
      </w:r>
      <w:r>
        <w:rPr>
          <w:rFonts w:hint="eastAsia" w:eastAsia="宋体" w:cs="Times New Roman"/>
          <w:b/>
          <w:bCs/>
          <w:color w:val="auto"/>
          <w:sz w:val="24"/>
          <w:szCs w:val="24"/>
          <w:lang w:val="en-US" w:eastAsia="zh-CN"/>
        </w:rPr>
        <w:t>PM</w:t>
      </w:r>
      <w:r>
        <w:rPr>
          <w:rFonts w:hint="eastAsia" w:eastAsia="宋体" w:cs="Times New Roman"/>
          <w:b/>
          <w:bCs/>
          <w:color w:val="auto"/>
          <w:sz w:val="24"/>
          <w:szCs w:val="24"/>
          <w:vertAlign w:val="subscript"/>
          <w:lang w:val="en-US" w:eastAsia="zh-CN"/>
        </w:rPr>
        <w:t>2.5</w:t>
      </w:r>
      <w:r>
        <w:rPr>
          <w:rFonts w:hint="default" w:eastAsia="宋体" w:cs="Times New Roman"/>
          <w:b/>
          <w:bCs/>
          <w:color w:val="auto"/>
          <w:sz w:val="24"/>
          <w:szCs w:val="24"/>
          <w:lang w:val="en-US" w:eastAsia="zh-CN"/>
        </w:rPr>
        <w:t>防护距离计算结果图（ug/m</w:t>
      </w:r>
      <w:r>
        <w:rPr>
          <w:rFonts w:hint="default" w:eastAsia="宋体" w:cs="Times New Roman"/>
          <w:b/>
          <w:bCs/>
          <w:color w:val="auto"/>
          <w:sz w:val="24"/>
          <w:szCs w:val="24"/>
          <w:vertAlign w:val="superscript"/>
          <w:lang w:val="en-US" w:eastAsia="zh-CN"/>
        </w:rPr>
        <w:t>3</w:t>
      </w:r>
      <w:r>
        <w:rPr>
          <w:rFonts w:hint="default" w:eastAsia="宋体" w:cs="Times New Roman"/>
          <w:b/>
          <w:bCs/>
          <w:color w:val="auto"/>
          <w:sz w:val="24"/>
          <w:szCs w:val="24"/>
          <w:lang w:val="en-US" w:eastAsia="zh-CN"/>
        </w:rPr>
        <w:t>）</w:t>
      </w:r>
    </w:p>
    <w:p w14:paraId="71CE91E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6.2.1.4 污染物排放量核算</w:t>
      </w:r>
    </w:p>
    <w:p w14:paraId="26A03E3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kern w:val="0"/>
          <w:szCs w:val="24"/>
        </w:rPr>
      </w:pPr>
      <w:r>
        <w:rPr>
          <w:rFonts w:ascii="Times New Roman" w:hAnsi="Times New Roman" w:eastAsia="宋体" w:cs="Times New Roman"/>
          <w:color w:val="auto"/>
          <w:kern w:val="0"/>
          <w:szCs w:val="24"/>
        </w:rPr>
        <w:t>1、本项目所有污染源</w:t>
      </w:r>
    </w:p>
    <w:p w14:paraId="63DE8D0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kern w:val="0"/>
          <w:szCs w:val="24"/>
        </w:rPr>
      </w:pPr>
      <w:r>
        <w:rPr>
          <w:rFonts w:hint="eastAsia" w:ascii="Times New Roman" w:hAnsi="Times New Roman" w:eastAsia="宋体" w:cs="Times New Roman"/>
          <w:color w:val="auto"/>
          <w:kern w:val="0"/>
          <w:szCs w:val="24"/>
          <w:lang w:eastAsia="zh-CN"/>
        </w:rPr>
        <w:t>（</w:t>
      </w:r>
      <w:r>
        <w:rPr>
          <w:rFonts w:hint="eastAsia" w:ascii="Times New Roman" w:hAnsi="Times New Roman" w:eastAsia="宋体" w:cs="Times New Roman"/>
          <w:color w:val="auto"/>
          <w:kern w:val="0"/>
          <w:szCs w:val="24"/>
          <w:lang w:val="en-US" w:eastAsia="zh-CN"/>
        </w:rPr>
        <w:t>1</w:t>
      </w:r>
      <w:r>
        <w:rPr>
          <w:rFonts w:hint="eastAsia" w:ascii="Times New Roman" w:hAnsi="Times New Roman" w:eastAsia="宋体" w:cs="Times New Roman"/>
          <w:color w:val="auto"/>
          <w:kern w:val="0"/>
          <w:szCs w:val="24"/>
          <w:lang w:eastAsia="zh-CN"/>
        </w:rPr>
        <w:t>）</w:t>
      </w:r>
      <w:r>
        <w:rPr>
          <w:rFonts w:ascii="Times New Roman" w:hAnsi="Times New Roman" w:eastAsia="宋体" w:cs="Times New Roman"/>
          <w:color w:val="auto"/>
          <w:kern w:val="0"/>
          <w:szCs w:val="24"/>
        </w:rPr>
        <w:t>本项目新增污染源</w:t>
      </w:r>
    </w:p>
    <w:p w14:paraId="084B9042">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3</w:t>
      </w:r>
      <w:r>
        <w:rPr>
          <w:rFonts w:hint="eastAsia" w:ascii="Times New Roman" w:hAnsi="Times New Roman" w:eastAsia="宋体" w:cs="Times New Roman"/>
          <w:b/>
          <w:bCs/>
          <w:color w:val="auto"/>
          <w:sz w:val="24"/>
          <w:szCs w:val="24"/>
          <w:lang w:val="en-US" w:eastAsia="zh-CN"/>
        </w:rPr>
        <w:t>1</w:t>
      </w:r>
      <w:r>
        <w:rPr>
          <w:rFonts w:hint="default" w:ascii="Times New Roman" w:hAnsi="Times New Roman" w:eastAsia="宋体" w:cs="Times New Roman"/>
          <w:b/>
          <w:bCs/>
          <w:color w:val="auto"/>
          <w:sz w:val="24"/>
          <w:szCs w:val="24"/>
          <w:lang w:eastAsia="zh-CN"/>
        </w:rPr>
        <w:t xml:space="preserve">  本项目新增污染源一览表</w:t>
      </w:r>
    </w:p>
    <w:tbl>
      <w:tblPr>
        <w:tblStyle w:val="4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74"/>
        <w:gridCol w:w="755"/>
        <w:gridCol w:w="713"/>
        <w:gridCol w:w="689"/>
        <w:gridCol w:w="841"/>
        <w:gridCol w:w="1162"/>
        <w:gridCol w:w="589"/>
        <w:gridCol w:w="1496"/>
      </w:tblGrid>
      <w:tr w14:paraId="3556B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46" w:type="pct"/>
            <w:vMerge w:val="restart"/>
            <w:tcBorders>
              <w:tl2br w:val="nil"/>
              <w:tr2bl w:val="nil"/>
            </w:tcBorders>
            <w:vAlign w:val="center"/>
          </w:tcPr>
          <w:p w14:paraId="4D910FE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污染源</w:t>
            </w:r>
          </w:p>
        </w:tc>
        <w:tc>
          <w:tcPr>
            <w:tcW w:w="3653" w:type="pct"/>
            <w:gridSpan w:val="7"/>
            <w:tcBorders>
              <w:tl2br w:val="nil"/>
              <w:tr2bl w:val="nil"/>
            </w:tcBorders>
            <w:vAlign w:val="center"/>
          </w:tcPr>
          <w:p w14:paraId="03163D25">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污染物排放速率（kg/h）</w:t>
            </w:r>
          </w:p>
        </w:tc>
      </w:tr>
      <w:tr w14:paraId="607FC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46" w:type="pct"/>
            <w:vMerge w:val="continue"/>
            <w:tcBorders>
              <w:tl2br w:val="nil"/>
              <w:tr2bl w:val="nil"/>
            </w:tcBorders>
            <w:vAlign w:val="center"/>
          </w:tcPr>
          <w:p w14:paraId="6C95260D">
            <w:pPr>
              <w:keepNext w:val="0"/>
              <w:keepLines w:val="0"/>
              <w:pageBreakBefore w:val="0"/>
              <w:kinsoku/>
              <w:wordWrap/>
              <w:overflowPunct/>
              <w:topLinePunct w:val="0"/>
              <w:autoSpaceDE/>
              <w:autoSpaceDN/>
              <w:bidi w:val="0"/>
              <w:adjustRightInd/>
              <w:snapToGrid/>
              <w:spacing w:line="320" w:lineRule="exact"/>
              <w:ind w:firstLine="0" w:firstLineChars="0"/>
              <w:rPr>
                <w:rFonts w:ascii="Times New Roman" w:hAnsi="Times New Roman" w:eastAsia="宋体" w:cs="Times New Roman"/>
                <w:color w:val="auto"/>
                <w:sz w:val="21"/>
                <w:szCs w:val="21"/>
              </w:rPr>
            </w:pPr>
          </w:p>
        </w:tc>
        <w:tc>
          <w:tcPr>
            <w:tcW w:w="455" w:type="pct"/>
            <w:tcBorders>
              <w:tl2br w:val="nil"/>
              <w:tr2bl w:val="nil"/>
            </w:tcBorders>
            <w:vAlign w:val="center"/>
          </w:tcPr>
          <w:p w14:paraId="771D776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p>
        </w:tc>
        <w:tc>
          <w:tcPr>
            <w:tcW w:w="430" w:type="pct"/>
            <w:tcBorders>
              <w:tl2br w:val="nil"/>
              <w:tr2bl w:val="nil"/>
            </w:tcBorders>
            <w:vAlign w:val="center"/>
          </w:tcPr>
          <w:p w14:paraId="4E90019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2.5</w:t>
            </w:r>
          </w:p>
        </w:tc>
        <w:tc>
          <w:tcPr>
            <w:tcW w:w="404" w:type="pct"/>
            <w:tcBorders>
              <w:tl2br w:val="nil"/>
              <w:tr2bl w:val="nil"/>
            </w:tcBorders>
            <w:vAlign w:val="center"/>
          </w:tcPr>
          <w:p w14:paraId="58D8B1F8">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SO</w:t>
            </w:r>
            <w:r>
              <w:rPr>
                <w:rFonts w:ascii="Times New Roman" w:hAnsi="Times New Roman" w:eastAsia="宋体" w:cs="Times New Roman"/>
                <w:color w:val="auto"/>
                <w:kern w:val="0"/>
                <w:sz w:val="21"/>
                <w:szCs w:val="21"/>
                <w:vertAlign w:val="subscript"/>
              </w:rPr>
              <w:t>2</w:t>
            </w:r>
          </w:p>
        </w:tc>
        <w:tc>
          <w:tcPr>
            <w:tcW w:w="505" w:type="pct"/>
            <w:tcBorders>
              <w:tl2br w:val="nil"/>
              <w:tr2bl w:val="nil"/>
            </w:tcBorders>
            <w:vAlign w:val="center"/>
          </w:tcPr>
          <w:p w14:paraId="73B093FF">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NO</w:t>
            </w:r>
            <w:r>
              <w:rPr>
                <w:rFonts w:ascii="Times New Roman" w:hAnsi="Times New Roman" w:eastAsia="宋体" w:cs="Times New Roman"/>
                <w:color w:val="auto"/>
                <w:kern w:val="0"/>
                <w:sz w:val="21"/>
                <w:szCs w:val="21"/>
                <w:vertAlign w:val="subscript"/>
              </w:rPr>
              <w:t>x</w:t>
            </w:r>
          </w:p>
        </w:tc>
        <w:tc>
          <w:tcPr>
            <w:tcW w:w="693" w:type="pct"/>
            <w:tcBorders>
              <w:tl2br w:val="nil"/>
              <w:tr2bl w:val="nil"/>
            </w:tcBorders>
            <w:vAlign w:val="center"/>
          </w:tcPr>
          <w:p w14:paraId="6E3E908D">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汞及其化合物</w:t>
            </w:r>
          </w:p>
        </w:tc>
        <w:tc>
          <w:tcPr>
            <w:tcW w:w="277" w:type="pct"/>
            <w:tcBorders>
              <w:tl2br w:val="nil"/>
              <w:tr2bl w:val="nil"/>
            </w:tcBorders>
            <w:vAlign w:val="center"/>
          </w:tcPr>
          <w:p w14:paraId="1A97AB9F">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FF0000"/>
                <w:kern w:val="0"/>
                <w:sz w:val="21"/>
                <w:szCs w:val="21"/>
                <w:vertAlign w:val="subscript"/>
                <w:lang w:val="en-US" w:eastAsia="zh-CN"/>
              </w:rPr>
            </w:pPr>
            <w:r>
              <w:rPr>
                <w:rFonts w:hint="eastAsia" w:ascii="Times New Roman" w:hAnsi="Times New Roman" w:eastAsia="宋体" w:cs="Times New Roman"/>
                <w:color w:val="FF0000"/>
                <w:kern w:val="0"/>
                <w:sz w:val="21"/>
                <w:szCs w:val="21"/>
                <w:lang w:val="en-US" w:eastAsia="zh-CN"/>
              </w:rPr>
              <w:t>NH</w:t>
            </w:r>
            <w:r>
              <w:rPr>
                <w:rFonts w:hint="eastAsia" w:ascii="Times New Roman" w:hAnsi="Times New Roman" w:eastAsia="宋体" w:cs="Times New Roman"/>
                <w:color w:val="FF0000"/>
                <w:kern w:val="0"/>
                <w:sz w:val="21"/>
                <w:szCs w:val="21"/>
                <w:vertAlign w:val="subscript"/>
                <w:lang w:val="en-US" w:eastAsia="zh-CN"/>
              </w:rPr>
              <w:t>3</w:t>
            </w:r>
          </w:p>
        </w:tc>
        <w:tc>
          <w:tcPr>
            <w:tcW w:w="886" w:type="pct"/>
            <w:tcBorders>
              <w:tl2br w:val="nil"/>
              <w:tr2bl w:val="nil"/>
            </w:tcBorders>
            <w:vAlign w:val="center"/>
          </w:tcPr>
          <w:p w14:paraId="72CBD1BC">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TSP</w:t>
            </w:r>
          </w:p>
        </w:tc>
      </w:tr>
      <w:tr w14:paraId="408BF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46" w:type="pct"/>
            <w:tcBorders>
              <w:tl2br w:val="nil"/>
              <w:tr2bl w:val="nil"/>
            </w:tcBorders>
            <w:vAlign w:val="center"/>
          </w:tcPr>
          <w:p w14:paraId="34E09B8A">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2台42MW链条炉排热水锅炉</w:t>
            </w:r>
          </w:p>
        </w:tc>
        <w:tc>
          <w:tcPr>
            <w:tcW w:w="455" w:type="pct"/>
            <w:tcBorders>
              <w:tl2br w:val="nil"/>
              <w:tr2bl w:val="nil"/>
            </w:tcBorders>
            <w:vAlign w:val="center"/>
          </w:tcPr>
          <w:p w14:paraId="3C4D64A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2.427</w:t>
            </w:r>
          </w:p>
        </w:tc>
        <w:tc>
          <w:tcPr>
            <w:tcW w:w="430" w:type="pct"/>
            <w:tcBorders>
              <w:tl2br w:val="nil"/>
              <w:tr2bl w:val="nil"/>
            </w:tcBorders>
            <w:vAlign w:val="center"/>
          </w:tcPr>
          <w:p w14:paraId="45DAFA1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1.578</w:t>
            </w:r>
          </w:p>
        </w:tc>
        <w:tc>
          <w:tcPr>
            <w:tcW w:w="404" w:type="pct"/>
            <w:tcBorders>
              <w:tl2br w:val="nil"/>
              <w:tr2bl w:val="nil"/>
            </w:tcBorders>
            <w:vAlign w:val="center"/>
          </w:tcPr>
          <w:p w14:paraId="76EB3192">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3.954</w:t>
            </w:r>
          </w:p>
        </w:tc>
        <w:tc>
          <w:tcPr>
            <w:tcW w:w="505" w:type="pct"/>
            <w:tcBorders>
              <w:tl2br w:val="nil"/>
              <w:tr2bl w:val="nil"/>
            </w:tcBorders>
            <w:vAlign w:val="center"/>
          </w:tcPr>
          <w:p w14:paraId="3427FA7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18.897</w:t>
            </w:r>
          </w:p>
        </w:tc>
        <w:tc>
          <w:tcPr>
            <w:tcW w:w="693" w:type="pct"/>
            <w:tcBorders>
              <w:tl2br w:val="nil"/>
              <w:tr2bl w:val="nil"/>
            </w:tcBorders>
            <w:vAlign w:val="center"/>
          </w:tcPr>
          <w:p w14:paraId="47D3345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0.00048</w:t>
            </w:r>
          </w:p>
        </w:tc>
        <w:tc>
          <w:tcPr>
            <w:tcW w:w="277" w:type="pct"/>
            <w:tcBorders>
              <w:tl2br w:val="nil"/>
              <w:tr2bl w:val="nil"/>
            </w:tcBorders>
            <w:vAlign w:val="center"/>
          </w:tcPr>
          <w:p w14:paraId="74F712F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0.27</w:t>
            </w:r>
          </w:p>
        </w:tc>
        <w:tc>
          <w:tcPr>
            <w:tcW w:w="886" w:type="pct"/>
            <w:tcBorders>
              <w:tl2br w:val="nil"/>
              <w:tr2bl w:val="nil"/>
            </w:tcBorders>
            <w:vAlign w:val="center"/>
          </w:tcPr>
          <w:p w14:paraId="7AE8926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r>
      <w:tr w14:paraId="440E6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46" w:type="pct"/>
            <w:tcBorders>
              <w:tl2br w:val="nil"/>
              <w:tr2bl w:val="nil"/>
            </w:tcBorders>
            <w:vAlign w:val="center"/>
          </w:tcPr>
          <w:p w14:paraId="01C95B4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煤库</w:t>
            </w:r>
          </w:p>
        </w:tc>
        <w:tc>
          <w:tcPr>
            <w:tcW w:w="455" w:type="pct"/>
            <w:tcBorders>
              <w:tl2br w:val="nil"/>
              <w:tr2bl w:val="nil"/>
            </w:tcBorders>
            <w:vAlign w:val="center"/>
          </w:tcPr>
          <w:p w14:paraId="3D1C3320">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430" w:type="pct"/>
            <w:tcBorders>
              <w:tl2br w:val="nil"/>
              <w:tr2bl w:val="nil"/>
            </w:tcBorders>
            <w:vAlign w:val="center"/>
          </w:tcPr>
          <w:p w14:paraId="2FDA058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404" w:type="pct"/>
            <w:tcBorders>
              <w:tl2br w:val="nil"/>
              <w:tr2bl w:val="nil"/>
            </w:tcBorders>
            <w:vAlign w:val="center"/>
          </w:tcPr>
          <w:p w14:paraId="61F8452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505" w:type="pct"/>
            <w:tcBorders>
              <w:tl2br w:val="nil"/>
              <w:tr2bl w:val="nil"/>
            </w:tcBorders>
            <w:vAlign w:val="center"/>
          </w:tcPr>
          <w:p w14:paraId="4999096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693" w:type="pct"/>
            <w:tcBorders>
              <w:tl2br w:val="nil"/>
              <w:tr2bl w:val="nil"/>
            </w:tcBorders>
            <w:vAlign w:val="center"/>
          </w:tcPr>
          <w:p w14:paraId="33E9B61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277" w:type="pct"/>
            <w:tcBorders>
              <w:tl2br w:val="nil"/>
              <w:tr2bl w:val="nil"/>
            </w:tcBorders>
            <w:vAlign w:val="center"/>
          </w:tcPr>
          <w:p w14:paraId="26CBE21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eastAsia"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w:t>
            </w:r>
          </w:p>
        </w:tc>
        <w:tc>
          <w:tcPr>
            <w:tcW w:w="886" w:type="pct"/>
            <w:tcBorders>
              <w:tl2br w:val="nil"/>
              <w:tr2bl w:val="nil"/>
            </w:tcBorders>
            <w:vAlign w:val="center"/>
          </w:tcPr>
          <w:p w14:paraId="3580E868">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0.003</w:t>
            </w:r>
          </w:p>
        </w:tc>
      </w:tr>
    </w:tbl>
    <w:p w14:paraId="11C0F8A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kern w:val="0"/>
          <w:szCs w:val="24"/>
          <w:lang w:eastAsia="zh-CN"/>
        </w:rPr>
      </w:pPr>
      <w:r>
        <w:rPr>
          <w:rFonts w:hint="eastAsia" w:ascii="Times New Roman" w:hAnsi="Times New Roman" w:eastAsia="宋体" w:cs="Times New Roman"/>
          <w:color w:val="auto"/>
          <w:kern w:val="0"/>
          <w:szCs w:val="24"/>
          <w:lang w:eastAsia="zh-CN"/>
        </w:rPr>
        <w:t>（</w:t>
      </w:r>
      <w:r>
        <w:rPr>
          <w:rFonts w:hint="eastAsia" w:ascii="Times New Roman" w:hAnsi="Times New Roman" w:eastAsia="宋体" w:cs="Times New Roman"/>
          <w:color w:val="auto"/>
          <w:kern w:val="0"/>
          <w:szCs w:val="24"/>
          <w:lang w:val="en-US" w:eastAsia="zh-CN"/>
        </w:rPr>
        <w:t>2</w:t>
      </w:r>
      <w:r>
        <w:rPr>
          <w:rFonts w:hint="eastAsia" w:ascii="Times New Roman" w:hAnsi="Times New Roman" w:eastAsia="宋体" w:cs="Times New Roman"/>
          <w:color w:val="auto"/>
          <w:kern w:val="0"/>
          <w:szCs w:val="24"/>
          <w:lang w:eastAsia="zh-CN"/>
        </w:rPr>
        <w:t>）厂区现有污染源</w:t>
      </w:r>
    </w:p>
    <w:p w14:paraId="026CE235">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3</w:t>
      </w:r>
      <w:r>
        <w:rPr>
          <w:rFonts w:hint="eastAsia" w:ascii="Times New Roman" w:hAnsi="Times New Roman" w:eastAsia="宋体" w:cs="Times New Roman"/>
          <w:b/>
          <w:bCs/>
          <w:color w:val="auto"/>
          <w:sz w:val="24"/>
          <w:szCs w:val="24"/>
          <w:lang w:val="en-US" w:eastAsia="zh-CN"/>
        </w:rPr>
        <w:t>2</w:t>
      </w:r>
      <w:r>
        <w:rPr>
          <w:rFonts w:hint="default" w:ascii="Times New Roman" w:hAnsi="Times New Roman" w:eastAsia="宋体" w:cs="Times New Roman"/>
          <w:b/>
          <w:bCs/>
          <w:color w:val="auto"/>
          <w:sz w:val="24"/>
          <w:szCs w:val="24"/>
          <w:lang w:eastAsia="zh-CN"/>
        </w:rPr>
        <w:t xml:space="preserve">  厂区现有污染源一览表</w:t>
      </w:r>
    </w:p>
    <w:tbl>
      <w:tblPr>
        <w:tblStyle w:val="4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9"/>
        <w:gridCol w:w="1471"/>
        <w:gridCol w:w="1481"/>
        <w:gridCol w:w="1493"/>
        <w:gridCol w:w="1756"/>
      </w:tblGrid>
      <w:tr w14:paraId="0421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1" w:type="pct"/>
            <w:vMerge w:val="restart"/>
            <w:tcBorders>
              <w:tl2br w:val="nil"/>
              <w:tr2bl w:val="nil"/>
            </w:tcBorders>
            <w:vAlign w:val="center"/>
          </w:tcPr>
          <w:p w14:paraId="47D6820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污染源</w:t>
            </w:r>
          </w:p>
        </w:tc>
        <w:tc>
          <w:tcPr>
            <w:tcW w:w="3638" w:type="pct"/>
            <w:gridSpan w:val="4"/>
            <w:tcBorders>
              <w:tl2br w:val="nil"/>
              <w:tr2bl w:val="nil"/>
            </w:tcBorders>
            <w:vAlign w:val="center"/>
          </w:tcPr>
          <w:p w14:paraId="2D5C6F93">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污染物排放速率（kg/h）</w:t>
            </w:r>
          </w:p>
        </w:tc>
      </w:tr>
      <w:tr w14:paraId="05CAD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1" w:type="pct"/>
            <w:vMerge w:val="continue"/>
            <w:tcBorders>
              <w:tl2br w:val="nil"/>
              <w:tr2bl w:val="nil"/>
            </w:tcBorders>
            <w:vAlign w:val="center"/>
          </w:tcPr>
          <w:p w14:paraId="491E4757">
            <w:pPr>
              <w:keepNext w:val="0"/>
              <w:keepLines w:val="0"/>
              <w:pageBreakBefore w:val="0"/>
              <w:kinsoku/>
              <w:wordWrap/>
              <w:overflowPunct/>
              <w:topLinePunct w:val="0"/>
              <w:autoSpaceDE/>
              <w:autoSpaceDN/>
              <w:bidi w:val="0"/>
              <w:adjustRightInd/>
              <w:snapToGrid/>
              <w:spacing w:line="320" w:lineRule="exact"/>
              <w:ind w:firstLine="0" w:firstLineChars="0"/>
              <w:rPr>
                <w:rFonts w:ascii="Times New Roman" w:hAnsi="Times New Roman" w:eastAsia="宋体" w:cs="Times New Roman"/>
                <w:color w:val="auto"/>
                <w:sz w:val="21"/>
                <w:szCs w:val="21"/>
              </w:rPr>
            </w:pPr>
          </w:p>
        </w:tc>
        <w:tc>
          <w:tcPr>
            <w:tcW w:w="863" w:type="pct"/>
            <w:tcBorders>
              <w:tl2br w:val="nil"/>
              <w:tr2bl w:val="nil"/>
            </w:tcBorders>
            <w:vAlign w:val="center"/>
          </w:tcPr>
          <w:p w14:paraId="45C821D4">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iCs/>
                <w:color w:val="auto"/>
                <w:kern w:val="0"/>
                <w:sz w:val="21"/>
                <w:szCs w:val="21"/>
              </w:rPr>
              <w:t>PM</w:t>
            </w:r>
            <w:r>
              <w:rPr>
                <w:rFonts w:ascii="Times New Roman" w:hAnsi="Times New Roman" w:eastAsia="宋体" w:cs="Times New Roman"/>
                <w:iCs/>
                <w:color w:val="auto"/>
                <w:kern w:val="0"/>
                <w:sz w:val="21"/>
                <w:szCs w:val="21"/>
                <w:vertAlign w:val="subscript"/>
              </w:rPr>
              <w:t>10</w:t>
            </w:r>
          </w:p>
        </w:tc>
        <w:tc>
          <w:tcPr>
            <w:tcW w:w="869" w:type="pct"/>
            <w:tcBorders>
              <w:tl2br w:val="nil"/>
              <w:tr2bl w:val="nil"/>
            </w:tcBorders>
            <w:vAlign w:val="center"/>
          </w:tcPr>
          <w:p w14:paraId="7239AD3D">
            <w:pPr>
              <w:keepNext w:val="0"/>
              <w:keepLines w:val="0"/>
              <w:pageBreakBefore w:val="0"/>
              <w:kinsoku/>
              <w:wordWrap/>
              <w:overflowPunct/>
              <w:topLinePunct w:val="0"/>
              <w:autoSpaceDE/>
              <w:autoSpaceDN/>
              <w:bidi w:val="0"/>
              <w:adjustRightInd/>
              <w:snapToGrid/>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PM</w:t>
            </w:r>
            <w:r>
              <w:rPr>
                <w:rFonts w:hint="eastAsia" w:ascii="Times New Roman" w:hAnsi="Times New Roman" w:eastAsia="宋体" w:cs="Times New Roman"/>
                <w:color w:val="auto"/>
                <w:sz w:val="21"/>
                <w:szCs w:val="21"/>
                <w:vertAlign w:val="subscript"/>
                <w:lang w:val="en-US" w:eastAsia="zh-CN"/>
              </w:rPr>
              <w:t>2.5</w:t>
            </w:r>
          </w:p>
        </w:tc>
        <w:tc>
          <w:tcPr>
            <w:tcW w:w="876" w:type="pct"/>
            <w:tcBorders>
              <w:tl2br w:val="nil"/>
              <w:tr2bl w:val="nil"/>
            </w:tcBorders>
            <w:vAlign w:val="center"/>
          </w:tcPr>
          <w:p w14:paraId="02BB773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SO</w:t>
            </w:r>
            <w:r>
              <w:rPr>
                <w:rFonts w:ascii="Times New Roman" w:hAnsi="Times New Roman" w:eastAsia="宋体" w:cs="Times New Roman"/>
                <w:color w:val="auto"/>
                <w:kern w:val="0"/>
                <w:sz w:val="21"/>
                <w:szCs w:val="21"/>
                <w:vertAlign w:val="subscript"/>
              </w:rPr>
              <w:t>2</w:t>
            </w:r>
          </w:p>
        </w:tc>
        <w:tc>
          <w:tcPr>
            <w:tcW w:w="1028" w:type="pct"/>
            <w:tcBorders>
              <w:tl2br w:val="nil"/>
              <w:tr2bl w:val="nil"/>
            </w:tcBorders>
            <w:vAlign w:val="center"/>
          </w:tcPr>
          <w:p w14:paraId="4EA7E376">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iCs/>
                <w:snapToGrid w:val="0"/>
                <w:color w:val="auto"/>
                <w:kern w:val="0"/>
                <w:sz w:val="21"/>
                <w:szCs w:val="21"/>
              </w:rPr>
            </w:pPr>
            <w:r>
              <w:rPr>
                <w:rFonts w:ascii="Times New Roman" w:hAnsi="Times New Roman" w:eastAsia="宋体" w:cs="Times New Roman"/>
                <w:color w:val="auto"/>
                <w:kern w:val="0"/>
                <w:sz w:val="21"/>
                <w:szCs w:val="21"/>
              </w:rPr>
              <w:t>NO</w:t>
            </w:r>
            <w:r>
              <w:rPr>
                <w:rFonts w:ascii="Times New Roman" w:hAnsi="Times New Roman" w:eastAsia="宋体" w:cs="Times New Roman"/>
                <w:color w:val="auto"/>
                <w:kern w:val="0"/>
                <w:sz w:val="21"/>
                <w:szCs w:val="21"/>
                <w:vertAlign w:val="subscript"/>
              </w:rPr>
              <w:t>x</w:t>
            </w:r>
          </w:p>
        </w:tc>
      </w:tr>
      <w:tr w14:paraId="7154B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61" w:type="pct"/>
            <w:tcBorders>
              <w:tl2br w:val="nil"/>
              <w:tr2bl w:val="nil"/>
            </w:tcBorders>
            <w:vAlign w:val="center"/>
          </w:tcPr>
          <w:p w14:paraId="5E130D1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w:t>
            </w:r>
            <w:r>
              <w:rPr>
                <w:rFonts w:hint="eastAsia" w:ascii="Times New Roman" w:hAnsi="Times New Roman" w:eastAsia="宋体" w:cs="Times New Roman"/>
                <w:color w:val="auto"/>
                <w:sz w:val="21"/>
                <w:szCs w:val="21"/>
              </w:rPr>
              <w:t>台</w:t>
            </w:r>
            <w:r>
              <w:rPr>
                <w:rFonts w:hint="eastAsia" w:ascii="Times New Roman" w:hAnsi="Times New Roman" w:eastAsia="宋体" w:cs="Times New Roman"/>
                <w:color w:val="auto"/>
                <w:sz w:val="21"/>
                <w:szCs w:val="21"/>
                <w:lang w:val="en-US" w:eastAsia="zh-CN"/>
              </w:rPr>
              <w:t>46</w:t>
            </w:r>
            <w:r>
              <w:rPr>
                <w:rFonts w:hint="eastAsia" w:ascii="Times New Roman" w:hAnsi="Times New Roman" w:eastAsia="宋体" w:cs="Times New Roman"/>
                <w:color w:val="auto"/>
                <w:sz w:val="21"/>
                <w:szCs w:val="21"/>
              </w:rPr>
              <w:t>MW</w:t>
            </w:r>
          </w:p>
        </w:tc>
        <w:tc>
          <w:tcPr>
            <w:tcW w:w="863" w:type="pct"/>
            <w:tcBorders>
              <w:tl2br w:val="nil"/>
              <w:tr2bl w:val="nil"/>
            </w:tcBorders>
            <w:vAlign w:val="center"/>
          </w:tcPr>
          <w:p w14:paraId="57FEDCA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2.137</w:t>
            </w:r>
          </w:p>
        </w:tc>
        <w:tc>
          <w:tcPr>
            <w:tcW w:w="869" w:type="pct"/>
            <w:tcBorders>
              <w:tl2br w:val="nil"/>
              <w:tr2bl w:val="nil"/>
            </w:tcBorders>
            <w:vAlign w:val="center"/>
          </w:tcPr>
          <w:p w14:paraId="02390B5F">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1.389</w:t>
            </w:r>
          </w:p>
        </w:tc>
        <w:tc>
          <w:tcPr>
            <w:tcW w:w="876" w:type="pct"/>
            <w:tcBorders>
              <w:tl2br w:val="nil"/>
              <w:tr2bl w:val="nil"/>
            </w:tcBorders>
            <w:vAlign w:val="center"/>
          </w:tcPr>
          <w:p w14:paraId="2F55C94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18.081</w:t>
            </w:r>
          </w:p>
        </w:tc>
        <w:tc>
          <w:tcPr>
            <w:tcW w:w="1028" w:type="pct"/>
            <w:tcBorders>
              <w:tl2br w:val="nil"/>
              <w:tr2bl w:val="nil"/>
            </w:tcBorders>
            <w:vAlign w:val="center"/>
          </w:tcPr>
          <w:p w14:paraId="0572A71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25.395</w:t>
            </w:r>
          </w:p>
        </w:tc>
      </w:tr>
    </w:tbl>
    <w:p w14:paraId="68B15A8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kern w:val="0"/>
          <w:szCs w:val="24"/>
          <w:lang w:eastAsia="zh-CN"/>
        </w:rPr>
      </w:pPr>
      <w:r>
        <w:rPr>
          <w:rFonts w:hint="eastAsia" w:ascii="Times New Roman" w:hAnsi="Times New Roman" w:eastAsia="宋体" w:cs="Times New Roman"/>
          <w:color w:val="auto"/>
          <w:kern w:val="0"/>
          <w:szCs w:val="24"/>
          <w:lang w:eastAsia="zh-CN"/>
        </w:rPr>
        <w:t>本项目污染物排放量核算情况见表6.2-3</w:t>
      </w:r>
      <w:r>
        <w:rPr>
          <w:rFonts w:hint="eastAsia" w:ascii="Times New Roman" w:hAnsi="Times New Roman" w:eastAsia="宋体" w:cs="Times New Roman"/>
          <w:color w:val="auto"/>
          <w:kern w:val="0"/>
          <w:szCs w:val="24"/>
          <w:lang w:val="en-US" w:eastAsia="zh-CN"/>
        </w:rPr>
        <w:t>3</w:t>
      </w:r>
      <w:r>
        <w:rPr>
          <w:rFonts w:hint="eastAsia" w:ascii="Times New Roman" w:hAnsi="Times New Roman" w:eastAsia="宋体" w:cs="Times New Roman"/>
          <w:color w:val="auto"/>
          <w:kern w:val="0"/>
          <w:szCs w:val="24"/>
          <w:lang w:eastAsia="zh-CN"/>
        </w:rPr>
        <w:t>~表6.2-3</w:t>
      </w:r>
      <w:r>
        <w:rPr>
          <w:rFonts w:hint="eastAsia" w:ascii="Times New Roman" w:hAnsi="Times New Roman" w:eastAsia="宋体" w:cs="Times New Roman"/>
          <w:color w:val="auto"/>
          <w:kern w:val="0"/>
          <w:szCs w:val="24"/>
          <w:lang w:val="en-US" w:eastAsia="zh-CN"/>
        </w:rPr>
        <w:t>6</w:t>
      </w:r>
      <w:r>
        <w:rPr>
          <w:rFonts w:hint="eastAsia" w:ascii="Times New Roman" w:hAnsi="Times New Roman" w:eastAsia="宋体" w:cs="Times New Roman"/>
          <w:color w:val="auto"/>
          <w:kern w:val="0"/>
          <w:szCs w:val="24"/>
          <w:lang w:eastAsia="zh-CN"/>
        </w:rPr>
        <w:t>。</w:t>
      </w:r>
    </w:p>
    <w:p w14:paraId="63B1BB2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287263E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116A2DA9">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28EFF959">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3</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eastAsia="zh-CN"/>
        </w:rPr>
        <w:t xml:space="preserve">  本项目大气污染物有组织排放量核算表</w:t>
      </w:r>
    </w:p>
    <w:tbl>
      <w:tblPr>
        <w:tblStyle w:val="4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9"/>
        <w:gridCol w:w="855"/>
        <w:gridCol w:w="1368"/>
        <w:gridCol w:w="1448"/>
        <w:gridCol w:w="1636"/>
        <w:gridCol w:w="1406"/>
        <w:gridCol w:w="1377"/>
      </w:tblGrid>
      <w:tr w14:paraId="032F2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 w:type="pct"/>
            <w:tcBorders>
              <w:tl2br w:val="nil"/>
              <w:tr2bl w:val="nil"/>
            </w:tcBorders>
            <w:vAlign w:val="center"/>
          </w:tcPr>
          <w:p w14:paraId="5BA95ED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序号</w:t>
            </w:r>
          </w:p>
        </w:tc>
        <w:tc>
          <w:tcPr>
            <w:tcW w:w="501" w:type="pct"/>
            <w:tcBorders>
              <w:tl2br w:val="nil"/>
              <w:tr2bl w:val="nil"/>
            </w:tcBorders>
            <w:vAlign w:val="center"/>
          </w:tcPr>
          <w:p w14:paraId="43867D9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排放口</w:t>
            </w:r>
          </w:p>
        </w:tc>
        <w:tc>
          <w:tcPr>
            <w:tcW w:w="803" w:type="pct"/>
            <w:tcBorders>
              <w:tl2br w:val="nil"/>
              <w:tr2bl w:val="nil"/>
            </w:tcBorders>
            <w:vAlign w:val="center"/>
          </w:tcPr>
          <w:p w14:paraId="4BD0130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污染源</w:t>
            </w:r>
          </w:p>
        </w:tc>
        <w:tc>
          <w:tcPr>
            <w:tcW w:w="850" w:type="pct"/>
            <w:tcBorders>
              <w:tl2br w:val="nil"/>
              <w:tr2bl w:val="nil"/>
            </w:tcBorders>
            <w:vAlign w:val="center"/>
          </w:tcPr>
          <w:p w14:paraId="7BB90E7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污染物</w:t>
            </w:r>
          </w:p>
        </w:tc>
        <w:tc>
          <w:tcPr>
            <w:tcW w:w="960" w:type="pct"/>
            <w:tcBorders>
              <w:tl2br w:val="nil"/>
              <w:tr2bl w:val="nil"/>
            </w:tcBorders>
            <w:vAlign w:val="center"/>
          </w:tcPr>
          <w:p w14:paraId="7DDFDCD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核算排放浓度（mg/m</w:t>
            </w:r>
            <w:r>
              <w:rPr>
                <w:rFonts w:eastAsia="宋体" w:cs="Times New Roman"/>
                <w:color w:val="auto"/>
                <w:sz w:val="21"/>
                <w:szCs w:val="21"/>
                <w:vertAlign w:val="superscript"/>
              </w:rPr>
              <w:t>3</w:t>
            </w:r>
            <w:r>
              <w:rPr>
                <w:rFonts w:eastAsia="宋体" w:cs="Times New Roman"/>
                <w:color w:val="auto"/>
                <w:sz w:val="21"/>
                <w:szCs w:val="21"/>
              </w:rPr>
              <w:t>）</w:t>
            </w:r>
          </w:p>
        </w:tc>
        <w:tc>
          <w:tcPr>
            <w:tcW w:w="823" w:type="pct"/>
            <w:tcBorders>
              <w:tl2br w:val="nil"/>
              <w:tr2bl w:val="nil"/>
            </w:tcBorders>
            <w:vAlign w:val="center"/>
          </w:tcPr>
          <w:p w14:paraId="07EC0C8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核算排放速率（kg/h）</w:t>
            </w:r>
          </w:p>
        </w:tc>
        <w:tc>
          <w:tcPr>
            <w:tcW w:w="806" w:type="pct"/>
            <w:tcBorders>
              <w:tl2br w:val="nil"/>
              <w:tr2bl w:val="nil"/>
            </w:tcBorders>
            <w:vAlign w:val="center"/>
          </w:tcPr>
          <w:p w14:paraId="3649619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核算年排放量（t/a）</w:t>
            </w:r>
          </w:p>
        </w:tc>
      </w:tr>
      <w:tr w14:paraId="6CD98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 w:type="pct"/>
            <w:vMerge w:val="restart"/>
            <w:tcBorders>
              <w:tl2br w:val="nil"/>
              <w:tr2bl w:val="nil"/>
            </w:tcBorders>
            <w:vAlign w:val="center"/>
          </w:tcPr>
          <w:p w14:paraId="34703A0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501" w:type="pct"/>
            <w:vMerge w:val="restart"/>
            <w:tcBorders>
              <w:tl2br w:val="nil"/>
              <w:tr2bl w:val="nil"/>
            </w:tcBorders>
            <w:vAlign w:val="center"/>
          </w:tcPr>
          <w:p w14:paraId="74BD292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烟囱</w:t>
            </w:r>
          </w:p>
        </w:tc>
        <w:tc>
          <w:tcPr>
            <w:tcW w:w="803" w:type="pct"/>
            <w:vMerge w:val="restart"/>
            <w:tcBorders>
              <w:tl2br w:val="nil"/>
              <w:tr2bl w:val="nil"/>
            </w:tcBorders>
            <w:vAlign w:val="center"/>
          </w:tcPr>
          <w:p w14:paraId="1992F71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bCs/>
                <w:color w:val="auto"/>
                <w:sz w:val="21"/>
                <w:szCs w:val="21"/>
                <w:lang w:eastAsia="zh-CN"/>
              </w:rPr>
            </w:pPr>
            <w:r>
              <w:rPr>
                <w:rFonts w:hint="eastAsia" w:eastAsia="宋体" w:cs="Times New Roman"/>
                <w:bCs/>
                <w:color w:val="auto"/>
                <w:sz w:val="21"/>
                <w:szCs w:val="21"/>
                <w:lang w:eastAsia="zh-CN"/>
              </w:rPr>
              <w:t>2×42MW链条炉排热水锅炉</w:t>
            </w:r>
          </w:p>
        </w:tc>
        <w:tc>
          <w:tcPr>
            <w:tcW w:w="850" w:type="pct"/>
            <w:tcBorders>
              <w:tl2br w:val="nil"/>
              <w:tr2bl w:val="nil"/>
            </w:tcBorders>
            <w:vAlign w:val="center"/>
          </w:tcPr>
          <w:p w14:paraId="454F4FC5">
            <w:pPr>
              <w:keepNext w:val="0"/>
              <w:keepLines w:val="0"/>
              <w:pageBreakBefore w:val="0"/>
              <w:kinsoku/>
              <w:wordWrap/>
              <w:overflowPunct/>
              <w:topLinePunct w:val="0"/>
              <w:autoSpaceDE/>
              <w:autoSpaceDN/>
              <w:bidi w:val="0"/>
              <w:adjustRightInd w:val="0"/>
              <w:snapToGrid w:val="0"/>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bCs/>
                <w:color w:val="auto"/>
                <w:sz w:val="21"/>
                <w:szCs w:val="21"/>
              </w:rPr>
              <w:t>PM</w:t>
            </w:r>
            <w:r>
              <w:rPr>
                <w:rFonts w:hint="eastAsia" w:ascii="Times New Roman" w:hAnsi="Times New Roman" w:eastAsia="宋体" w:cs="Times New Roman"/>
                <w:bCs/>
                <w:color w:val="auto"/>
                <w:sz w:val="21"/>
                <w:szCs w:val="21"/>
                <w:vertAlign w:val="subscript"/>
              </w:rPr>
              <w:t>10</w:t>
            </w:r>
          </w:p>
        </w:tc>
        <w:tc>
          <w:tcPr>
            <w:tcW w:w="960" w:type="pct"/>
            <w:tcBorders>
              <w:tl2br w:val="nil"/>
              <w:tr2bl w:val="nil"/>
            </w:tcBorders>
            <w:vAlign w:val="center"/>
          </w:tcPr>
          <w:p w14:paraId="242717D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ascii="Times New Roman" w:hAnsi="Times New Roman" w:eastAsia="宋体" w:cs="Times New Roman"/>
                <w:bCs/>
                <w:color w:val="auto"/>
                <w:sz w:val="21"/>
                <w:szCs w:val="21"/>
              </w:rPr>
            </w:pPr>
            <w:r>
              <w:rPr>
                <w:rFonts w:hint="eastAsia" w:ascii="Times New Roman" w:hAnsi="Times New Roman" w:cs="Times New Roman"/>
                <w:color w:val="auto"/>
                <w:sz w:val="21"/>
                <w:szCs w:val="21"/>
                <w:highlight w:val="none"/>
                <w:lang w:val="en-US" w:eastAsia="zh-CN"/>
              </w:rPr>
              <w:t>22.476</w:t>
            </w:r>
          </w:p>
        </w:tc>
        <w:tc>
          <w:tcPr>
            <w:tcW w:w="823" w:type="pct"/>
            <w:tcBorders>
              <w:tl2br w:val="nil"/>
              <w:tr2bl w:val="nil"/>
            </w:tcBorders>
            <w:vAlign w:val="center"/>
          </w:tcPr>
          <w:p w14:paraId="3FDB628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highlight w:val="none"/>
                <w:lang w:val="en-US" w:eastAsia="zh-CN"/>
              </w:rPr>
              <w:t>2.427</w:t>
            </w:r>
          </w:p>
        </w:tc>
        <w:tc>
          <w:tcPr>
            <w:tcW w:w="806" w:type="pct"/>
            <w:tcBorders>
              <w:tl2br w:val="nil"/>
              <w:tr2bl w:val="nil"/>
            </w:tcBorders>
            <w:vAlign w:val="center"/>
          </w:tcPr>
          <w:p w14:paraId="209E9750">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eastAsia" w:ascii="Times New Roman" w:hAnsi="Times New Roman" w:eastAsia="宋体" w:cs="Times New Roman"/>
                <w:bCs/>
                <w:color w:val="auto"/>
                <w:sz w:val="21"/>
                <w:szCs w:val="21"/>
                <w:lang w:eastAsia="zh-CN"/>
              </w:rPr>
            </w:pPr>
            <w:r>
              <w:rPr>
                <w:rFonts w:hint="eastAsia" w:ascii="Times New Roman" w:hAnsi="Times New Roman" w:cs="Times New Roman"/>
                <w:color w:val="auto"/>
                <w:sz w:val="21"/>
                <w:szCs w:val="21"/>
                <w:highlight w:val="none"/>
                <w:lang w:val="en-US" w:eastAsia="zh-CN"/>
              </w:rPr>
              <w:t>6.990</w:t>
            </w:r>
          </w:p>
        </w:tc>
      </w:tr>
      <w:tr w14:paraId="692DF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 w:type="pct"/>
            <w:vMerge w:val="continue"/>
            <w:tcBorders>
              <w:tl2br w:val="nil"/>
              <w:tr2bl w:val="nil"/>
            </w:tcBorders>
            <w:vAlign w:val="center"/>
          </w:tcPr>
          <w:p w14:paraId="71EE880F">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501" w:type="pct"/>
            <w:vMerge w:val="continue"/>
            <w:tcBorders>
              <w:tl2br w:val="nil"/>
              <w:tr2bl w:val="nil"/>
            </w:tcBorders>
            <w:vAlign w:val="center"/>
          </w:tcPr>
          <w:p w14:paraId="36EA3AE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803" w:type="pct"/>
            <w:vMerge w:val="continue"/>
            <w:tcBorders>
              <w:tl2br w:val="nil"/>
              <w:tr2bl w:val="nil"/>
            </w:tcBorders>
            <w:vAlign w:val="center"/>
          </w:tcPr>
          <w:p w14:paraId="1379EB3B">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bCs/>
                <w:color w:val="auto"/>
                <w:sz w:val="21"/>
                <w:szCs w:val="21"/>
              </w:rPr>
            </w:pPr>
          </w:p>
        </w:tc>
        <w:tc>
          <w:tcPr>
            <w:tcW w:w="850" w:type="pct"/>
            <w:tcBorders>
              <w:tl2br w:val="nil"/>
              <w:tr2bl w:val="nil"/>
            </w:tcBorders>
            <w:vAlign w:val="center"/>
          </w:tcPr>
          <w:p w14:paraId="12358785">
            <w:pPr>
              <w:keepNext w:val="0"/>
              <w:keepLines w:val="0"/>
              <w:pageBreakBefore w:val="0"/>
              <w:kinsoku/>
              <w:wordWrap/>
              <w:overflowPunct/>
              <w:topLinePunct w:val="0"/>
              <w:autoSpaceDE/>
              <w:autoSpaceDN/>
              <w:bidi w:val="0"/>
              <w:adjustRightInd w:val="0"/>
              <w:snapToGrid w:val="0"/>
              <w:spacing w:line="320" w:lineRule="exact"/>
              <w:ind w:firstLine="0" w:firstLineChars="0"/>
              <w:jc w:val="center"/>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PM</w:t>
            </w:r>
            <w:r>
              <w:rPr>
                <w:rFonts w:hint="eastAsia" w:ascii="Times New Roman" w:hAnsi="Times New Roman" w:eastAsia="宋体" w:cs="Times New Roman"/>
                <w:bCs/>
                <w:color w:val="auto"/>
                <w:sz w:val="21"/>
                <w:szCs w:val="21"/>
                <w:vertAlign w:val="subscript"/>
              </w:rPr>
              <w:t>2.5</w:t>
            </w:r>
          </w:p>
        </w:tc>
        <w:tc>
          <w:tcPr>
            <w:tcW w:w="960" w:type="pct"/>
            <w:tcBorders>
              <w:tl2br w:val="nil"/>
              <w:tr2bl w:val="nil"/>
            </w:tcBorders>
            <w:vAlign w:val="center"/>
          </w:tcPr>
          <w:p w14:paraId="4EE0869E">
            <w:pPr>
              <w:keepNext w:val="0"/>
              <w:keepLines w:val="0"/>
              <w:pageBreakBefore w:val="0"/>
              <w:kinsoku/>
              <w:wordWrap/>
              <w:overflowPunct/>
              <w:topLinePunct w:val="0"/>
              <w:autoSpaceDE/>
              <w:autoSpaceDN/>
              <w:bidi w:val="0"/>
              <w:spacing w:line="320" w:lineRule="exact"/>
              <w:ind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14.614</w:t>
            </w:r>
          </w:p>
        </w:tc>
        <w:tc>
          <w:tcPr>
            <w:tcW w:w="823" w:type="pct"/>
            <w:tcBorders>
              <w:tl2br w:val="nil"/>
              <w:tr2bl w:val="nil"/>
            </w:tcBorders>
            <w:vAlign w:val="center"/>
          </w:tcPr>
          <w:p w14:paraId="191D2127">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1.578</w:t>
            </w:r>
          </w:p>
        </w:tc>
        <w:tc>
          <w:tcPr>
            <w:tcW w:w="806" w:type="pct"/>
            <w:tcBorders>
              <w:tl2br w:val="nil"/>
              <w:tr2bl w:val="nil"/>
            </w:tcBorders>
            <w:vAlign w:val="center"/>
          </w:tcPr>
          <w:p w14:paraId="141FDAB4">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4.544</w:t>
            </w:r>
          </w:p>
        </w:tc>
      </w:tr>
      <w:tr w14:paraId="59DDB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 w:type="pct"/>
            <w:vMerge w:val="continue"/>
            <w:tcBorders>
              <w:tl2br w:val="nil"/>
              <w:tr2bl w:val="nil"/>
            </w:tcBorders>
            <w:vAlign w:val="center"/>
          </w:tcPr>
          <w:p w14:paraId="04740EC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501" w:type="pct"/>
            <w:vMerge w:val="continue"/>
            <w:tcBorders>
              <w:tl2br w:val="nil"/>
              <w:tr2bl w:val="nil"/>
            </w:tcBorders>
            <w:vAlign w:val="center"/>
          </w:tcPr>
          <w:p w14:paraId="3CA0536D">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803" w:type="pct"/>
            <w:vMerge w:val="continue"/>
            <w:tcBorders>
              <w:tl2br w:val="nil"/>
              <w:tr2bl w:val="nil"/>
            </w:tcBorders>
            <w:vAlign w:val="center"/>
          </w:tcPr>
          <w:p w14:paraId="103C00B7">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p>
        </w:tc>
        <w:tc>
          <w:tcPr>
            <w:tcW w:w="850" w:type="pct"/>
            <w:tcBorders>
              <w:tl2br w:val="nil"/>
              <w:tr2bl w:val="nil"/>
            </w:tcBorders>
            <w:vAlign w:val="center"/>
          </w:tcPr>
          <w:p w14:paraId="5ABF78D7">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SO</w:t>
            </w:r>
            <w:r>
              <w:rPr>
                <w:rFonts w:ascii="Times New Roman" w:hAnsi="Times New Roman" w:cs="Times New Roman"/>
                <w:bCs/>
                <w:color w:val="auto"/>
                <w:sz w:val="21"/>
                <w:szCs w:val="21"/>
                <w:vertAlign w:val="subscript"/>
              </w:rPr>
              <w:t>2</w:t>
            </w:r>
          </w:p>
        </w:tc>
        <w:tc>
          <w:tcPr>
            <w:tcW w:w="960" w:type="pct"/>
            <w:tcBorders>
              <w:tl2br w:val="nil"/>
              <w:tr2bl w:val="nil"/>
            </w:tcBorders>
            <w:vAlign w:val="center"/>
          </w:tcPr>
          <w:p w14:paraId="3A4BA8C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ascii="Times New Roman" w:hAnsi="Times New Roman" w:eastAsia="宋体" w:cs="Times New Roman"/>
                <w:bCs/>
                <w:color w:val="auto"/>
                <w:sz w:val="21"/>
                <w:szCs w:val="21"/>
              </w:rPr>
            </w:pPr>
            <w:r>
              <w:rPr>
                <w:rFonts w:hint="eastAsia" w:cs="Times New Roman"/>
                <w:color w:val="auto"/>
                <w:sz w:val="21"/>
                <w:szCs w:val="21"/>
                <w:highlight w:val="none"/>
                <w:lang w:val="en-US" w:eastAsia="zh-CN"/>
              </w:rPr>
              <w:t>36.618</w:t>
            </w:r>
          </w:p>
        </w:tc>
        <w:tc>
          <w:tcPr>
            <w:tcW w:w="823" w:type="pct"/>
            <w:tcBorders>
              <w:tl2br w:val="nil"/>
              <w:tr2bl w:val="nil"/>
            </w:tcBorders>
            <w:vAlign w:val="center"/>
          </w:tcPr>
          <w:p w14:paraId="2352FF0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ascii="Times New Roman" w:hAnsi="Times New Roman" w:cs="Times New Roman"/>
                <w:color w:val="auto"/>
                <w:sz w:val="21"/>
                <w:szCs w:val="21"/>
                <w:highlight w:val="none"/>
                <w:lang w:val="en-US" w:eastAsia="zh-CN"/>
              </w:rPr>
              <w:t>3.954</w:t>
            </w:r>
          </w:p>
        </w:tc>
        <w:tc>
          <w:tcPr>
            <w:tcW w:w="806" w:type="pct"/>
            <w:tcBorders>
              <w:tl2br w:val="nil"/>
              <w:tr2bl w:val="nil"/>
            </w:tcBorders>
            <w:vAlign w:val="center"/>
          </w:tcPr>
          <w:p w14:paraId="1AB3C07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color w:val="auto"/>
                <w:sz w:val="21"/>
                <w:szCs w:val="21"/>
                <w:lang w:eastAsia="zh-CN"/>
              </w:rPr>
            </w:pPr>
            <w:r>
              <w:rPr>
                <w:rFonts w:hint="eastAsia" w:cs="Times New Roman"/>
                <w:color w:val="auto"/>
                <w:sz w:val="21"/>
                <w:szCs w:val="21"/>
                <w:highlight w:val="none"/>
                <w:lang w:val="en-US" w:eastAsia="zh-CN"/>
              </w:rPr>
              <w:t>11.388</w:t>
            </w:r>
          </w:p>
        </w:tc>
      </w:tr>
      <w:tr w14:paraId="7B81D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 w:type="pct"/>
            <w:vMerge w:val="continue"/>
            <w:tcBorders>
              <w:tl2br w:val="nil"/>
              <w:tr2bl w:val="nil"/>
            </w:tcBorders>
            <w:vAlign w:val="center"/>
          </w:tcPr>
          <w:p w14:paraId="3A62E27B">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501" w:type="pct"/>
            <w:vMerge w:val="continue"/>
            <w:tcBorders>
              <w:tl2br w:val="nil"/>
              <w:tr2bl w:val="nil"/>
            </w:tcBorders>
            <w:vAlign w:val="center"/>
          </w:tcPr>
          <w:p w14:paraId="543D0C7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803" w:type="pct"/>
            <w:vMerge w:val="continue"/>
            <w:tcBorders>
              <w:tl2br w:val="nil"/>
              <w:tr2bl w:val="nil"/>
            </w:tcBorders>
            <w:vAlign w:val="center"/>
          </w:tcPr>
          <w:p w14:paraId="302350F3">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p>
        </w:tc>
        <w:tc>
          <w:tcPr>
            <w:tcW w:w="850" w:type="pct"/>
            <w:tcBorders>
              <w:tl2br w:val="nil"/>
              <w:tr2bl w:val="nil"/>
            </w:tcBorders>
            <w:vAlign w:val="center"/>
          </w:tcPr>
          <w:p w14:paraId="7B06B3BB">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NOx</w:t>
            </w:r>
          </w:p>
        </w:tc>
        <w:tc>
          <w:tcPr>
            <w:tcW w:w="960" w:type="pct"/>
            <w:tcBorders>
              <w:tl2br w:val="nil"/>
              <w:tr2bl w:val="nil"/>
            </w:tcBorders>
            <w:vAlign w:val="center"/>
          </w:tcPr>
          <w:p w14:paraId="5E5CFBA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ascii="Times New Roman" w:hAnsi="Times New Roman" w:eastAsia="宋体" w:cs="Times New Roman"/>
                <w:bCs/>
                <w:color w:val="auto"/>
                <w:sz w:val="21"/>
                <w:szCs w:val="21"/>
              </w:rPr>
            </w:pPr>
            <w:r>
              <w:rPr>
                <w:rFonts w:hint="eastAsia" w:cs="Times New Roman"/>
                <w:color w:val="auto"/>
                <w:sz w:val="21"/>
                <w:szCs w:val="21"/>
                <w:highlight w:val="none"/>
                <w:lang w:val="en-US" w:eastAsia="zh-CN"/>
              </w:rPr>
              <w:t>175</w:t>
            </w:r>
          </w:p>
        </w:tc>
        <w:tc>
          <w:tcPr>
            <w:tcW w:w="823" w:type="pct"/>
            <w:tcBorders>
              <w:tl2br w:val="nil"/>
              <w:tr2bl w:val="nil"/>
            </w:tcBorders>
            <w:vAlign w:val="center"/>
          </w:tcPr>
          <w:p w14:paraId="4B97742B">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cs="Times New Roman"/>
                <w:color w:val="auto"/>
                <w:sz w:val="21"/>
                <w:szCs w:val="21"/>
                <w:highlight w:val="none"/>
                <w:lang w:val="en-US" w:eastAsia="zh-CN"/>
              </w:rPr>
              <w:t>18.897</w:t>
            </w:r>
          </w:p>
        </w:tc>
        <w:tc>
          <w:tcPr>
            <w:tcW w:w="806" w:type="pct"/>
            <w:tcBorders>
              <w:tl2br w:val="nil"/>
              <w:tr2bl w:val="nil"/>
            </w:tcBorders>
            <w:vAlign w:val="center"/>
          </w:tcPr>
          <w:p w14:paraId="4669322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highlight w:val="none"/>
                <w:lang w:val="en-US" w:eastAsia="zh-CN"/>
              </w:rPr>
              <w:t>54.422</w:t>
            </w:r>
          </w:p>
        </w:tc>
      </w:tr>
      <w:tr w14:paraId="67114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 w:type="pct"/>
            <w:vMerge w:val="continue"/>
            <w:tcBorders>
              <w:tl2br w:val="nil"/>
              <w:tr2bl w:val="nil"/>
            </w:tcBorders>
            <w:vAlign w:val="center"/>
          </w:tcPr>
          <w:p w14:paraId="0CCF9F5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501" w:type="pct"/>
            <w:vMerge w:val="continue"/>
            <w:tcBorders>
              <w:tl2br w:val="nil"/>
              <w:tr2bl w:val="nil"/>
            </w:tcBorders>
            <w:vAlign w:val="center"/>
          </w:tcPr>
          <w:p w14:paraId="2CA6FAB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803" w:type="pct"/>
            <w:vMerge w:val="continue"/>
            <w:tcBorders>
              <w:tl2br w:val="nil"/>
              <w:tr2bl w:val="nil"/>
            </w:tcBorders>
            <w:vAlign w:val="center"/>
          </w:tcPr>
          <w:p w14:paraId="6E1903D6">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p>
        </w:tc>
        <w:tc>
          <w:tcPr>
            <w:tcW w:w="850" w:type="pct"/>
            <w:tcBorders>
              <w:tl2br w:val="nil"/>
              <w:tr2bl w:val="nil"/>
            </w:tcBorders>
            <w:vAlign w:val="center"/>
          </w:tcPr>
          <w:p w14:paraId="7A20A346">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r>
              <w:rPr>
                <w:rFonts w:hint="eastAsia" w:ascii="Times New Roman" w:hAnsi="Times New Roman" w:eastAsia="宋体" w:cs="Times New Roman"/>
                <w:color w:val="FF0000"/>
                <w:kern w:val="0"/>
                <w:sz w:val="21"/>
                <w:szCs w:val="21"/>
                <w:lang w:val="en-US" w:eastAsia="zh-CN"/>
              </w:rPr>
              <w:t>NH</w:t>
            </w:r>
            <w:r>
              <w:rPr>
                <w:rFonts w:hint="eastAsia" w:ascii="Times New Roman" w:hAnsi="Times New Roman" w:eastAsia="宋体" w:cs="Times New Roman"/>
                <w:color w:val="FF0000"/>
                <w:kern w:val="0"/>
                <w:sz w:val="21"/>
                <w:szCs w:val="21"/>
                <w:vertAlign w:val="subscript"/>
                <w:lang w:val="en-US" w:eastAsia="zh-CN"/>
              </w:rPr>
              <w:t>3</w:t>
            </w:r>
          </w:p>
        </w:tc>
        <w:tc>
          <w:tcPr>
            <w:tcW w:w="960" w:type="pct"/>
            <w:tcBorders>
              <w:tl2br w:val="nil"/>
              <w:tr2bl w:val="nil"/>
            </w:tcBorders>
            <w:vAlign w:val="center"/>
          </w:tcPr>
          <w:p w14:paraId="4C9A81B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cs="Times New Roman"/>
                <w:color w:val="FF0000"/>
                <w:sz w:val="21"/>
                <w:szCs w:val="21"/>
                <w:highlight w:val="none"/>
                <w:lang w:val="en-US" w:eastAsia="zh-CN"/>
              </w:rPr>
            </w:pPr>
            <w:r>
              <w:rPr>
                <w:rFonts w:hint="eastAsia" w:cs="Times New Roman"/>
                <w:color w:val="FF0000"/>
                <w:sz w:val="21"/>
                <w:szCs w:val="21"/>
                <w:highlight w:val="none"/>
                <w:lang w:val="en-US" w:eastAsia="zh-CN"/>
              </w:rPr>
              <w:t>2.5</w:t>
            </w:r>
          </w:p>
        </w:tc>
        <w:tc>
          <w:tcPr>
            <w:tcW w:w="823" w:type="pct"/>
            <w:tcBorders>
              <w:tl2br w:val="nil"/>
              <w:tr2bl w:val="nil"/>
            </w:tcBorders>
            <w:vAlign w:val="center"/>
          </w:tcPr>
          <w:p w14:paraId="453A9EF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cs="Times New Roman"/>
                <w:color w:val="FF0000"/>
                <w:sz w:val="21"/>
                <w:szCs w:val="21"/>
                <w:highlight w:val="none"/>
                <w:lang w:val="en-US" w:eastAsia="zh-CN"/>
              </w:rPr>
            </w:pPr>
            <w:r>
              <w:rPr>
                <w:rFonts w:hint="eastAsia" w:cs="Times New Roman"/>
                <w:color w:val="FF0000"/>
                <w:sz w:val="21"/>
                <w:szCs w:val="21"/>
                <w:highlight w:val="none"/>
                <w:lang w:val="en-US" w:eastAsia="zh-CN"/>
              </w:rPr>
              <w:t>0.27</w:t>
            </w:r>
          </w:p>
        </w:tc>
        <w:tc>
          <w:tcPr>
            <w:tcW w:w="806" w:type="pct"/>
            <w:tcBorders>
              <w:tl2br w:val="nil"/>
              <w:tr2bl w:val="nil"/>
            </w:tcBorders>
            <w:vAlign w:val="center"/>
          </w:tcPr>
          <w:p w14:paraId="51A22E9A">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cs="Times New Roman"/>
                <w:color w:val="FF0000"/>
                <w:sz w:val="21"/>
                <w:szCs w:val="21"/>
                <w:highlight w:val="none"/>
                <w:lang w:val="en-US" w:eastAsia="zh-CN"/>
              </w:rPr>
            </w:pPr>
            <w:r>
              <w:rPr>
                <w:rFonts w:hint="eastAsia" w:cs="Times New Roman"/>
                <w:color w:val="FF0000"/>
                <w:sz w:val="21"/>
                <w:szCs w:val="21"/>
                <w:highlight w:val="none"/>
                <w:lang w:val="en-US" w:eastAsia="zh-CN"/>
              </w:rPr>
              <w:t>0.78</w:t>
            </w:r>
          </w:p>
        </w:tc>
      </w:tr>
      <w:tr w14:paraId="5DD50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 w:type="pct"/>
            <w:vMerge w:val="continue"/>
            <w:tcBorders>
              <w:tl2br w:val="nil"/>
              <w:tr2bl w:val="nil"/>
            </w:tcBorders>
            <w:vAlign w:val="center"/>
          </w:tcPr>
          <w:p w14:paraId="0E5CC45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501" w:type="pct"/>
            <w:vMerge w:val="continue"/>
            <w:tcBorders>
              <w:tl2br w:val="nil"/>
              <w:tr2bl w:val="nil"/>
            </w:tcBorders>
            <w:vAlign w:val="center"/>
          </w:tcPr>
          <w:p w14:paraId="35D3148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803" w:type="pct"/>
            <w:vMerge w:val="continue"/>
            <w:tcBorders>
              <w:tl2br w:val="nil"/>
              <w:tr2bl w:val="nil"/>
            </w:tcBorders>
            <w:vAlign w:val="center"/>
          </w:tcPr>
          <w:p w14:paraId="26C588FA">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p>
        </w:tc>
        <w:tc>
          <w:tcPr>
            <w:tcW w:w="850" w:type="pct"/>
            <w:tcBorders>
              <w:tl2br w:val="nil"/>
              <w:tr2bl w:val="nil"/>
            </w:tcBorders>
            <w:vAlign w:val="center"/>
          </w:tcPr>
          <w:p w14:paraId="450D88EB">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汞及其化合物</w:t>
            </w:r>
          </w:p>
        </w:tc>
        <w:tc>
          <w:tcPr>
            <w:tcW w:w="960" w:type="pct"/>
            <w:tcBorders>
              <w:tl2br w:val="nil"/>
              <w:tr2bl w:val="nil"/>
            </w:tcBorders>
            <w:vAlign w:val="center"/>
          </w:tcPr>
          <w:p w14:paraId="6BEBA4D8">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0.0044</w:t>
            </w:r>
          </w:p>
        </w:tc>
        <w:tc>
          <w:tcPr>
            <w:tcW w:w="823" w:type="pct"/>
            <w:tcBorders>
              <w:tl2br w:val="nil"/>
              <w:tr2bl w:val="nil"/>
            </w:tcBorders>
            <w:vAlign w:val="center"/>
          </w:tcPr>
          <w:p w14:paraId="414079AB">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0.0003</w:t>
            </w:r>
          </w:p>
        </w:tc>
        <w:tc>
          <w:tcPr>
            <w:tcW w:w="806" w:type="pct"/>
            <w:tcBorders>
              <w:tl2br w:val="nil"/>
              <w:tr2bl w:val="nil"/>
            </w:tcBorders>
            <w:vAlign w:val="center"/>
          </w:tcPr>
          <w:p w14:paraId="50736E48">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ascii="Times New Roman" w:hAnsi="Times New Roman" w:eastAsia="宋体" w:cs="Times New Roman"/>
                <w:color w:val="auto"/>
                <w:sz w:val="21"/>
                <w:szCs w:val="21"/>
              </w:rPr>
              <w:t>0.0</w:t>
            </w:r>
            <w:r>
              <w:rPr>
                <w:rFonts w:hint="eastAsia"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val="en-US" w:eastAsia="zh-CN"/>
              </w:rPr>
              <w:t>08</w:t>
            </w:r>
          </w:p>
        </w:tc>
      </w:tr>
      <w:tr w14:paraId="42EC7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7"/>
            <w:tcBorders>
              <w:tl2br w:val="nil"/>
              <w:tr2bl w:val="nil"/>
            </w:tcBorders>
            <w:vAlign w:val="center"/>
          </w:tcPr>
          <w:p w14:paraId="30EEFDC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有组织排放总计</w:t>
            </w:r>
          </w:p>
        </w:tc>
      </w:tr>
      <w:tr w14:paraId="6222B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54" w:type="pct"/>
            <w:gridSpan w:val="2"/>
            <w:vMerge w:val="restart"/>
            <w:tcBorders>
              <w:tl2br w:val="nil"/>
              <w:tr2bl w:val="nil"/>
            </w:tcBorders>
            <w:vAlign w:val="center"/>
          </w:tcPr>
          <w:p w14:paraId="335EB59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有组织排放</w:t>
            </w:r>
          </w:p>
          <w:p w14:paraId="5D811556">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总计</w:t>
            </w:r>
          </w:p>
        </w:tc>
        <w:tc>
          <w:tcPr>
            <w:tcW w:w="3438" w:type="pct"/>
            <w:gridSpan w:val="4"/>
            <w:tcBorders>
              <w:tl2br w:val="nil"/>
              <w:tr2bl w:val="nil"/>
            </w:tcBorders>
            <w:vAlign w:val="center"/>
          </w:tcPr>
          <w:p w14:paraId="40A34B5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hint="eastAsia" w:eastAsia="宋体" w:cs="Times New Roman"/>
                <w:bCs/>
                <w:color w:val="auto"/>
                <w:sz w:val="21"/>
                <w:szCs w:val="21"/>
              </w:rPr>
              <w:t>PM</w:t>
            </w:r>
            <w:r>
              <w:rPr>
                <w:rFonts w:hint="eastAsia" w:eastAsia="宋体" w:cs="Times New Roman"/>
                <w:bCs/>
                <w:color w:val="auto"/>
                <w:sz w:val="21"/>
                <w:szCs w:val="21"/>
                <w:vertAlign w:val="subscript"/>
              </w:rPr>
              <w:t>10</w:t>
            </w:r>
          </w:p>
        </w:tc>
        <w:tc>
          <w:tcPr>
            <w:tcW w:w="806" w:type="pct"/>
            <w:tcBorders>
              <w:tl2br w:val="nil"/>
              <w:tr2bl w:val="nil"/>
            </w:tcBorders>
            <w:vAlign w:val="center"/>
          </w:tcPr>
          <w:p w14:paraId="03A28694">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bCs/>
                <w:color w:val="auto"/>
                <w:sz w:val="21"/>
                <w:szCs w:val="21"/>
                <w:lang w:val="en-US" w:eastAsia="zh-CN"/>
              </w:rPr>
            </w:pPr>
            <w:r>
              <w:rPr>
                <w:rFonts w:hint="eastAsia" w:ascii="Times New Roman" w:hAnsi="Times New Roman" w:cs="Times New Roman"/>
                <w:color w:val="auto"/>
                <w:sz w:val="21"/>
                <w:szCs w:val="21"/>
                <w:highlight w:val="none"/>
                <w:lang w:val="en-US" w:eastAsia="zh-CN"/>
              </w:rPr>
              <w:t>6.990</w:t>
            </w:r>
          </w:p>
        </w:tc>
      </w:tr>
      <w:tr w14:paraId="25EDE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54" w:type="pct"/>
            <w:gridSpan w:val="2"/>
            <w:vMerge w:val="continue"/>
            <w:tcBorders>
              <w:tl2br w:val="nil"/>
              <w:tr2bl w:val="nil"/>
            </w:tcBorders>
            <w:vAlign w:val="center"/>
          </w:tcPr>
          <w:p w14:paraId="497FF48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3438" w:type="pct"/>
            <w:gridSpan w:val="4"/>
            <w:tcBorders>
              <w:tl2br w:val="nil"/>
              <w:tr2bl w:val="nil"/>
            </w:tcBorders>
            <w:vAlign w:val="center"/>
          </w:tcPr>
          <w:p w14:paraId="6A6F8FC9">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bCs/>
                <w:color w:val="auto"/>
                <w:sz w:val="21"/>
                <w:szCs w:val="21"/>
              </w:rPr>
            </w:pPr>
            <w:r>
              <w:rPr>
                <w:rFonts w:hint="eastAsia" w:eastAsia="宋体" w:cs="Times New Roman"/>
                <w:bCs/>
                <w:color w:val="auto"/>
                <w:sz w:val="21"/>
                <w:szCs w:val="21"/>
              </w:rPr>
              <w:t>PM</w:t>
            </w:r>
            <w:r>
              <w:rPr>
                <w:rFonts w:hint="eastAsia" w:eastAsia="宋体" w:cs="Times New Roman"/>
                <w:bCs/>
                <w:color w:val="auto"/>
                <w:sz w:val="21"/>
                <w:szCs w:val="21"/>
                <w:vertAlign w:val="subscript"/>
              </w:rPr>
              <w:t>2.5</w:t>
            </w:r>
          </w:p>
        </w:tc>
        <w:tc>
          <w:tcPr>
            <w:tcW w:w="806" w:type="pct"/>
            <w:tcBorders>
              <w:tl2br w:val="nil"/>
              <w:tr2bl w:val="nil"/>
            </w:tcBorders>
            <w:vAlign w:val="center"/>
          </w:tcPr>
          <w:p w14:paraId="6D67FFCA">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color w:val="auto"/>
                <w:sz w:val="21"/>
                <w:szCs w:val="21"/>
                <w:lang w:val="en-US" w:eastAsia="zh-CN"/>
              </w:rPr>
              <w:t>4.544</w:t>
            </w:r>
          </w:p>
        </w:tc>
      </w:tr>
      <w:tr w14:paraId="601FA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54" w:type="pct"/>
            <w:gridSpan w:val="2"/>
            <w:vMerge w:val="continue"/>
            <w:tcBorders>
              <w:tl2br w:val="nil"/>
              <w:tr2bl w:val="nil"/>
            </w:tcBorders>
            <w:vAlign w:val="center"/>
          </w:tcPr>
          <w:p w14:paraId="48590155">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3438" w:type="pct"/>
            <w:gridSpan w:val="4"/>
            <w:tcBorders>
              <w:tl2br w:val="nil"/>
              <w:tr2bl w:val="nil"/>
            </w:tcBorders>
            <w:vAlign w:val="center"/>
          </w:tcPr>
          <w:p w14:paraId="1DC6C707">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SO</w:t>
            </w:r>
            <w:r>
              <w:rPr>
                <w:rFonts w:ascii="Times New Roman" w:hAnsi="Times New Roman" w:cs="Times New Roman"/>
                <w:bCs/>
                <w:color w:val="auto"/>
                <w:sz w:val="21"/>
                <w:szCs w:val="21"/>
                <w:vertAlign w:val="subscript"/>
              </w:rPr>
              <w:t>2</w:t>
            </w:r>
          </w:p>
        </w:tc>
        <w:tc>
          <w:tcPr>
            <w:tcW w:w="806" w:type="pct"/>
            <w:tcBorders>
              <w:tl2br w:val="nil"/>
              <w:tr2bl w:val="nil"/>
            </w:tcBorders>
            <w:vAlign w:val="center"/>
          </w:tcPr>
          <w:p w14:paraId="25321FC6">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cs="Times New Roman"/>
                <w:color w:val="auto"/>
                <w:sz w:val="21"/>
                <w:szCs w:val="21"/>
                <w:highlight w:val="none"/>
                <w:lang w:val="en-US" w:eastAsia="zh-CN"/>
              </w:rPr>
              <w:t>11.388</w:t>
            </w:r>
          </w:p>
        </w:tc>
      </w:tr>
      <w:tr w14:paraId="73A08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54" w:type="pct"/>
            <w:gridSpan w:val="2"/>
            <w:vMerge w:val="continue"/>
            <w:tcBorders>
              <w:tl2br w:val="nil"/>
              <w:tr2bl w:val="nil"/>
            </w:tcBorders>
            <w:vAlign w:val="center"/>
          </w:tcPr>
          <w:p w14:paraId="2E7F1CD2">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3438" w:type="pct"/>
            <w:gridSpan w:val="4"/>
            <w:tcBorders>
              <w:tl2br w:val="nil"/>
              <w:tr2bl w:val="nil"/>
            </w:tcBorders>
            <w:vAlign w:val="center"/>
          </w:tcPr>
          <w:p w14:paraId="7BAAF275">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NOx</w:t>
            </w:r>
          </w:p>
        </w:tc>
        <w:tc>
          <w:tcPr>
            <w:tcW w:w="806" w:type="pct"/>
            <w:tcBorders>
              <w:tl2br w:val="nil"/>
              <w:tr2bl w:val="nil"/>
            </w:tcBorders>
            <w:vAlign w:val="center"/>
          </w:tcPr>
          <w:p w14:paraId="1A3A110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cs="Times New Roman"/>
                <w:color w:val="auto"/>
                <w:sz w:val="21"/>
                <w:szCs w:val="21"/>
                <w:highlight w:val="none"/>
                <w:lang w:val="en-US" w:eastAsia="zh-CN"/>
              </w:rPr>
              <w:t>54.422</w:t>
            </w:r>
          </w:p>
        </w:tc>
      </w:tr>
      <w:tr w14:paraId="40024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54" w:type="pct"/>
            <w:gridSpan w:val="2"/>
            <w:vMerge w:val="continue"/>
            <w:tcBorders>
              <w:tl2br w:val="nil"/>
              <w:tr2bl w:val="nil"/>
            </w:tcBorders>
            <w:vAlign w:val="center"/>
          </w:tcPr>
          <w:p w14:paraId="7336D711">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3438" w:type="pct"/>
            <w:gridSpan w:val="4"/>
            <w:tcBorders>
              <w:tl2br w:val="nil"/>
              <w:tr2bl w:val="nil"/>
            </w:tcBorders>
            <w:vAlign w:val="center"/>
          </w:tcPr>
          <w:p w14:paraId="7F288D4A">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FF0000"/>
                <w:sz w:val="21"/>
                <w:szCs w:val="21"/>
              </w:rPr>
            </w:pPr>
            <w:r>
              <w:rPr>
                <w:rFonts w:hint="eastAsia" w:ascii="Times New Roman" w:hAnsi="Times New Roman" w:eastAsia="宋体" w:cs="Times New Roman"/>
                <w:color w:val="FF0000"/>
                <w:kern w:val="0"/>
                <w:sz w:val="21"/>
                <w:szCs w:val="21"/>
                <w:lang w:val="en-US" w:eastAsia="zh-CN"/>
              </w:rPr>
              <w:t>NH</w:t>
            </w:r>
            <w:r>
              <w:rPr>
                <w:rFonts w:hint="eastAsia" w:ascii="Times New Roman" w:hAnsi="Times New Roman" w:eastAsia="宋体" w:cs="Times New Roman"/>
                <w:color w:val="FF0000"/>
                <w:kern w:val="0"/>
                <w:sz w:val="21"/>
                <w:szCs w:val="21"/>
                <w:vertAlign w:val="subscript"/>
                <w:lang w:val="en-US" w:eastAsia="zh-CN"/>
              </w:rPr>
              <w:t>3</w:t>
            </w:r>
          </w:p>
        </w:tc>
        <w:tc>
          <w:tcPr>
            <w:tcW w:w="806" w:type="pct"/>
            <w:tcBorders>
              <w:tl2br w:val="nil"/>
              <w:tr2bl w:val="nil"/>
            </w:tcBorders>
            <w:vAlign w:val="center"/>
          </w:tcPr>
          <w:p w14:paraId="01117751">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color w:val="FF0000"/>
                <w:sz w:val="21"/>
                <w:szCs w:val="21"/>
                <w:lang w:val="en-US" w:eastAsia="zh-CN"/>
              </w:rPr>
            </w:pPr>
            <w:r>
              <w:rPr>
                <w:rFonts w:hint="eastAsia" w:ascii="Times New Roman" w:hAnsi="Times New Roman" w:eastAsia="宋体" w:cs="Times New Roman"/>
                <w:color w:val="FF0000"/>
                <w:sz w:val="21"/>
                <w:szCs w:val="21"/>
                <w:lang w:val="en-US" w:eastAsia="zh-CN"/>
              </w:rPr>
              <w:t>0.78</w:t>
            </w:r>
          </w:p>
        </w:tc>
      </w:tr>
      <w:tr w14:paraId="577D4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54" w:type="pct"/>
            <w:gridSpan w:val="2"/>
            <w:vMerge w:val="continue"/>
            <w:tcBorders>
              <w:tl2br w:val="nil"/>
              <w:tr2bl w:val="nil"/>
            </w:tcBorders>
            <w:vAlign w:val="center"/>
          </w:tcPr>
          <w:p w14:paraId="095BB6DE">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3438" w:type="pct"/>
            <w:gridSpan w:val="4"/>
            <w:tcBorders>
              <w:tl2br w:val="nil"/>
              <w:tr2bl w:val="nil"/>
            </w:tcBorders>
            <w:vAlign w:val="center"/>
          </w:tcPr>
          <w:p w14:paraId="0B7CD8AC">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汞及其化合物</w:t>
            </w:r>
          </w:p>
        </w:tc>
        <w:tc>
          <w:tcPr>
            <w:tcW w:w="806" w:type="pct"/>
            <w:tcBorders>
              <w:tl2br w:val="nil"/>
              <w:tr2bl w:val="nil"/>
            </w:tcBorders>
            <w:vAlign w:val="center"/>
          </w:tcPr>
          <w:p w14:paraId="07C97535">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bCs/>
                <w:color w:val="auto"/>
                <w:sz w:val="21"/>
                <w:szCs w:val="21"/>
                <w:lang w:val="en-US" w:eastAsia="zh-CN"/>
              </w:rPr>
            </w:pPr>
            <w:r>
              <w:rPr>
                <w:rFonts w:ascii="Times New Roman" w:hAnsi="Times New Roman" w:eastAsia="宋体" w:cs="Times New Roman"/>
                <w:color w:val="auto"/>
                <w:sz w:val="21"/>
                <w:szCs w:val="21"/>
              </w:rPr>
              <w:t>0.0</w:t>
            </w:r>
            <w:r>
              <w:rPr>
                <w:rFonts w:hint="eastAsia"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val="en-US" w:eastAsia="zh-CN"/>
              </w:rPr>
              <w:t>08</w:t>
            </w:r>
          </w:p>
        </w:tc>
      </w:tr>
    </w:tbl>
    <w:p w14:paraId="6EE06D54">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3</w:t>
      </w:r>
      <w:r>
        <w:rPr>
          <w:rFonts w:hint="eastAsia" w:ascii="Times New Roman" w:hAnsi="Times New Roman" w:eastAsia="宋体" w:cs="Times New Roman"/>
          <w:b/>
          <w:bCs/>
          <w:color w:val="auto"/>
          <w:sz w:val="24"/>
          <w:szCs w:val="24"/>
          <w:lang w:val="en-US" w:eastAsia="zh-CN"/>
        </w:rPr>
        <w:t>4</w:t>
      </w:r>
      <w:r>
        <w:rPr>
          <w:rFonts w:hint="eastAsia"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 xml:space="preserve"> 本项目大气污染物无组织排放量核算表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255"/>
        <w:gridCol w:w="1044"/>
        <w:gridCol w:w="1454"/>
        <w:gridCol w:w="2225"/>
        <w:gridCol w:w="1113"/>
        <w:gridCol w:w="1005"/>
      </w:tblGrid>
      <w:tr w14:paraId="56B2E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2" w:type="pct"/>
            <w:vMerge w:val="restart"/>
            <w:tcBorders>
              <w:tl2br w:val="nil"/>
              <w:tr2bl w:val="nil"/>
            </w:tcBorders>
            <w:vAlign w:val="center"/>
          </w:tcPr>
          <w:p w14:paraId="7B2B7AB5">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序号</w:t>
            </w:r>
          </w:p>
        </w:tc>
        <w:tc>
          <w:tcPr>
            <w:tcW w:w="741" w:type="pct"/>
            <w:vMerge w:val="restart"/>
            <w:tcBorders>
              <w:tl2br w:val="nil"/>
              <w:tr2bl w:val="nil"/>
            </w:tcBorders>
            <w:vAlign w:val="center"/>
          </w:tcPr>
          <w:p w14:paraId="0994ACB0">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产污环节</w:t>
            </w:r>
          </w:p>
        </w:tc>
        <w:tc>
          <w:tcPr>
            <w:tcW w:w="616" w:type="pct"/>
            <w:vMerge w:val="restart"/>
            <w:tcBorders>
              <w:tl2br w:val="nil"/>
              <w:tr2bl w:val="nil"/>
            </w:tcBorders>
            <w:vAlign w:val="center"/>
          </w:tcPr>
          <w:p w14:paraId="73DDCA3A">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污染物</w:t>
            </w:r>
          </w:p>
        </w:tc>
        <w:tc>
          <w:tcPr>
            <w:tcW w:w="858" w:type="pct"/>
            <w:vMerge w:val="restart"/>
            <w:tcBorders>
              <w:tl2br w:val="nil"/>
              <w:tr2bl w:val="nil"/>
            </w:tcBorders>
            <w:vAlign w:val="center"/>
          </w:tcPr>
          <w:p w14:paraId="7EF05A24">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主要污染</w:t>
            </w:r>
          </w:p>
          <w:p w14:paraId="22760EFA">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防治措施</w:t>
            </w:r>
          </w:p>
        </w:tc>
        <w:tc>
          <w:tcPr>
            <w:tcW w:w="1967" w:type="pct"/>
            <w:gridSpan w:val="2"/>
            <w:tcBorders>
              <w:tl2br w:val="nil"/>
              <w:tr2bl w:val="nil"/>
            </w:tcBorders>
            <w:vAlign w:val="center"/>
          </w:tcPr>
          <w:p w14:paraId="2894CC60">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国家或地方污染物排放标准</w:t>
            </w:r>
          </w:p>
        </w:tc>
        <w:tc>
          <w:tcPr>
            <w:tcW w:w="593" w:type="pct"/>
            <w:vMerge w:val="restart"/>
            <w:tcBorders>
              <w:tl2br w:val="nil"/>
              <w:tr2bl w:val="nil"/>
            </w:tcBorders>
            <w:vAlign w:val="center"/>
          </w:tcPr>
          <w:p w14:paraId="25B31C51">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年排放量（t/a）</w:t>
            </w:r>
          </w:p>
        </w:tc>
      </w:tr>
      <w:tr w14:paraId="59293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2" w:type="pct"/>
            <w:vMerge w:val="continue"/>
            <w:tcBorders>
              <w:tl2br w:val="nil"/>
              <w:tr2bl w:val="nil"/>
            </w:tcBorders>
            <w:vAlign w:val="center"/>
          </w:tcPr>
          <w:p w14:paraId="4F2593E1">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p>
        </w:tc>
        <w:tc>
          <w:tcPr>
            <w:tcW w:w="741" w:type="pct"/>
            <w:vMerge w:val="continue"/>
            <w:tcBorders>
              <w:tl2br w:val="nil"/>
              <w:tr2bl w:val="nil"/>
            </w:tcBorders>
            <w:vAlign w:val="center"/>
          </w:tcPr>
          <w:p w14:paraId="04E66231">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p>
        </w:tc>
        <w:tc>
          <w:tcPr>
            <w:tcW w:w="616" w:type="pct"/>
            <w:vMerge w:val="continue"/>
            <w:tcBorders>
              <w:tl2br w:val="nil"/>
              <w:tr2bl w:val="nil"/>
            </w:tcBorders>
            <w:vAlign w:val="center"/>
          </w:tcPr>
          <w:p w14:paraId="17C38E28">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p>
        </w:tc>
        <w:tc>
          <w:tcPr>
            <w:tcW w:w="858" w:type="pct"/>
            <w:vMerge w:val="continue"/>
            <w:tcBorders>
              <w:tl2br w:val="nil"/>
              <w:tr2bl w:val="nil"/>
            </w:tcBorders>
            <w:vAlign w:val="center"/>
          </w:tcPr>
          <w:p w14:paraId="2EF8EFF2">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p>
        </w:tc>
        <w:tc>
          <w:tcPr>
            <w:tcW w:w="1310" w:type="pct"/>
            <w:tcBorders>
              <w:tl2br w:val="nil"/>
              <w:tr2bl w:val="nil"/>
            </w:tcBorders>
            <w:vAlign w:val="center"/>
          </w:tcPr>
          <w:p w14:paraId="3C10616B">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标准名称</w:t>
            </w:r>
          </w:p>
        </w:tc>
        <w:tc>
          <w:tcPr>
            <w:tcW w:w="657" w:type="pct"/>
            <w:tcBorders>
              <w:tl2br w:val="nil"/>
              <w:tr2bl w:val="nil"/>
            </w:tcBorders>
            <w:vAlign w:val="center"/>
          </w:tcPr>
          <w:p w14:paraId="0F78F979">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浓度限值</w:t>
            </w:r>
          </w:p>
        </w:tc>
        <w:tc>
          <w:tcPr>
            <w:tcW w:w="593" w:type="pct"/>
            <w:vMerge w:val="continue"/>
            <w:tcBorders>
              <w:tl2br w:val="nil"/>
              <w:tr2bl w:val="nil"/>
            </w:tcBorders>
            <w:vAlign w:val="center"/>
          </w:tcPr>
          <w:p w14:paraId="5E23E5B2">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p>
        </w:tc>
      </w:tr>
      <w:tr w14:paraId="40EAE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2" w:type="pct"/>
            <w:tcBorders>
              <w:tl2br w:val="nil"/>
              <w:tr2bl w:val="nil"/>
            </w:tcBorders>
            <w:vAlign w:val="center"/>
          </w:tcPr>
          <w:p w14:paraId="7ED07DFC">
            <w:pPr>
              <w:pStyle w:val="53"/>
              <w:keepNext w:val="0"/>
              <w:keepLines w:val="0"/>
              <w:pageBreakBefore w:val="0"/>
              <w:widowControl w:val="0"/>
              <w:kinsoku/>
              <w:wordWrap/>
              <w:overflowPunct/>
              <w:topLinePunct w:val="0"/>
              <w:bidi w:val="0"/>
              <w:spacing w:line="320" w:lineRule="exact"/>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color w:val="auto"/>
                <w:sz w:val="21"/>
                <w:szCs w:val="21"/>
                <w:lang w:val="en-US" w:eastAsia="zh-CN"/>
              </w:rPr>
              <w:t>1</w:t>
            </w:r>
          </w:p>
        </w:tc>
        <w:tc>
          <w:tcPr>
            <w:tcW w:w="741" w:type="pct"/>
            <w:tcBorders>
              <w:tl2br w:val="nil"/>
              <w:tr2bl w:val="nil"/>
            </w:tcBorders>
            <w:shd w:val="clear" w:color="auto" w:fill="auto"/>
            <w:vAlign w:val="center"/>
          </w:tcPr>
          <w:p w14:paraId="5F8BEE79">
            <w:pPr>
              <w:pStyle w:val="105"/>
              <w:keepNext w:val="0"/>
              <w:keepLines w:val="0"/>
              <w:pageBreakBefore w:val="0"/>
              <w:widowControl w:val="0"/>
              <w:kinsoku/>
              <w:wordWrap/>
              <w:overflowPunct/>
              <w:topLinePunct w:val="0"/>
              <w:bidi w:val="0"/>
              <w:adjustRightInd w:val="0"/>
              <w:snapToGrid w:val="0"/>
              <w:spacing w:line="320" w:lineRule="exact"/>
              <w:ind w:firstLine="0" w:firstLineChars="0"/>
              <w:textAlignment w:val="center"/>
              <w:rPr>
                <w:rFonts w:hint="eastAsia" w:eastAsia="宋体" w:cs="Times New Roman"/>
                <w:color w:val="auto"/>
                <w:sz w:val="21"/>
                <w:szCs w:val="21"/>
                <w:lang w:val="en-US" w:eastAsia="zh-CN"/>
              </w:rPr>
            </w:pPr>
            <w:r>
              <w:rPr>
                <w:rFonts w:hint="eastAsia" w:eastAsia="宋体" w:cs="Times New Roman"/>
                <w:color w:val="auto"/>
                <w:sz w:val="21"/>
                <w:szCs w:val="21"/>
                <w:lang w:val="en-US" w:eastAsia="zh-CN"/>
              </w:rPr>
              <w:t>煤库</w:t>
            </w:r>
          </w:p>
        </w:tc>
        <w:tc>
          <w:tcPr>
            <w:tcW w:w="616" w:type="pct"/>
            <w:tcBorders>
              <w:tl2br w:val="nil"/>
              <w:tr2bl w:val="nil"/>
            </w:tcBorders>
            <w:shd w:val="clear" w:color="auto" w:fill="auto"/>
            <w:vAlign w:val="center"/>
          </w:tcPr>
          <w:p w14:paraId="37D43853">
            <w:pPr>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eastAsia="宋体" w:cs="Times New Roman"/>
                <w:iCs/>
                <w:color w:val="auto"/>
                <w:kern w:val="0"/>
                <w:sz w:val="21"/>
                <w:szCs w:val="21"/>
              </w:rPr>
            </w:pPr>
            <w:r>
              <w:rPr>
                <w:rFonts w:ascii="Times New Roman" w:hAnsi="Times New Roman" w:eastAsia="宋体" w:cs="Times New Roman"/>
                <w:iCs/>
                <w:color w:val="auto"/>
                <w:kern w:val="0"/>
                <w:sz w:val="21"/>
                <w:szCs w:val="21"/>
              </w:rPr>
              <w:t>TSP</w:t>
            </w:r>
          </w:p>
        </w:tc>
        <w:tc>
          <w:tcPr>
            <w:tcW w:w="858" w:type="pct"/>
            <w:tcBorders>
              <w:tl2br w:val="nil"/>
              <w:tr2bl w:val="nil"/>
            </w:tcBorders>
            <w:shd w:val="clear" w:color="auto" w:fill="auto"/>
            <w:vAlign w:val="center"/>
          </w:tcPr>
          <w:p w14:paraId="782DFE57">
            <w:pPr>
              <w:pStyle w:val="53"/>
              <w:keepNext w:val="0"/>
              <w:keepLines w:val="0"/>
              <w:pageBreakBefore w:val="0"/>
              <w:widowControl w:val="0"/>
              <w:kinsoku/>
              <w:wordWrap/>
              <w:overflowPunct/>
              <w:topLinePunct w:val="0"/>
              <w:bidi w:val="0"/>
              <w:spacing w:line="320" w:lineRule="exact"/>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color w:val="auto"/>
                <w:sz w:val="21"/>
                <w:szCs w:val="21"/>
                <w:lang w:val="en-US" w:eastAsia="zh-CN"/>
              </w:rPr>
              <w:t>全封闭，洒水降尘</w:t>
            </w:r>
          </w:p>
        </w:tc>
        <w:tc>
          <w:tcPr>
            <w:tcW w:w="1310" w:type="pct"/>
            <w:tcBorders>
              <w:tl2br w:val="nil"/>
              <w:tr2bl w:val="nil"/>
            </w:tcBorders>
            <w:vAlign w:val="center"/>
          </w:tcPr>
          <w:p w14:paraId="62BCB193">
            <w:pPr>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《大气污染物综合排放标准》（GB16297-1996）表2无组织排放监控浓度限值</w:t>
            </w:r>
          </w:p>
        </w:tc>
        <w:tc>
          <w:tcPr>
            <w:tcW w:w="657" w:type="pct"/>
            <w:tcBorders>
              <w:tl2br w:val="nil"/>
              <w:tr2bl w:val="nil"/>
            </w:tcBorders>
            <w:vAlign w:val="center"/>
          </w:tcPr>
          <w:p w14:paraId="0A0FC8E3">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color w:val="auto"/>
                <w:sz w:val="21"/>
                <w:szCs w:val="21"/>
              </w:rPr>
            </w:pPr>
            <w:r>
              <w:rPr>
                <w:rFonts w:ascii="Times New Roman" w:hAnsi="Times New Roman"/>
                <w:color w:val="auto"/>
                <w:sz w:val="21"/>
                <w:szCs w:val="21"/>
              </w:rPr>
              <w:t>1.0mg/m</w:t>
            </w:r>
            <w:r>
              <w:rPr>
                <w:rFonts w:ascii="Times New Roman" w:hAnsi="Times New Roman"/>
                <w:color w:val="auto"/>
                <w:sz w:val="21"/>
                <w:szCs w:val="21"/>
                <w:vertAlign w:val="superscript"/>
              </w:rPr>
              <w:t>3</w:t>
            </w:r>
          </w:p>
        </w:tc>
        <w:tc>
          <w:tcPr>
            <w:tcW w:w="593" w:type="pct"/>
            <w:tcBorders>
              <w:tl2br w:val="nil"/>
              <w:tr2bl w:val="nil"/>
            </w:tcBorders>
            <w:vAlign w:val="center"/>
          </w:tcPr>
          <w:p w14:paraId="239D831C">
            <w:pPr>
              <w:keepNext w:val="0"/>
              <w:keepLines w:val="0"/>
              <w:pageBreakBefore w:val="0"/>
              <w:widowControl w:val="0"/>
              <w:kinsoku/>
              <w:wordWrap/>
              <w:overflowPunct/>
              <w:topLinePunct w:val="0"/>
              <w:bidi w:val="0"/>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0.003</w:t>
            </w:r>
          </w:p>
        </w:tc>
      </w:tr>
      <w:tr w14:paraId="5450F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7"/>
            <w:tcBorders>
              <w:tl2br w:val="nil"/>
              <w:tr2bl w:val="nil"/>
            </w:tcBorders>
            <w:vAlign w:val="center"/>
          </w:tcPr>
          <w:p w14:paraId="5F5E7B84">
            <w:pPr>
              <w:pStyle w:val="37"/>
              <w:keepNext w:val="0"/>
              <w:keepLines w:val="0"/>
              <w:pageBreakBefore w:val="0"/>
              <w:widowControl w:val="0"/>
              <w:kinsoku/>
              <w:wordWrap/>
              <w:overflowPunct/>
              <w:topLinePunct w:val="0"/>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color w:val="auto"/>
                <w:sz w:val="21"/>
                <w:szCs w:val="21"/>
              </w:rPr>
              <w:t>无组织排放总计</w:t>
            </w:r>
          </w:p>
        </w:tc>
      </w:tr>
      <w:tr w14:paraId="7E1E0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80" w:type="pct"/>
            <w:gridSpan w:val="3"/>
            <w:tcBorders>
              <w:tl2br w:val="nil"/>
              <w:tr2bl w:val="nil"/>
            </w:tcBorders>
            <w:vAlign w:val="center"/>
          </w:tcPr>
          <w:p w14:paraId="45A7D5CF">
            <w:pPr>
              <w:pStyle w:val="53"/>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iCs/>
                <w:color w:val="auto"/>
                <w:kern w:val="0"/>
                <w:sz w:val="21"/>
                <w:szCs w:val="21"/>
              </w:rPr>
            </w:pPr>
            <w:r>
              <w:rPr>
                <w:rFonts w:ascii="Times New Roman" w:hAnsi="Times New Roman"/>
                <w:iCs/>
                <w:color w:val="auto"/>
                <w:kern w:val="0"/>
                <w:sz w:val="21"/>
                <w:szCs w:val="21"/>
              </w:rPr>
              <w:t>无组织排放总计</w:t>
            </w:r>
          </w:p>
        </w:tc>
        <w:tc>
          <w:tcPr>
            <w:tcW w:w="2826" w:type="pct"/>
            <w:gridSpan w:val="3"/>
            <w:tcBorders>
              <w:tl2br w:val="nil"/>
              <w:tr2bl w:val="nil"/>
            </w:tcBorders>
            <w:vAlign w:val="center"/>
          </w:tcPr>
          <w:p w14:paraId="47EAA51C">
            <w:pPr>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iCs/>
                <w:color w:val="auto"/>
                <w:kern w:val="0"/>
                <w:sz w:val="21"/>
                <w:szCs w:val="21"/>
              </w:rPr>
              <w:t>TSP</w:t>
            </w:r>
          </w:p>
        </w:tc>
        <w:tc>
          <w:tcPr>
            <w:tcW w:w="593" w:type="pct"/>
            <w:tcBorders>
              <w:tl2br w:val="nil"/>
              <w:tr2bl w:val="nil"/>
            </w:tcBorders>
            <w:vAlign w:val="center"/>
          </w:tcPr>
          <w:p w14:paraId="79F30CD5">
            <w:pPr>
              <w:pStyle w:val="37"/>
              <w:keepNext w:val="0"/>
              <w:keepLines w:val="0"/>
              <w:pageBreakBefore w:val="0"/>
              <w:widowControl w:val="0"/>
              <w:kinsoku/>
              <w:wordWrap/>
              <w:overflowPunct/>
              <w:topLinePunct w:val="0"/>
              <w:bidi w:val="0"/>
              <w:adjustRightInd w:val="0"/>
              <w:snapToGrid w:val="0"/>
              <w:spacing w:before="0" w:beforeAutospacing="0" w:after="0" w:afterAutospacing="0" w:line="320" w:lineRule="exact"/>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cs="Times New Roman"/>
                <w:bCs/>
                <w:color w:val="auto"/>
                <w:sz w:val="21"/>
                <w:szCs w:val="21"/>
              </w:rPr>
              <w:t>0.</w:t>
            </w:r>
            <w:r>
              <w:rPr>
                <w:rFonts w:hint="eastAsia" w:ascii="Times New Roman" w:hAnsi="Times New Roman" w:cs="Times New Roman"/>
                <w:bCs/>
                <w:color w:val="auto"/>
                <w:sz w:val="21"/>
                <w:szCs w:val="21"/>
                <w:lang w:val="en-US" w:eastAsia="zh-CN"/>
              </w:rPr>
              <w:t>003</w:t>
            </w:r>
          </w:p>
        </w:tc>
      </w:tr>
    </w:tbl>
    <w:p w14:paraId="77BAF3B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表6.2-3</w:t>
      </w:r>
      <w:r>
        <w:rPr>
          <w:rFonts w:hint="eastAsia" w:ascii="Times New Roman" w:hAnsi="Times New Roman" w:eastAsia="宋体" w:cs="Times New Roman"/>
          <w:b/>
          <w:bCs/>
          <w:color w:val="auto"/>
          <w:sz w:val="24"/>
          <w:szCs w:val="24"/>
          <w:lang w:val="en-US" w:eastAsia="zh-CN"/>
        </w:rPr>
        <w:t>5</w:t>
      </w:r>
      <w:r>
        <w:rPr>
          <w:rFonts w:hint="default" w:ascii="Times New Roman" w:hAnsi="Times New Roman" w:eastAsia="宋体" w:cs="Times New Roman"/>
          <w:b/>
          <w:bCs/>
          <w:color w:val="auto"/>
          <w:sz w:val="24"/>
          <w:szCs w:val="24"/>
          <w:lang w:eastAsia="zh-CN"/>
        </w:rPr>
        <w:t xml:space="preserve">  本项目大气污染物年排放量核算表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7"/>
        <w:gridCol w:w="2841"/>
        <w:gridCol w:w="2841"/>
      </w:tblGrid>
      <w:tr w14:paraId="49D37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vAlign w:val="center"/>
          </w:tcPr>
          <w:p w14:paraId="3A16CAF7">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序号</w:t>
            </w:r>
          </w:p>
        </w:tc>
        <w:tc>
          <w:tcPr>
            <w:tcW w:w="1667" w:type="pct"/>
            <w:tcBorders>
              <w:tl2br w:val="nil"/>
              <w:tr2bl w:val="nil"/>
            </w:tcBorders>
            <w:vAlign w:val="center"/>
          </w:tcPr>
          <w:p w14:paraId="3C5BA660">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污染物</w:t>
            </w:r>
          </w:p>
        </w:tc>
        <w:tc>
          <w:tcPr>
            <w:tcW w:w="1667" w:type="pct"/>
            <w:tcBorders>
              <w:tl2br w:val="nil"/>
              <w:tr2bl w:val="nil"/>
            </w:tcBorders>
            <w:vAlign w:val="center"/>
          </w:tcPr>
          <w:p w14:paraId="2D4AC9EA">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年排放量t/a</w:t>
            </w:r>
          </w:p>
        </w:tc>
      </w:tr>
      <w:tr w14:paraId="13FF0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vAlign w:val="center"/>
          </w:tcPr>
          <w:p w14:paraId="4AAC660C">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1667" w:type="pct"/>
            <w:tcBorders>
              <w:tl2br w:val="nil"/>
              <w:tr2bl w:val="nil"/>
            </w:tcBorders>
            <w:vAlign w:val="center"/>
          </w:tcPr>
          <w:p w14:paraId="793D6600">
            <w:pPr>
              <w:keepNext w:val="0"/>
              <w:keepLines w:val="0"/>
              <w:pageBreakBefore w:val="0"/>
              <w:kinsoku/>
              <w:wordWrap/>
              <w:overflowPunct/>
              <w:topLinePunct w:val="0"/>
              <w:autoSpaceDE/>
              <w:autoSpaceDN/>
              <w:bidi w:val="0"/>
              <w:adjustRightInd w:val="0"/>
              <w:snapToGrid w:val="0"/>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bCs/>
                <w:color w:val="auto"/>
                <w:sz w:val="21"/>
                <w:szCs w:val="21"/>
              </w:rPr>
              <w:t>PM</w:t>
            </w:r>
            <w:r>
              <w:rPr>
                <w:rFonts w:hint="eastAsia" w:ascii="Times New Roman" w:hAnsi="Times New Roman" w:eastAsia="宋体" w:cs="Times New Roman"/>
                <w:bCs/>
                <w:color w:val="auto"/>
                <w:sz w:val="21"/>
                <w:szCs w:val="21"/>
                <w:vertAlign w:val="subscript"/>
              </w:rPr>
              <w:t>10</w:t>
            </w:r>
          </w:p>
        </w:tc>
        <w:tc>
          <w:tcPr>
            <w:tcW w:w="1667" w:type="pct"/>
            <w:tcBorders>
              <w:tl2br w:val="nil"/>
              <w:tr2bl w:val="nil"/>
            </w:tcBorders>
            <w:vAlign w:val="center"/>
          </w:tcPr>
          <w:p w14:paraId="1E4095F4">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highlight w:val="none"/>
                <w:lang w:val="en-US" w:eastAsia="zh-CN"/>
              </w:rPr>
              <w:t>6.990</w:t>
            </w:r>
          </w:p>
        </w:tc>
      </w:tr>
      <w:tr w14:paraId="6B02A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vAlign w:val="center"/>
          </w:tcPr>
          <w:p w14:paraId="57734AB4">
            <w:pPr>
              <w:pStyle w:val="105"/>
              <w:keepNext w:val="0"/>
              <w:keepLines w:val="0"/>
              <w:pageBreakBefore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hint="eastAsia" w:eastAsia="宋体" w:cs="Times New Roman"/>
                <w:color w:val="auto"/>
                <w:sz w:val="21"/>
                <w:szCs w:val="21"/>
              </w:rPr>
              <w:t>2</w:t>
            </w:r>
          </w:p>
        </w:tc>
        <w:tc>
          <w:tcPr>
            <w:tcW w:w="1667" w:type="pct"/>
            <w:tcBorders>
              <w:tl2br w:val="nil"/>
              <w:tr2bl w:val="nil"/>
            </w:tcBorders>
            <w:vAlign w:val="center"/>
          </w:tcPr>
          <w:p w14:paraId="642BECD0">
            <w:pPr>
              <w:keepNext w:val="0"/>
              <w:keepLines w:val="0"/>
              <w:pageBreakBefore w:val="0"/>
              <w:kinsoku/>
              <w:wordWrap/>
              <w:overflowPunct/>
              <w:topLinePunct w:val="0"/>
              <w:autoSpaceDE/>
              <w:autoSpaceDN/>
              <w:bidi w:val="0"/>
              <w:adjustRightInd w:val="0"/>
              <w:snapToGrid w:val="0"/>
              <w:spacing w:line="320" w:lineRule="exact"/>
              <w:ind w:firstLine="0" w:firstLineChars="0"/>
              <w:jc w:val="center"/>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PM</w:t>
            </w:r>
            <w:r>
              <w:rPr>
                <w:rFonts w:hint="eastAsia" w:ascii="Times New Roman" w:hAnsi="Times New Roman" w:eastAsia="宋体" w:cs="Times New Roman"/>
                <w:bCs/>
                <w:color w:val="auto"/>
                <w:sz w:val="21"/>
                <w:szCs w:val="21"/>
                <w:vertAlign w:val="subscript"/>
              </w:rPr>
              <w:t>2.5</w:t>
            </w:r>
          </w:p>
        </w:tc>
        <w:tc>
          <w:tcPr>
            <w:tcW w:w="1667" w:type="pct"/>
            <w:tcBorders>
              <w:tl2br w:val="nil"/>
              <w:tr2bl w:val="nil"/>
            </w:tcBorders>
            <w:vAlign w:val="center"/>
          </w:tcPr>
          <w:p w14:paraId="33AD79CC">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4.544</w:t>
            </w:r>
          </w:p>
        </w:tc>
      </w:tr>
      <w:tr w14:paraId="765AC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vAlign w:val="center"/>
          </w:tcPr>
          <w:p w14:paraId="37F24B35">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color w:val="auto"/>
                <w:sz w:val="21"/>
                <w:szCs w:val="21"/>
              </w:rPr>
              <w:t>3</w:t>
            </w:r>
          </w:p>
        </w:tc>
        <w:tc>
          <w:tcPr>
            <w:tcW w:w="1667" w:type="pct"/>
            <w:tcBorders>
              <w:tl2br w:val="nil"/>
              <w:tr2bl w:val="nil"/>
            </w:tcBorders>
            <w:vAlign w:val="center"/>
          </w:tcPr>
          <w:p w14:paraId="2D9C690E">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SO</w:t>
            </w:r>
            <w:r>
              <w:rPr>
                <w:rFonts w:ascii="Times New Roman" w:hAnsi="Times New Roman" w:cs="Times New Roman"/>
                <w:bCs/>
                <w:color w:val="auto"/>
                <w:sz w:val="21"/>
                <w:szCs w:val="21"/>
                <w:vertAlign w:val="subscript"/>
              </w:rPr>
              <w:t>2</w:t>
            </w:r>
          </w:p>
        </w:tc>
        <w:tc>
          <w:tcPr>
            <w:tcW w:w="1667" w:type="pct"/>
            <w:tcBorders>
              <w:tl2br w:val="nil"/>
              <w:tr2bl w:val="nil"/>
            </w:tcBorders>
            <w:vAlign w:val="center"/>
          </w:tcPr>
          <w:p w14:paraId="5CB10362">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cs="Times New Roman"/>
                <w:color w:val="auto"/>
                <w:sz w:val="21"/>
                <w:szCs w:val="21"/>
                <w:highlight w:val="none"/>
                <w:lang w:val="en-US" w:eastAsia="zh-CN"/>
              </w:rPr>
              <w:t>11.388</w:t>
            </w:r>
          </w:p>
        </w:tc>
      </w:tr>
      <w:tr w14:paraId="6550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vAlign w:val="center"/>
          </w:tcPr>
          <w:p w14:paraId="4C025D77">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color w:val="auto"/>
                <w:sz w:val="21"/>
                <w:szCs w:val="21"/>
              </w:rPr>
              <w:t>4</w:t>
            </w:r>
          </w:p>
        </w:tc>
        <w:tc>
          <w:tcPr>
            <w:tcW w:w="1667" w:type="pct"/>
            <w:tcBorders>
              <w:tl2br w:val="nil"/>
              <w:tr2bl w:val="nil"/>
            </w:tcBorders>
            <w:vAlign w:val="center"/>
          </w:tcPr>
          <w:p w14:paraId="2440ADE3">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NOx</w:t>
            </w:r>
          </w:p>
        </w:tc>
        <w:tc>
          <w:tcPr>
            <w:tcW w:w="1667" w:type="pct"/>
            <w:tcBorders>
              <w:tl2br w:val="nil"/>
              <w:tr2bl w:val="nil"/>
            </w:tcBorders>
            <w:vAlign w:val="center"/>
          </w:tcPr>
          <w:p w14:paraId="0D97EB1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cs="Times New Roman"/>
                <w:color w:val="auto"/>
                <w:sz w:val="21"/>
                <w:szCs w:val="21"/>
                <w:highlight w:val="none"/>
                <w:lang w:val="en-US" w:eastAsia="zh-CN"/>
              </w:rPr>
              <w:t>54.422</w:t>
            </w:r>
          </w:p>
        </w:tc>
      </w:tr>
      <w:tr w14:paraId="758B9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vAlign w:val="center"/>
          </w:tcPr>
          <w:p w14:paraId="68B0F725">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color w:val="auto"/>
                <w:sz w:val="21"/>
                <w:szCs w:val="21"/>
              </w:rPr>
              <w:t>5</w:t>
            </w:r>
          </w:p>
        </w:tc>
        <w:tc>
          <w:tcPr>
            <w:tcW w:w="1667" w:type="pct"/>
            <w:tcBorders>
              <w:tl2br w:val="nil"/>
              <w:tr2bl w:val="nil"/>
            </w:tcBorders>
            <w:vAlign w:val="center"/>
          </w:tcPr>
          <w:p w14:paraId="457FACF5">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r>
              <w:rPr>
                <w:rFonts w:ascii="Times New Roman" w:hAnsi="Times New Roman" w:cs="Times New Roman"/>
                <w:bCs/>
                <w:color w:val="auto"/>
                <w:sz w:val="21"/>
                <w:szCs w:val="21"/>
              </w:rPr>
              <w:t>汞及其化合物</w:t>
            </w:r>
          </w:p>
        </w:tc>
        <w:tc>
          <w:tcPr>
            <w:tcW w:w="1667" w:type="pct"/>
            <w:tcBorders>
              <w:tl2br w:val="nil"/>
              <w:tr2bl w:val="nil"/>
            </w:tcBorders>
            <w:vAlign w:val="center"/>
          </w:tcPr>
          <w:p w14:paraId="7B686E20">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eastAsia" w:ascii="Times New Roman" w:hAnsi="Times New Roman" w:eastAsia="宋体" w:cs="Times New Roman"/>
                <w:bCs/>
                <w:color w:val="auto"/>
                <w:sz w:val="21"/>
                <w:szCs w:val="21"/>
                <w:lang w:eastAsia="zh-CN"/>
              </w:rPr>
            </w:pPr>
            <w:r>
              <w:rPr>
                <w:rFonts w:ascii="Times New Roman" w:hAnsi="Times New Roman" w:eastAsia="宋体" w:cs="Times New Roman"/>
                <w:color w:val="auto"/>
                <w:sz w:val="21"/>
                <w:szCs w:val="21"/>
              </w:rPr>
              <w:t>0.0</w:t>
            </w:r>
            <w:r>
              <w:rPr>
                <w:rFonts w:hint="eastAsia"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val="en-US" w:eastAsia="zh-CN"/>
              </w:rPr>
              <w:t>08</w:t>
            </w:r>
          </w:p>
        </w:tc>
      </w:tr>
      <w:tr w14:paraId="720CA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vAlign w:val="center"/>
          </w:tcPr>
          <w:p w14:paraId="195B2445">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6</w:t>
            </w:r>
          </w:p>
        </w:tc>
        <w:tc>
          <w:tcPr>
            <w:tcW w:w="1667" w:type="pct"/>
            <w:tcBorders>
              <w:tl2br w:val="nil"/>
              <w:tr2bl w:val="nil"/>
            </w:tcBorders>
            <w:vAlign w:val="center"/>
          </w:tcPr>
          <w:p w14:paraId="617886E9">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jc w:val="center"/>
              <w:rPr>
                <w:rFonts w:ascii="Times New Roman" w:hAnsi="Times New Roman" w:cs="Times New Roman"/>
                <w:bCs/>
                <w:color w:val="auto"/>
                <w:sz w:val="21"/>
                <w:szCs w:val="21"/>
              </w:rPr>
            </w:pPr>
            <w:r>
              <w:rPr>
                <w:rFonts w:hint="eastAsia" w:ascii="Times New Roman" w:hAnsi="Times New Roman" w:cs="Times New Roman"/>
                <w:bCs/>
                <w:color w:val="auto"/>
                <w:sz w:val="21"/>
                <w:szCs w:val="21"/>
              </w:rPr>
              <w:t>TSP</w:t>
            </w:r>
          </w:p>
        </w:tc>
        <w:tc>
          <w:tcPr>
            <w:tcW w:w="1667" w:type="pct"/>
            <w:tcBorders>
              <w:tl2br w:val="nil"/>
              <w:tr2bl w:val="nil"/>
            </w:tcBorders>
            <w:vAlign w:val="center"/>
          </w:tcPr>
          <w:p w14:paraId="7781645E">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eastAsia" w:ascii="Times New Roman" w:hAnsi="Times New Roman" w:eastAsia="宋体" w:cs="Times New Roman"/>
                <w:bCs/>
                <w:color w:val="auto"/>
                <w:sz w:val="21"/>
                <w:szCs w:val="21"/>
                <w:lang w:eastAsia="zh-CN"/>
              </w:rPr>
            </w:pPr>
            <w:r>
              <w:rPr>
                <w:rFonts w:hint="eastAsia" w:ascii="Times New Roman" w:hAnsi="Times New Roman" w:cs="Times New Roman"/>
                <w:bCs/>
                <w:color w:val="auto"/>
                <w:sz w:val="21"/>
                <w:szCs w:val="21"/>
              </w:rPr>
              <w:t>0.</w:t>
            </w:r>
            <w:r>
              <w:rPr>
                <w:rFonts w:hint="eastAsia" w:ascii="Times New Roman" w:hAnsi="Times New Roman" w:cs="Times New Roman"/>
                <w:bCs/>
                <w:color w:val="auto"/>
                <w:sz w:val="21"/>
                <w:szCs w:val="21"/>
                <w:lang w:val="en-US" w:eastAsia="zh-CN"/>
              </w:rPr>
              <w:t>003</w:t>
            </w:r>
          </w:p>
        </w:tc>
      </w:tr>
      <w:tr w14:paraId="29764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5" w:type="pct"/>
            <w:tcBorders>
              <w:tl2br w:val="nil"/>
              <w:tr2bl w:val="nil"/>
            </w:tcBorders>
            <w:shd w:val="clear" w:color="auto" w:fill="auto"/>
            <w:vAlign w:val="center"/>
          </w:tcPr>
          <w:p w14:paraId="2C85D315">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ind w:firstLine="0" w:firstLineChars="0"/>
              <w:jc w:val="center"/>
              <w:rPr>
                <w:rFonts w:hint="eastAsia" w:ascii="Times New Roman" w:hAnsi="Times New Roman" w:eastAsia="宋体" w:cs="Times New Roman"/>
                <w:color w:val="FF0000"/>
                <w:kern w:val="0"/>
                <w:sz w:val="21"/>
                <w:szCs w:val="21"/>
                <w:lang w:val="en-US" w:eastAsia="zh-CN" w:bidi="ar-SA"/>
              </w:rPr>
            </w:pPr>
            <w:r>
              <w:rPr>
                <w:rFonts w:hint="eastAsia" w:ascii="Times New Roman" w:hAnsi="Times New Roman" w:cs="Times New Roman"/>
                <w:color w:val="FF0000"/>
                <w:sz w:val="21"/>
                <w:szCs w:val="21"/>
                <w:lang w:val="en-US" w:eastAsia="zh-CN"/>
              </w:rPr>
              <w:t>7</w:t>
            </w:r>
          </w:p>
        </w:tc>
        <w:tc>
          <w:tcPr>
            <w:tcW w:w="1667" w:type="pct"/>
            <w:tcBorders>
              <w:tl2br w:val="nil"/>
              <w:tr2bl w:val="nil"/>
            </w:tcBorders>
            <w:shd w:val="clear" w:color="auto" w:fill="auto"/>
            <w:vAlign w:val="center"/>
          </w:tcPr>
          <w:p w14:paraId="2673ACAD">
            <w:pPr>
              <w:pStyle w:val="3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20" w:lineRule="exact"/>
              <w:ind w:firstLine="0" w:firstLineChars="0"/>
              <w:jc w:val="center"/>
              <w:rPr>
                <w:rFonts w:hint="eastAsia" w:ascii="Times New Roman" w:hAnsi="Times New Roman" w:eastAsia="宋体" w:cs="Times New Roman"/>
                <w:bCs/>
                <w:color w:val="FF0000"/>
                <w:kern w:val="0"/>
                <w:sz w:val="21"/>
                <w:szCs w:val="21"/>
                <w:lang w:val="en-US" w:eastAsia="zh-CN" w:bidi="ar-SA"/>
              </w:rPr>
            </w:pPr>
            <w:r>
              <w:rPr>
                <w:rFonts w:hint="eastAsia" w:ascii="Times New Roman" w:hAnsi="Times New Roman" w:eastAsia="宋体" w:cs="Times New Roman"/>
                <w:color w:val="FF0000"/>
                <w:kern w:val="0"/>
                <w:sz w:val="21"/>
                <w:szCs w:val="21"/>
                <w:lang w:val="en-US" w:eastAsia="zh-CN"/>
              </w:rPr>
              <w:t>NH</w:t>
            </w:r>
            <w:r>
              <w:rPr>
                <w:rFonts w:hint="eastAsia" w:ascii="Times New Roman" w:hAnsi="Times New Roman" w:eastAsia="宋体" w:cs="Times New Roman"/>
                <w:color w:val="FF0000"/>
                <w:kern w:val="0"/>
                <w:sz w:val="21"/>
                <w:szCs w:val="21"/>
                <w:vertAlign w:val="subscript"/>
                <w:lang w:val="en-US" w:eastAsia="zh-CN"/>
              </w:rPr>
              <w:t>3</w:t>
            </w:r>
          </w:p>
        </w:tc>
        <w:tc>
          <w:tcPr>
            <w:tcW w:w="1667" w:type="pct"/>
            <w:tcBorders>
              <w:tl2br w:val="nil"/>
              <w:tr2bl w:val="nil"/>
            </w:tcBorders>
            <w:shd w:val="clear" w:color="auto" w:fill="auto"/>
            <w:vAlign w:val="center"/>
          </w:tcPr>
          <w:p w14:paraId="01FD8613">
            <w:pPr>
              <w:keepNext w:val="0"/>
              <w:keepLines w:val="0"/>
              <w:pageBreakBefore w:val="0"/>
              <w:widowControl/>
              <w:kinsoku/>
              <w:wordWrap/>
              <w:overflowPunct/>
              <w:topLinePunct w:val="0"/>
              <w:autoSpaceDE/>
              <w:autoSpaceDN/>
              <w:bidi w:val="0"/>
              <w:spacing w:line="320" w:lineRule="exact"/>
              <w:ind w:firstLine="0" w:firstLineChars="0"/>
              <w:jc w:val="center"/>
              <w:textAlignment w:val="center"/>
              <w:rPr>
                <w:rFonts w:hint="eastAsia" w:ascii="Times New Roman" w:hAnsi="Times New Roman" w:cs="Times New Roman" w:eastAsiaTheme="minorEastAsia"/>
                <w:bCs/>
                <w:color w:val="FF0000"/>
                <w:kern w:val="2"/>
                <w:sz w:val="21"/>
                <w:szCs w:val="21"/>
                <w:lang w:val="en-US" w:eastAsia="zh-CN" w:bidi="ar-SA"/>
              </w:rPr>
            </w:pPr>
            <w:r>
              <w:rPr>
                <w:rFonts w:hint="eastAsia" w:ascii="Times New Roman" w:hAnsi="Times New Roman" w:cs="Times New Roman"/>
                <w:bCs/>
                <w:color w:val="FF0000"/>
                <w:sz w:val="21"/>
                <w:szCs w:val="21"/>
                <w:lang w:val="en-US" w:eastAsia="zh-CN"/>
              </w:rPr>
              <w:t>0.78</w:t>
            </w:r>
          </w:p>
        </w:tc>
      </w:tr>
    </w:tbl>
    <w:p w14:paraId="351C4C7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64A3284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表6.2-3</w:t>
      </w:r>
      <w:r>
        <w:rPr>
          <w:rFonts w:hint="eastAsia" w:ascii="Times New Roman" w:hAnsi="Times New Roman" w:eastAsia="宋体" w:cs="Times New Roman"/>
          <w:b/>
          <w:bCs/>
          <w:color w:val="auto"/>
          <w:sz w:val="24"/>
          <w:szCs w:val="24"/>
          <w:lang w:val="en-US" w:eastAsia="zh-CN"/>
        </w:rPr>
        <w:t>6</w:t>
      </w:r>
      <w:r>
        <w:rPr>
          <w:rFonts w:hint="default" w:ascii="Times New Roman" w:hAnsi="Times New Roman" w:eastAsia="宋体" w:cs="Times New Roman"/>
          <w:b/>
          <w:bCs/>
          <w:color w:val="auto"/>
          <w:sz w:val="24"/>
          <w:szCs w:val="24"/>
          <w:lang w:eastAsia="zh-CN"/>
        </w:rPr>
        <w:t xml:space="preserve"> </w:t>
      </w:r>
      <w:r>
        <w:rPr>
          <w:rFonts w:hint="eastAsia"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本项目污染源非正常排放量核算表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6"/>
        <w:gridCol w:w="1394"/>
        <w:gridCol w:w="1479"/>
        <w:gridCol w:w="740"/>
        <w:gridCol w:w="1195"/>
        <w:gridCol w:w="842"/>
        <w:gridCol w:w="551"/>
        <w:gridCol w:w="493"/>
        <w:gridCol w:w="699"/>
      </w:tblGrid>
      <w:tr w14:paraId="32E07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3" w:type="pct"/>
            <w:tcBorders>
              <w:tl2br w:val="nil"/>
              <w:tr2bl w:val="nil"/>
            </w:tcBorders>
            <w:vAlign w:val="center"/>
          </w:tcPr>
          <w:p w14:paraId="6ADA0E99">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非正常排放源</w:t>
            </w:r>
          </w:p>
        </w:tc>
        <w:tc>
          <w:tcPr>
            <w:tcW w:w="845" w:type="pct"/>
            <w:tcBorders>
              <w:tl2br w:val="nil"/>
              <w:tr2bl w:val="nil"/>
            </w:tcBorders>
            <w:vAlign w:val="center"/>
          </w:tcPr>
          <w:p w14:paraId="1473B858">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hint="eastAsia" w:ascii="Times New Roman" w:hAnsi="Times New Roman" w:cs="Times New Roman"/>
                <w:color w:val="auto"/>
                <w:sz w:val="21"/>
                <w:szCs w:val="21"/>
              </w:rPr>
            </w:pPr>
            <w:r>
              <w:rPr>
                <w:rFonts w:hint="eastAsia" w:ascii="Times New Roman" w:hAnsi="Times New Roman" w:cs="Times New Roman"/>
                <w:color w:val="auto"/>
                <w:sz w:val="21"/>
                <w:szCs w:val="21"/>
              </w:rPr>
              <w:t>污染源</w:t>
            </w:r>
          </w:p>
        </w:tc>
        <w:tc>
          <w:tcPr>
            <w:tcW w:w="895" w:type="pct"/>
            <w:tcBorders>
              <w:tl2br w:val="nil"/>
              <w:tr2bl w:val="nil"/>
            </w:tcBorders>
            <w:vAlign w:val="center"/>
          </w:tcPr>
          <w:p w14:paraId="4495AFEC">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非正常排放原因</w:t>
            </w:r>
          </w:p>
        </w:tc>
        <w:tc>
          <w:tcPr>
            <w:tcW w:w="461" w:type="pct"/>
            <w:tcBorders>
              <w:tl2br w:val="nil"/>
              <w:tr2bl w:val="nil"/>
            </w:tcBorders>
            <w:vAlign w:val="center"/>
          </w:tcPr>
          <w:p w14:paraId="45FB3A3F">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污染物</w:t>
            </w:r>
          </w:p>
        </w:tc>
        <w:tc>
          <w:tcPr>
            <w:tcW w:w="598" w:type="pct"/>
            <w:tcBorders>
              <w:tl2br w:val="nil"/>
              <w:tr2bl w:val="nil"/>
            </w:tcBorders>
            <w:vAlign w:val="center"/>
          </w:tcPr>
          <w:p w14:paraId="42ADD7F7">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非正常</w:t>
            </w:r>
          </w:p>
          <w:p w14:paraId="6CC75B98">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排放浓度（mg/m</w:t>
            </w:r>
            <w:r>
              <w:rPr>
                <w:rFonts w:eastAsia="宋体" w:cs="Times New Roman"/>
                <w:color w:val="auto"/>
                <w:sz w:val="21"/>
                <w:szCs w:val="21"/>
                <w:vertAlign w:val="superscript"/>
              </w:rPr>
              <w:t>3</w:t>
            </w:r>
            <w:r>
              <w:rPr>
                <w:rFonts w:eastAsia="宋体" w:cs="Times New Roman"/>
                <w:color w:val="auto"/>
                <w:sz w:val="21"/>
                <w:szCs w:val="21"/>
              </w:rPr>
              <w:t>）</w:t>
            </w:r>
          </w:p>
        </w:tc>
        <w:tc>
          <w:tcPr>
            <w:tcW w:w="521" w:type="pct"/>
            <w:tcBorders>
              <w:tl2br w:val="nil"/>
              <w:tr2bl w:val="nil"/>
            </w:tcBorders>
            <w:vAlign w:val="center"/>
          </w:tcPr>
          <w:p w14:paraId="2BC777DB">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非正常排放速率/kg/h</w:t>
            </w:r>
          </w:p>
        </w:tc>
        <w:tc>
          <w:tcPr>
            <w:tcW w:w="350" w:type="pct"/>
            <w:tcBorders>
              <w:tl2br w:val="nil"/>
              <w:tr2bl w:val="nil"/>
            </w:tcBorders>
            <w:vAlign w:val="center"/>
          </w:tcPr>
          <w:p w14:paraId="06EB9D89">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单次持续时间/h</w:t>
            </w:r>
          </w:p>
        </w:tc>
        <w:tc>
          <w:tcPr>
            <w:tcW w:w="316" w:type="pct"/>
            <w:tcBorders>
              <w:tl2br w:val="nil"/>
              <w:tr2bl w:val="nil"/>
            </w:tcBorders>
            <w:vAlign w:val="center"/>
          </w:tcPr>
          <w:p w14:paraId="5E49E168">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年发生频次/次</w:t>
            </w:r>
          </w:p>
        </w:tc>
        <w:tc>
          <w:tcPr>
            <w:tcW w:w="437" w:type="pct"/>
            <w:tcBorders>
              <w:tl2br w:val="nil"/>
              <w:tr2bl w:val="nil"/>
            </w:tcBorders>
            <w:vAlign w:val="center"/>
          </w:tcPr>
          <w:p w14:paraId="0D537678">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应对措施</w:t>
            </w:r>
          </w:p>
        </w:tc>
      </w:tr>
      <w:tr w14:paraId="58AEF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3" w:type="pct"/>
            <w:vMerge w:val="restart"/>
            <w:tcBorders>
              <w:tl2br w:val="nil"/>
              <w:tr2bl w:val="nil"/>
            </w:tcBorders>
            <w:vAlign w:val="center"/>
          </w:tcPr>
          <w:p w14:paraId="53D29B73">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hint="eastAsia" w:eastAsia="宋体" w:cs="Times New Roman"/>
                <w:color w:val="auto"/>
                <w:sz w:val="21"/>
                <w:szCs w:val="21"/>
                <w:lang w:eastAsia="zh-CN"/>
              </w:rPr>
            </w:pPr>
            <w:r>
              <w:rPr>
                <w:rFonts w:hint="eastAsia" w:eastAsia="宋体" w:cs="Times New Roman"/>
                <w:bCs/>
                <w:color w:val="auto"/>
                <w:sz w:val="21"/>
                <w:szCs w:val="21"/>
                <w:lang w:val="en-US" w:eastAsia="zh-CN"/>
              </w:rPr>
              <w:t>2</w:t>
            </w:r>
            <w:r>
              <w:rPr>
                <w:rFonts w:hint="eastAsia" w:eastAsia="宋体" w:cs="Times New Roman"/>
                <w:bCs/>
                <w:color w:val="auto"/>
                <w:sz w:val="21"/>
                <w:szCs w:val="21"/>
              </w:rPr>
              <w:t>×4</w:t>
            </w:r>
            <w:r>
              <w:rPr>
                <w:rFonts w:hint="eastAsia" w:eastAsia="宋体" w:cs="Times New Roman"/>
                <w:bCs/>
                <w:color w:val="auto"/>
                <w:sz w:val="21"/>
                <w:szCs w:val="21"/>
                <w:lang w:val="en-US" w:eastAsia="zh-CN"/>
              </w:rPr>
              <w:t>2</w:t>
            </w:r>
            <w:r>
              <w:rPr>
                <w:rFonts w:hint="eastAsia" w:eastAsia="宋体" w:cs="Times New Roman"/>
                <w:bCs/>
                <w:color w:val="auto"/>
                <w:sz w:val="21"/>
                <w:szCs w:val="21"/>
              </w:rPr>
              <w:t>MW</w:t>
            </w:r>
            <w:r>
              <w:rPr>
                <w:rFonts w:hint="eastAsia" w:eastAsia="宋体" w:cs="Times New Roman"/>
                <w:bCs/>
                <w:color w:val="auto"/>
                <w:sz w:val="21"/>
                <w:szCs w:val="21"/>
                <w:lang w:eastAsia="zh-CN"/>
              </w:rPr>
              <w:t>链条炉排热水锅炉</w:t>
            </w:r>
          </w:p>
        </w:tc>
        <w:tc>
          <w:tcPr>
            <w:tcW w:w="845" w:type="pct"/>
            <w:tcBorders>
              <w:tl2br w:val="nil"/>
              <w:tr2bl w:val="nil"/>
            </w:tcBorders>
            <w:vAlign w:val="center"/>
          </w:tcPr>
          <w:p w14:paraId="14DB93A1">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hint="eastAsia" w:ascii="Times New Roman" w:hAnsi="Times New Roman" w:cs="Times New Roman"/>
                <w:color w:val="auto"/>
                <w:sz w:val="21"/>
                <w:szCs w:val="21"/>
              </w:rPr>
            </w:pPr>
            <w:r>
              <w:rPr>
                <w:rFonts w:hint="eastAsia" w:ascii="Times New Roman" w:hAnsi="Times New Roman" w:cs="Times New Roman"/>
                <w:color w:val="auto"/>
                <w:sz w:val="21"/>
                <w:szCs w:val="21"/>
              </w:rPr>
              <w:t>锅炉除尘设施</w:t>
            </w:r>
          </w:p>
        </w:tc>
        <w:tc>
          <w:tcPr>
            <w:tcW w:w="895" w:type="pct"/>
            <w:tcBorders>
              <w:tl2br w:val="nil"/>
              <w:tr2bl w:val="nil"/>
            </w:tcBorders>
            <w:vAlign w:val="center"/>
          </w:tcPr>
          <w:p w14:paraId="1604C509">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除尘器发生破袋故障</w:t>
            </w:r>
          </w:p>
        </w:tc>
        <w:tc>
          <w:tcPr>
            <w:tcW w:w="461" w:type="pct"/>
            <w:tcBorders>
              <w:tl2br w:val="nil"/>
              <w:tr2bl w:val="nil"/>
            </w:tcBorders>
            <w:vAlign w:val="center"/>
          </w:tcPr>
          <w:p w14:paraId="290967D4">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PM</w:t>
            </w:r>
            <w:r>
              <w:rPr>
                <w:rFonts w:ascii="Times New Roman" w:hAnsi="Times New Roman" w:cs="Times New Roman"/>
                <w:bCs/>
                <w:color w:val="auto"/>
                <w:sz w:val="21"/>
                <w:szCs w:val="21"/>
                <w:vertAlign w:val="subscript"/>
              </w:rPr>
              <w:t>10</w:t>
            </w:r>
          </w:p>
        </w:tc>
        <w:tc>
          <w:tcPr>
            <w:tcW w:w="598" w:type="pct"/>
            <w:tcBorders>
              <w:tl2br w:val="nil"/>
              <w:tr2bl w:val="nil"/>
            </w:tcBorders>
            <w:vAlign w:val="center"/>
          </w:tcPr>
          <w:p w14:paraId="55155058">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2247.602</w:t>
            </w:r>
          </w:p>
        </w:tc>
        <w:tc>
          <w:tcPr>
            <w:tcW w:w="521" w:type="pct"/>
            <w:tcBorders>
              <w:tl2br w:val="nil"/>
              <w:tr2bl w:val="nil"/>
            </w:tcBorders>
            <w:vAlign w:val="center"/>
          </w:tcPr>
          <w:p w14:paraId="29ED8089">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242.70</w:t>
            </w:r>
          </w:p>
        </w:tc>
        <w:tc>
          <w:tcPr>
            <w:tcW w:w="350" w:type="pct"/>
            <w:tcBorders>
              <w:tl2br w:val="nil"/>
              <w:tr2bl w:val="nil"/>
            </w:tcBorders>
            <w:vAlign w:val="center"/>
          </w:tcPr>
          <w:p w14:paraId="770B23B2">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316" w:type="pct"/>
            <w:tcBorders>
              <w:tl2br w:val="nil"/>
              <w:tr2bl w:val="nil"/>
            </w:tcBorders>
            <w:vAlign w:val="center"/>
          </w:tcPr>
          <w:p w14:paraId="6BBA2655">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437" w:type="pct"/>
            <w:vMerge w:val="restart"/>
            <w:tcBorders>
              <w:tl2br w:val="nil"/>
              <w:tr2bl w:val="nil"/>
            </w:tcBorders>
            <w:vAlign w:val="center"/>
          </w:tcPr>
          <w:p w14:paraId="66167A6D">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加强环保设施的检查和维护</w:t>
            </w:r>
          </w:p>
        </w:tc>
      </w:tr>
      <w:tr w14:paraId="3D2B9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3" w:type="pct"/>
            <w:vMerge w:val="continue"/>
            <w:tcBorders>
              <w:tl2br w:val="nil"/>
              <w:tr2bl w:val="nil"/>
            </w:tcBorders>
            <w:vAlign w:val="center"/>
          </w:tcPr>
          <w:p w14:paraId="2F329745">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845" w:type="pct"/>
            <w:tcBorders>
              <w:tl2br w:val="nil"/>
              <w:tr2bl w:val="nil"/>
            </w:tcBorders>
            <w:vAlign w:val="center"/>
          </w:tcPr>
          <w:p w14:paraId="3DB9B65E">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hint="eastAsia" w:ascii="Times New Roman" w:hAnsi="Times New Roman" w:cs="Times New Roman"/>
                <w:color w:val="auto"/>
                <w:sz w:val="21"/>
                <w:szCs w:val="21"/>
              </w:rPr>
            </w:pPr>
            <w:r>
              <w:rPr>
                <w:rFonts w:hint="eastAsia" w:ascii="Times New Roman" w:hAnsi="Times New Roman" w:cs="Times New Roman"/>
                <w:color w:val="auto"/>
                <w:sz w:val="21"/>
                <w:szCs w:val="21"/>
              </w:rPr>
              <w:t>锅炉脱硫设施</w:t>
            </w:r>
          </w:p>
        </w:tc>
        <w:tc>
          <w:tcPr>
            <w:tcW w:w="895" w:type="pct"/>
            <w:tcBorders>
              <w:tl2br w:val="nil"/>
              <w:tr2bl w:val="nil"/>
            </w:tcBorders>
            <w:vAlign w:val="center"/>
          </w:tcPr>
          <w:p w14:paraId="18334F9B">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脱硫装置故障</w:t>
            </w:r>
          </w:p>
        </w:tc>
        <w:tc>
          <w:tcPr>
            <w:tcW w:w="461" w:type="pct"/>
            <w:tcBorders>
              <w:tl2br w:val="nil"/>
              <w:tr2bl w:val="nil"/>
            </w:tcBorders>
            <w:vAlign w:val="center"/>
          </w:tcPr>
          <w:p w14:paraId="1E9BED18">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SO</w:t>
            </w:r>
            <w:r>
              <w:rPr>
                <w:rFonts w:ascii="Times New Roman" w:hAnsi="Times New Roman" w:cs="Times New Roman"/>
                <w:bCs/>
                <w:color w:val="auto"/>
                <w:sz w:val="21"/>
                <w:szCs w:val="21"/>
                <w:vertAlign w:val="subscript"/>
              </w:rPr>
              <w:t>2</w:t>
            </w:r>
          </w:p>
        </w:tc>
        <w:tc>
          <w:tcPr>
            <w:tcW w:w="598" w:type="pct"/>
            <w:tcBorders>
              <w:tl2br w:val="nil"/>
              <w:tr2bl w:val="nil"/>
            </w:tcBorders>
            <w:vAlign w:val="center"/>
          </w:tcPr>
          <w:p w14:paraId="7E20463E">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183.107</w:t>
            </w:r>
          </w:p>
        </w:tc>
        <w:tc>
          <w:tcPr>
            <w:tcW w:w="521" w:type="pct"/>
            <w:tcBorders>
              <w:tl2br w:val="nil"/>
              <w:tr2bl w:val="nil"/>
            </w:tcBorders>
            <w:vAlign w:val="center"/>
          </w:tcPr>
          <w:p w14:paraId="1A9247EB">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19.77</w:t>
            </w:r>
          </w:p>
        </w:tc>
        <w:tc>
          <w:tcPr>
            <w:tcW w:w="350" w:type="pct"/>
            <w:tcBorders>
              <w:tl2br w:val="nil"/>
              <w:tr2bl w:val="nil"/>
            </w:tcBorders>
            <w:vAlign w:val="center"/>
          </w:tcPr>
          <w:p w14:paraId="1D939036">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316" w:type="pct"/>
            <w:tcBorders>
              <w:tl2br w:val="nil"/>
              <w:tr2bl w:val="nil"/>
            </w:tcBorders>
            <w:vAlign w:val="center"/>
          </w:tcPr>
          <w:p w14:paraId="7FCF0981">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437" w:type="pct"/>
            <w:vMerge w:val="continue"/>
            <w:tcBorders>
              <w:tl2br w:val="nil"/>
              <w:tr2bl w:val="nil"/>
            </w:tcBorders>
            <w:vAlign w:val="center"/>
          </w:tcPr>
          <w:p w14:paraId="776A9535">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r>
      <w:tr w14:paraId="0D165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3" w:type="pct"/>
            <w:vMerge w:val="continue"/>
            <w:tcBorders>
              <w:tl2br w:val="nil"/>
              <w:tr2bl w:val="nil"/>
            </w:tcBorders>
            <w:vAlign w:val="center"/>
          </w:tcPr>
          <w:p w14:paraId="74C68094">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c>
          <w:tcPr>
            <w:tcW w:w="845" w:type="pct"/>
            <w:tcBorders>
              <w:tl2br w:val="nil"/>
              <w:tr2bl w:val="nil"/>
            </w:tcBorders>
            <w:vAlign w:val="center"/>
          </w:tcPr>
          <w:p w14:paraId="00A5CD23">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hint="eastAsia" w:ascii="Times New Roman" w:hAnsi="Times New Roman" w:cs="Times New Roman"/>
                <w:color w:val="auto"/>
                <w:sz w:val="21"/>
                <w:szCs w:val="21"/>
              </w:rPr>
            </w:pPr>
            <w:r>
              <w:rPr>
                <w:rFonts w:hint="eastAsia" w:ascii="Times New Roman" w:hAnsi="Times New Roman" w:cs="Times New Roman"/>
                <w:color w:val="auto"/>
                <w:sz w:val="21"/>
                <w:szCs w:val="21"/>
              </w:rPr>
              <w:t>锅炉脱硝设施</w:t>
            </w:r>
          </w:p>
        </w:tc>
        <w:tc>
          <w:tcPr>
            <w:tcW w:w="895" w:type="pct"/>
            <w:tcBorders>
              <w:tl2br w:val="nil"/>
              <w:tr2bl w:val="nil"/>
            </w:tcBorders>
            <w:vAlign w:val="center"/>
          </w:tcPr>
          <w:p w14:paraId="59920F4A">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hint="eastAsia" w:ascii="Times New Roman" w:hAnsi="Times New Roman" w:cs="Times New Roman"/>
                <w:bCs/>
                <w:color w:val="auto"/>
                <w:sz w:val="21"/>
                <w:szCs w:val="21"/>
              </w:rPr>
              <w:t>SNCR-SCR联合脱硝系统</w:t>
            </w:r>
            <w:r>
              <w:rPr>
                <w:rFonts w:ascii="Times New Roman" w:hAnsi="Times New Roman" w:cs="Times New Roman"/>
                <w:bCs/>
                <w:color w:val="auto"/>
                <w:sz w:val="21"/>
                <w:szCs w:val="21"/>
              </w:rPr>
              <w:t>故障</w:t>
            </w:r>
          </w:p>
        </w:tc>
        <w:tc>
          <w:tcPr>
            <w:tcW w:w="461" w:type="pct"/>
            <w:tcBorders>
              <w:tl2br w:val="nil"/>
              <w:tr2bl w:val="nil"/>
            </w:tcBorders>
            <w:vAlign w:val="center"/>
          </w:tcPr>
          <w:p w14:paraId="3696D872">
            <w:pPr>
              <w:pStyle w:val="37"/>
              <w:keepNext w:val="0"/>
              <w:keepLines w:val="0"/>
              <w:pageBreakBefore w:val="0"/>
              <w:widowControl w:val="0"/>
              <w:kinsoku/>
              <w:wordWrap/>
              <w:overflowPunct/>
              <w:topLinePunct w:val="0"/>
              <w:autoSpaceDE/>
              <w:autoSpaceDN/>
              <w:bidi w:val="0"/>
              <w:spacing w:before="0" w:beforeAutospacing="0" w:after="0" w:afterAutospacing="0" w:line="320" w:lineRule="exact"/>
              <w:jc w:val="center"/>
              <w:rPr>
                <w:rFonts w:ascii="Times New Roman" w:hAnsi="Times New Roman" w:cs="Times New Roman"/>
                <w:color w:val="auto"/>
                <w:sz w:val="21"/>
                <w:szCs w:val="21"/>
              </w:rPr>
            </w:pPr>
            <w:r>
              <w:rPr>
                <w:rFonts w:ascii="Times New Roman" w:hAnsi="Times New Roman" w:cs="Times New Roman"/>
                <w:bCs/>
                <w:color w:val="auto"/>
                <w:sz w:val="21"/>
                <w:szCs w:val="21"/>
              </w:rPr>
              <w:t>NOx</w:t>
            </w:r>
          </w:p>
        </w:tc>
        <w:tc>
          <w:tcPr>
            <w:tcW w:w="598" w:type="pct"/>
            <w:tcBorders>
              <w:tl2br w:val="nil"/>
              <w:tr2bl w:val="nil"/>
            </w:tcBorders>
            <w:vAlign w:val="center"/>
          </w:tcPr>
          <w:p w14:paraId="750006F6">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350</w:t>
            </w:r>
          </w:p>
        </w:tc>
        <w:tc>
          <w:tcPr>
            <w:tcW w:w="521" w:type="pct"/>
            <w:tcBorders>
              <w:tl2br w:val="nil"/>
              <w:tr2bl w:val="nil"/>
            </w:tcBorders>
            <w:vAlign w:val="center"/>
          </w:tcPr>
          <w:p w14:paraId="42683AB3">
            <w:pPr>
              <w:pStyle w:val="37"/>
              <w:keepNext w:val="0"/>
              <w:keepLines w:val="0"/>
              <w:pageBreakBefore w:val="0"/>
              <w:widowControl w:val="0"/>
              <w:kinsoku/>
              <w:wordWrap/>
              <w:overflowPunct/>
              <w:topLinePunct w:val="0"/>
              <w:autoSpaceDE/>
              <w:autoSpaceDN/>
              <w:bidi w:val="0"/>
              <w:spacing w:before="0" w:beforeAutospacing="0" w:after="0" w:afterAutospacing="0" w:line="320" w:lineRule="exact"/>
              <w:ind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3</w:t>
            </w:r>
            <w:r>
              <w:rPr>
                <w:rFonts w:hint="eastAsia" w:ascii="Times New Roman" w:hAnsi="Times New Roman" w:cs="Times New Roman"/>
                <w:bCs/>
                <w:color w:val="auto"/>
                <w:sz w:val="21"/>
                <w:szCs w:val="21"/>
                <w:lang w:val="en-US" w:eastAsia="zh-CN"/>
              </w:rPr>
              <w:t>7.79</w:t>
            </w:r>
          </w:p>
        </w:tc>
        <w:tc>
          <w:tcPr>
            <w:tcW w:w="350" w:type="pct"/>
            <w:tcBorders>
              <w:tl2br w:val="nil"/>
              <w:tr2bl w:val="nil"/>
            </w:tcBorders>
            <w:vAlign w:val="center"/>
          </w:tcPr>
          <w:p w14:paraId="64DE6962">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316" w:type="pct"/>
            <w:tcBorders>
              <w:tl2br w:val="nil"/>
              <w:tr2bl w:val="nil"/>
            </w:tcBorders>
            <w:vAlign w:val="center"/>
          </w:tcPr>
          <w:p w14:paraId="2907A929">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r>
              <w:rPr>
                <w:rFonts w:eastAsia="宋体" w:cs="Times New Roman"/>
                <w:color w:val="auto"/>
                <w:sz w:val="21"/>
                <w:szCs w:val="21"/>
              </w:rPr>
              <w:t>1</w:t>
            </w:r>
          </w:p>
        </w:tc>
        <w:tc>
          <w:tcPr>
            <w:tcW w:w="437" w:type="pct"/>
            <w:vMerge w:val="continue"/>
            <w:tcBorders>
              <w:tl2br w:val="nil"/>
              <w:tr2bl w:val="nil"/>
            </w:tcBorders>
            <w:vAlign w:val="center"/>
          </w:tcPr>
          <w:p w14:paraId="10EECABC">
            <w:pPr>
              <w:pStyle w:val="105"/>
              <w:keepNext w:val="0"/>
              <w:keepLines w:val="0"/>
              <w:pageBreakBefore w:val="0"/>
              <w:widowControl w:val="0"/>
              <w:kinsoku/>
              <w:wordWrap/>
              <w:overflowPunct/>
              <w:topLinePunct w:val="0"/>
              <w:autoSpaceDE/>
              <w:autoSpaceDN/>
              <w:bidi w:val="0"/>
              <w:adjustRightInd w:val="0"/>
              <w:snapToGrid w:val="0"/>
              <w:spacing w:line="320" w:lineRule="exact"/>
              <w:ind w:firstLine="0" w:firstLineChars="0"/>
              <w:textAlignment w:val="center"/>
              <w:rPr>
                <w:rFonts w:eastAsia="宋体" w:cs="Times New Roman"/>
                <w:color w:val="auto"/>
                <w:sz w:val="21"/>
                <w:szCs w:val="21"/>
              </w:rPr>
            </w:pPr>
          </w:p>
        </w:tc>
      </w:tr>
    </w:tbl>
    <w:p w14:paraId="1B558E4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6.2.1.5 评价结论</w:t>
      </w:r>
    </w:p>
    <w:p w14:paraId="33701F82">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FF0000"/>
          <w:szCs w:val="24"/>
        </w:rPr>
      </w:pPr>
      <w:r>
        <w:rPr>
          <w:rFonts w:hint="eastAsia" w:ascii="Times New Roman" w:hAnsi="Times New Roman" w:eastAsia="宋体" w:cs="Times New Roman"/>
          <w:color w:val="FF0000"/>
          <w:szCs w:val="24"/>
          <w:lang w:val="en-US" w:eastAsia="zh-CN"/>
        </w:rPr>
        <w:t>根据</w:t>
      </w:r>
      <w:r>
        <w:rPr>
          <w:rFonts w:ascii="Times New Roman" w:hAnsi="Times New Roman" w:eastAsia="宋体" w:cs="Times New Roman"/>
          <w:color w:val="FF0000"/>
        </w:rPr>
        <w:t>《环境影响评价技术导则 大气环境》（HJ 2.2-2018）</w:t>
      </w:r>
      <w:r>
        <w:rPr>
          <w:rFonts w:hint="eastAsia" w:ascii="Times New Roman" w:hAnsi="Times New Roman" w:eastAsia="宋体" w:cs="Times New Roman"/>
          <w:color w:val="FF0000"/>
          <w:lang w:val="en-US" w:eastAsia="zh-CN"/>
        </w:rPr>
        <w:t>10.1.1</w:t>
      </w:r>
      <w:r>
        <w:rPr>
          <w:rFonts w:ascii="Times New Roman" w:hAnsi="Times New Roman" w:eastAsia="宋体" w:cs="Times New Roman"/>
          <w:color w:val="FF0000"/>
          <w:szCs w:val="24"/>
        </w:rPr>
        <w:t>大气环境影响评价结论如下：</w:t>
      </w:r>
    </w:p>
    <w:p w14:paraId="40DA0AF1">
      <w:pPr>
        <w:keepNext w:val="0"/>
        <w:keepLines w:val="0"/>
        <w:pageBreakBefore w:val="0"/>
        <w:widowControl w:val="0"/>
        <w:kinsoku/>
        <w:wordWrap/>
        <w:overflowPunct/>
        <w:topLinePunct w:val="0"/>
        <w:bidi w:val="0"/>
        <w:snapToGrid/>
        <w:spacing w:line="500" w:lineRule="exact"/>
        <w:ind w:firstLine="480"/>
        <w:textAlignment w:val="auto"/>
        <w:rPr>
          <w:rFonts w:hint="eastAsia"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10.1.1达标区域的建设项目环境影响评价，当同时满足以下条件时，则认为环境影响可以接受。</w:t>
      </w:r>
    </w:p>
    <w:p w14:paraId="06E52C7D">
      <w:pPr>
        <w:keepNext w:val="0"/>
        <w:keepLines w:val="0"/>
        <w:pageBreakBefore w:val="0"/>
        <w:widowControl w:val="0"/>
        <w:numPr>
          <w:ilvl w:val="0"/>
          <w:numId w:val="3"/>
        </w:numPr>
        <w:kinsoku/>
        <w:wordWrap/>
        <w:overflowPunct/>
        <w:topLinePunct w:val="0"/>
        <w:bidi w:val="0"/>
        <w:snapToGrid/>
        <w:spacing w:line="500" w:lineRule="exact"/>
        <w:ind w:firstLine="480"/>
        <w:textAlignment w:val="auto"/>
        <w:rPr>
          <w:rFonts w:hint="eastAsia"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新增污染源正常排放下污染物短期浓度贡献值的最大浓度占标率≤100%;</w:t>
      </w:r>
    </w:p>
    <w:p w14:paraId="215FDA33">
      <w:pPr>
        <w:keepNext w:val="0"/>
        <w:keepLines w:val="0"/>
        <w:pageBreakBefore w:val="0"/>
        <w:widowControl w:val="0"/>
        <w:numPr>
          <w:ilvl w:val="0"/>
          <w:numId w:val="3"/>
        </w:numPr>
        <w:kinsoku/>
        <w:wordWrap/>
        <w:overflowPunct/>
        <w:topLinePunct w:val="0"/>
        <w:bidi w:val="0"/>
        <w:snapToGrid/>
        <w:spacing w:line="500" w:lineRule="exact"/>
        <w:ind w:firstLine="480"/>
        <w:textAlignment w:val="auto"/>
        <w:rPr>
          <w:rFonts w:hint="eastAsia"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新增污染源正常排放下污染物年均浓度贡献值的最大浓度占标率≤30%(其中一类区≤10%);</w:t>
      </w:r>
    </w:p>
    <w:p w14:paraId="6486389C">
      <w:pPr>
        <w:keepNext w:val="0"/>
        <w:keepLines w:val="0"/>
        <w:pageBreakBefore w:val="0"/>
        <w:widowControl w:val="0"/>
        <w:numPr>
          <w:ilvl w:val="0"/>
          <w:numId w:val="3"/>
        </w:numPr>
        <w:kinsoku/>
        <w:wordWrap/>
        <w:overflowPunct/>
        <w:topLinePunct w:val="0"/>
        <w:bidi w:val="0"/>
        <w:snapToGrid/>
        <w:spacing w:line="500" w:lineRule="exact"/>
        <w:ind w:firstLine="480"/>
        <w:textAlignment w:val="auto"/>
        <w:rPr>
          <w:rFonts w:hint="default" w:eastAsia="宋体"/>
          <w:color w:val="FF0000"/>
          <w:lang w:val="en-US" w:eastAsia="zh-CN"/>
        </w:rPr>
      </w:pPr>
      <w:r>
        <w:rPr>
          <w:rFonts w:hint="eastAsia" w:ascii="Times New Roman" w:hAnsi="Times New Roman" w:eastAsia="宋体" w:cs="Times New Roman"/>
          <w:color w:val="FF0000"/>
          <w:lang w:val="en-US" w:eastAsia="zh-CN"/>
        </w:rPr>
        <w:t>项目环境影响符合环境功能区划。叠加现状浓度、区域削减污染源以及在建、拟建项目的环境影响后，主要污染物的保证率日平均质量浓度和年平均质量浓度均符合环境质量标准；对于项目排放的主要污染物仅有短期浓度限值的，叠加后的短期浓度符合环境质量标准。</w:t>
      </w:r>
    </w:p>
    <w:p w14:paraId="60C01F58">
      <w:pPr>
        <w:keepNext w:val="0"/>
        <w:keepLines w:val="0"/>
        <w:pageBreakBefore w:val="0"/>
        <w:widowControl w:val="0"/>
        <w:kinsoku/>
        <w:wordWrap/>
        <w:overflowPunct/>
        <w:topLinePunct w:val="0"/>
        <w:bidi w:val="0"/>
        <w:snapToGrid/>
        <w:spacing w:line="500" w:lineRule="exact"/>
        <w:ind w:firstLine="480"/>
        <w:textAlignment w:val="auto"/>
        <w:rPr>
          <w:rFonts w:hint="eastAsia" w:ascii="Times New Roman" w:hAnsi="Times New Roman" w:eastAsia="宋体" w:cs="Times New Roman"/>
          <w:color w:val="FF0000"/>
          <w:szCs w:val="24"/>
          <w:lang w:eastAsia="zh-CN"/>
        </w:rPr>
      </w:pPr>
      <w:r>
        <w:rPr>
          <w:rFonts w:ascii="Times New Roman" w:hAnsi="Times New Roman" w:eastAsia="宋体" w:cs="Times New Roman"/>
          <w:color w:val="FF0000"/>
          <w:szCs w:val="24"/>
        </w:rPr>
        <w:t>本项目位于环境空气二类区的环境空气质量达标区，评价范围内无一类区</w:t>
      </w:r>
      <w:r>
        <w:rPr>
          <w:rFonts w:hint="eastAsia" w:ascii="Times New Roman" w:hAnsi="Times New Roman" w:eastAsia="宋体" w:cs="Times New Roman"/>
          <w:color w:val="FF0000"/>
          <w:szCs w:val="24"/>
          <w:lang w:eastAsia="zh-CN"/>
        </w:rPr>
        <w:t>。</w:t>
      </w:r>
    </w:p>
    <w:p w14:paraId="3A2C80C2">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szCs w:val="24"/>
        </w:rPr>
        <w:t>（1）由预测结果可知，本项目正常工况下新增各污染物PM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、PM</w:t>
      </w:r>
      <w:r>
        <w:rPr>
          <w:rFonts w:ascii="Times New Roman" w:hAnsi="Times New Roman" w:eastAsia="宋体" w:cs="Times New Roman"/>
          <w:color w:val="auto"/>
          <w:szCs w:val="24"/>
          <w:vertAlign w:val="subscript"/>
        </w:rPr>
        <w:t>2.5</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、Hg、TSP短期浓度贡献值的最大落地浓度占标均≤100%。</w:t>
      </w:r>
    </w:p>
    <w:p w14:paraId="63F7FAC5">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szCs w:val="24"/>
        </w:rPr>
        <w:t>（2）由预测可知，本项目正常工况下新增污染物PM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、PM</w:t>
      </w:r>
      <w:r>
        <w:rPr>
          <w:rFonts w:ascii="Times New Roman" w:hAnsi="Times New Roman" w:eastAsia="宋体" w:cs="Times New Roman"/>
          <w:color w:val="auto"/>
          <w:szCs w:val="24"/>
          <w:vertAlign w:val="subscript"/>
        </w:rPr>
        <w:t>2.5</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年均浓度贡献值的最大落地浓度占标均≤30%。</w:t>
      </w:r>
    </w:p>
    <w:p w14:paraId="7785DD18">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3</w:t>
      </w:r>
      <w:r>
        <w:rPr>
          <w:rFonts w:ascii="Times New Roman" w:hAnsi="Times New Roman" w:eastAsia="宋体" w:cs="Times New Roman"/>
          <w:color w:val="auto"/>
          <w:szCs w:val="24"/>
        </w:rPr>
        <w:t>）本项目环境影响符合区域环境功能区划。</w:t>
      </w:r>
    </w:p>
    <w:p w14:paraId="038FA9A8">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4</w:t>
      </w:r>
      <w:r>
        <w:rPr>
          <w:rFonts w:ascii="Times New Roman" w:hAnsi="Times New Roman" w:eastAsia="宋体" w:cs="Times New Roman"/>
          <w:color w:val="auto"/>
          <w:szCs w:val="24"/>
        </w:rPr>
        <w:t>）根据预测结果可知，叠加现状背景浓度后，污染物PM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、PM</w:t>
      </w:r>
      <w:r>
        <w:rPr>
          <w:rFonts w:ascii="Times New Roman" w:hAnsi="Times New Roman" w:eastAsia="宋体" w:cs="Times New Roman"/>
          <w:color w:val="auto"/>
          <w:szCs w:val="24"/>
          <w:vertAlign w:val="subscript"/>
        </w:rPr>
        <w:t>2.5</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保证率日平均质量浓度和年平均质量浓度均满足《环境空气质量标准》（GB3095-20</w:t>
      </w:r>
      <w:r>
        <w:rPr>
          <w:rFonts w:hint="eastAsia" w:ascii="Times New Roman" w:hAnsi="Times New Roman" w:eastAsia="宋体" w:cs="Times New Roman"/>
          <w:color w:val="auto"/>
          <w:szCs w:val="24"/>
          <w:lang w:val="en-US" w:eastAsia="zh-CN"/>
        </w:rPr>
        <w:t>26</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二类</w:t>
      </w:r>
      <w:r>
        <w:rPr>
          <w:rFonts w:hint="eastAsia" w:ascii="Times New Roman" w:hAnsi="Times New Roman" w:eastAsia="宋体" w:cs="Times New Roman"/>
          <w:color w:val="auto"/>
          <w:szCs w:val="24"/>
          <w:lang w:val="en-US" w:eastAsia="zh-CN"/>
        </w:rPr>
        <w:t>过渡阶段限值</w:t>
      </w:r>
      <w:r>
        <w:rPr>
          <w:rFonts w:hint="eastAsia" w:ascii="Times New Roman" w:hAnsi="Times New Roman" w:eastAsia="宋体" w:cs="Times New Roman"/>
          <w:color w:val="auto"/>
          <w:szCs w:val="24"/>
        </w:rPr>
        <w:t>标准</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煤库全封闭，定期洒水降尘</w:t>
      </w:r>
      <w:r>
        <w:rPr>
          <w:rFonts w:ascii="Times New Roman" w:hAnsi="Times New Roman" w:eastAsia="宋体" w:cs="Times New Roman"/>
          <w:color w:val="auto"/>
          <w:szCs w:val="24"/>
        </w:rPr>
        <w:t>。TSP满足《环境空气质量标准》（GB3095-20</w:t>
      </w:r>
      <w:r>
        <w:rPr>
          <w:rFonts w:hint="eastAsia" w:ascii="Times New Roman" w:hAnsi="Times New Roman" w:eastAsia="宋体" w:cs="Times New Roman"/>
          <w:color w:val="auto"/>
          <w:szCs w:val="24"/>
          <w:lang w:val="en-US" w:eastAsia="zh-CN"/>
        </w:rPr>
        <w:t>26</w:t>
      </w:r>
      <w:r>
        <w:rPr>
          <w:rFonts w:ascii="Times New Roman" w:hAnsi="Times New Roman" w:eastAsia="宋体" w:cs="Times New Roman"/>
          <w:color w:val="auto"/>
          <w:szCs w:val="24"/>
        </w:rPr>
        <w:t>）要求。</w:t>
      </w:r>
    </w:p>
    <w:p w14:paraId="0B8C6448">
      <w:pPr>
        <w:pStyle w:val="53"/>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color w:val="auto"/>
        </w:rPr>
      </w:pPr>
      <w:r>
        <w:rPr>
          <w:rFonts w:ascii="Times New Roman" w:hAnsi="Times New Roman"/>
          <w:color w:val="auto"/>
        </w:rPr>
        <w:t>（</w:t>
      </w:r>
      <w:r>
        <w:rPr>
          <w:rFonts w:hint="eastAsia" w:ascii="Times New Roman" w:hAnsi="Times New Roman"/>
          <w:color w:val="auto"/>
        </w:rPr>
        <w:t>5</w:t>
      </w:r>
      <w:r>
        <w:rPr>
          <w:rFonts w:ascii="Times New Roman" w:hAnsi="Times New Roman"/>
          <w:color w:val="auto"/>
        </w:rPr>
        <w:t>）经计算本项目厂界线外部没有超标点，无须设大气环境防护距离。</w:t>
      </w:r>
    </w:p>
    <w:p w14:paraId="3F1E3A21">
      <w:pPr>
        <w:pStyle w:val="53"/>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color w:val="auto"/>
        </w:rPr>
      </w:pPr>
      <w:r>
        <w:rPr>
          <w:rFonts w:ascii="Times New Roman" w:hAnsi="Times New Roman"/>
          <w:color w:val="auto"/>
        </w:rPr>
        <w:t>因此，本项目建成后，</w:t>
      </w:r>
      <w:r>
        <w:rPr>
          <w:rFonts w:hint="eastAsia" w:ascii="Times New Roman" w:hAnsi="Times New Roman"/>
          <w:color w:val="auto"/>
          <w:lang w:val="en-US" w:eastAsia="zh-CN"/>
        </w:rPr>
        <w:t>对周边居民区等敏感目标影响较小，</w:t>
      </w:r>
      <w:r>
        <w:rPr>
          <w:rFonts w:ascii="Times New Roman" w:hAnsi="Times New Roman"/>
          <w:color w:val="auto"/>
        </w:rPr>
        <w:t>大气环境影响可接受，大气污染物排放方案可行。</w:t>
      </w:r>
    </w:p>
    <w:p w14:paraId="55CD1F47">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27" w:name="_Toc2755"/>
      <w:bookmarkStart w:id="428" w:name="_Toc22677"/>
      <w:bookmarkStart w:id="429" w:name="_Toc3856"/>
      <w:r>
        <w:rPr>
          <w:rFonts w:hint="eastAsia" w:ascii="Times New Roman" w:hAnsi="Times New Roman" w:eastAsia="宋体" w:cs="Times New Roman"/>
          <w:b/>
          <w:bCs/>
          <w:color w:val="auto"/>
          <w:sz w:val="28"/>
          <w:szCs w:val="28"/>
          <w:lang w:val="en-US" w:eastAsia="zh-CN"/>
        </w:rPr>
        <w:t>6.2.2 地表水环境影响预测与评价</w:t>
      </w:r>
      <w:bookmarkEnd w:id="427"/>
      <w:bookmarkEnd w:id="428"/>
      <w:bookmarkEnd w:id="429"/>
    </w:p>
    <w:p w14:paraId="272168A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根据《环境影响评价技术导则 地表水环境》(HJ2.3-2018)中“5.2评价等级确定”章节中“表1水污染影响型建设项目评价等级判定”注9、注10。本项目地表水环境评价等级为三级B。根据《环境影响评价技术导则 地表水环境》（HJ2.3-2018）规定，本项目只需进行水污染控制和水环境影响减缓措施有效性评价和依托污水处理设施的环境可行性评价。</w:t>
      </w:r>
    </w:p>
    <w:p w14:paraId="7FE7CE1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val="en-US" w:eastAsia="zh-CN"/>
        </w:rPr>
        <w:t>水污染控制和水环境影响减缓措施有效性评价</w:t>
      </w:r>
    </w:p>
    <w:p w14:paraId="4860136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本项目为</w:t>
      </w:r>
      <w:r>
        <w:rPr>
          <w:rFonts w:hint="eastAsia" w:ascii="Times New Roman" w:hAnsi="Times New Roman" w:eastAsia="宋体" w:cs="Times New Roman"/>
          <w:color w:val="auto"/>
          <w:sz w:val="24"/>
          <w:szCs w:val="24"/>
          <w:highlight w:val="none"/>
          <w:lang w:val="en-US" w:eastAsia="zh-CN"/>
        </w:rPr>
        <w:t>改</w:t>
      </w:r>
      <w:r>
        <w:rPr>
          <w:rFonts w:hint="default" w:ascii="Times New Roman" w:hAnsi="Times New Roman" w:eastAsia="宋体" w:cs="Times New Roman"/>
          <w:color w:val="auto"/>
          <w:sz w:val="24"/>
          <w:szCs w:val="24"/>
          <w:highlight w:val="none"/>
          <w:lang w:val="en-US" w:eastAsia="zh-CN"/>
        </w:rPr>
        <w:t>扩建项目，工作人员不增加，生活污水排放不增加。项目建成后，运行过程中产生的废水主要是锅炉定期排水及软化水排污水，锅炉排污水主要是热污染，且含有一定碱度和溶解性固体，废水不含有毒有害成分；软化水处理系统反冲洗排水主要含盐类及少量机械杂质，这些废水不含有毒有害成分。锅炉定期排水及软化水排污水回用于厂区冲渣、降尘，生产废水均回用不外排。</w:t>
      </w:r>
      <w:r>
        <w:rPr>
          <w:rFonts w:hint="eastAsia" w:ascii="Times New Roman" w:hAnsi="Times New Roman" w:eastAsia="宋体" w:cs="Times New Roman"/>
          <w:color w:val="auto"/>
          <w:sz w:val="24"/>
          <w:szCs w:val="24"/>
          <w:highlight w:val="none"/>
          <w:lang w:val="en-US" w:eastAsia="zh-CN"/>
        </w:rPr>
        <w:t>脱硫废水里主要含有杂质及重金属，脱硫废水经脱硫池絮凝沉淀后回用于脱硫系统，</w:t>
      </w:r>
      <w:r>
        <w:rPr>
          <w:rFonts w:hint="eastAsia" w:ascii="Times New Roman" w:hAnsi="Times New Roman" w:eastAsia="宋体" w:cs="Times New Roman"/>
          <w:color w:val="FF0000"/>
          <w:sz w:val="24"/>
          <w:szCs w:val="24"/>
          <w:highlight w:val="none"/>
          <w:lang w:val="en-US" w:eastAsia="zh-CN"/>
        </w:rPr>
        <w:t>处理设施出口执行《污水综合排放标准》(GB8978-1996)表1重金属管控要求。</w:t>
      </w:r>
      <w:r>
        <w:rPr>
          <w:rFonts w:hint="eastAsia" w:ascii="Times New Roman" w:hAnsi="Times New Roman" w:eastAsia="宋体" w:cs="Times New Roman"/>
          <w:color w:val="auto"/>
          <w:sz w:val="24"/>
          <w:szCs w:val="24"/>
          <w:highlight w:val="none"/>
          <w:lang w:val="en-US" w:eastAsia="zh-CN"/>
        </w:rPr>
        <w:t>依托现有脱硫池，不外排。</w:t>
      </w:r>
    </w:p>
    <w:p w14:paraId="40C90B6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2、依托污水处理设施的环境可行性评价</w:t>
      </w:r>
    </w:p>
    <w:p w14:paraId="674C7B2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八五二污水处理厂已于2012年8月取得环评批复，批复文号：黑垦环审[2012]83号。并于2016年进行验收，验收批复：黑垦环验[2016]44号。八五二污水处理厂位于八五二农场场部东北侧，污水处理厂占地8000m</w:t>
      </w:r>
      <w:r>
        <w:rPr>
          <w:rFonts w:hint="eastAsia" w:ascii="Times New Roman" w:hAnsi="Times New Roman" w:eastAsia="宋体" w:cs="Times New Roman"/>
          <w:color w:val="auto"/>
          <w:sz w:val="24"/>
          <w:szCs w:val="24"/>
          <w:highlight w:val="none"/>
          <w:vertAlign w:val="superscript"/>
          <w:lang w:val="en-US" w:eastAsia="zh-CN"/>
        </w:rPr>
        <w:t>2</w:t>
      </w:r>
      <w:r>
        <w:rPr>
          <w:rFonts w:hint="eastAsia" w:ascii="Times New Roman" w:hAnsi="Times New Roman" w:eastAsia="宋体" w:cs="Times New Roman"/>
          <w:color w:val="auto"/>
          <w:sz w:val="24"/>
          <w:szCs w:val="24"/>
          <w:highlight w:val="none"/>
          <w:lang w:val="en-US" w:eastAsia="zh-CN"/>
        </w:rPr>
        <w:t>，采用CASS处理工艺，设计处理能力为2500m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/d，实际处理水量约为1500m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/d。出水水质执行《城镇污水处理厂污染物排放标准》（GB18918-2002）一级A标准。本项目属于八五二污水处理厂的服务范围，本项目不新增生活污水，且现有生活污水日排放量仅为1.6m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，远小于污水处理厂日处理规模，因此本项目污水进入八五二污水处理厂可行。</w:t>
      </w:r>
    </w:p>
    <w:p w14:paraId="1B79622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3、地表水环境影响评价结论</w:t>
      </w:r>
    </w:p>
    <w:p w14:paraId="07D980C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本项目不新增工作人员，不新增生活污水。锅炉用水来自市政管网自来水，生产废水全部回用于厂区降尘和冲渣，不外排。综上，本项目废水能够得到了妥善处理，对地表水环境影响较小。</w:t>
      </w:r>
    </w:p>
    <w:p w14:paraId="177718C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30" w:name="_Toc7238"/>
      <w:bookmarkStart w:id="431" w:name="_Toc22828"/>
      <w:bookmarkStart w:id="432" w:name="_Toc312"/>
      <w:r>
        <w:rPr>
          <w:rFonts w:hint="eastAsia" w:ascii="Times New Roman" w:hAnsi="Times New Roman" w:eastAsia="宋体" w:cs="Times New Roman"/>
          <w:b/>
          <w:bCs/>
          <w:color w:val="auto"/>
          <w:sz w:val="28"/>
          <w:szCs w:val="28"/>
          <w:lang w:val="en-US" w:eastAsia="zh-CN"/>
        </w:rPr>
        <w:t>6.2.3 声环境影响预测与评价</w:t>
      </w:r>
      <w:bookmarkEnd w:id="430"/>
      <w:bookmarkEnd w:id="431"/>
      <w:bookmarkEnd w:id="432"/>
    </w:p>
    <w:p w14:paraId="4EAC496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昼间等效连续A声级Ld、夜间等效连续A声级Ln。</w:t>
      </w:r>
    </w:p>
    <w:p w14:paraId="1890A92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（1）预测范围</w:t>
      </w:r>
    </w:p>
    <w:p w14:paraId="2821026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声环境影响预测范围与评价范围相同。</w:t>
      </w:r>
    </w:p>
    <w:p w14:paraId="32E7701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（2）预测点和评价点</w:t>
      </w:r>
    </w:p>
    <w:p w14:paraId="6A9F561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ascii="Times New Roman" w:hAnsi="Times New Roman" w:eastAsia="宋体" w:cs="Times New Roman"/>
          <w:color w:val="auto"/>
        </w:rPr>
        <w:t>本项目预测点和评价点为项目四周厂界和声环境评价范围内的声环境保护目标。</w:t>
      </w:r>
    </w:p>
    <w:p w14:paraId="5F405006">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（3）预测参数</w:t>
      </w:r>
    </w:p>
    <w:p w14:paraId="0385B2C5">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①噪声源强</w:t>
      </w:r>
    </w:p>
    <w:p w14:paraId="697C4495">
      <w:pPr>
        <w:keepNext w:val="0"/>
        <w:keepLines w:val="0"/>
        <w:pageBreakBefore w:val="0"/>
        <w:widowControl w:val="0"/>
        <w:kinsoku/>
        <w:wordWrap/>
        <w:overflowPunct/>
        <w:topLinePunct w:val="0"/>
        <w:autoSpaceDE/>
        <w:autoSpaceDN/>
        <w:bidi w:val="0"/>
        <w:adjustRightInd/>
        <w:snapToGrid/>
        <w:spacing w:line="500" w:lineRule="exact"/>
        <w:ind w:left="0" w:leftChars="0" w:firstLine="472" w:firstLineChars="200"/>
        <w:textAlignment w:val="auto"/>
        <w:rPr>
          <w:rFonts w:hint="eastAsia" w:ascii="Times New Roman" w:hAnsi="Times New Roman" w:eastAsia="宋体" w:cs="Times New Roman"/>
          <w:color w:val="auto"/>
          <w:spacing w:val="-2"/>
          <w:szCs w:val="24"/>
          <w:lang w:eastAsia="zh-CN"/>
        </w:rPr>
      </w:pPr>
      <w:r>
        <w:rPr>
          <w:rFonts w:hint="eastAsia" w:ascii="Times New Roman" w:hAnsi="Times New Roman" w:eastAsia="宋体" w:cs="Times New Roman"/>
          <w:color w:val="auto"/>
          <w:spacing w:val="-2"/>
          <w:szCs w:val="24"/>
          <w:lang w:eastAsia="zh-CN"/>
        </w:rPr>
        <w:t>本项目运营期噪声源强见表6.2-4</w:t>
      </w:r>
      <w:r>
        <w:rPr>
          <w:rFonts w:hint="eastAsia" w:ascii="Times New Roman" w:hAnsi="Times New Roman" w:eastAsia="宋体" w:cs="Times New Roman"/>
          <w:color w:val="auto"/>
          <w:spacing w:val="-2"/>
          <w:szCs w:val="24"/>
          <w:lang w:val="en-US" w:eastAsia="zh-CN"/>
        </w:rPr>
        <w:t>1</w:t>
      </w:r>
      <w:r>
        <w:rPr>
          <w:rFonts w:hint="eastAsia" w:ascii="Times New Roman" w:hAnsi="Times New Roman" w:eastAsia="宋体" w:cs="Times New Roman"/>
          <w:color w:val="auto"/>
          <w:spacing w:val="-2"/>
          <w:szCs w:val="24"/>
          <w:lang w:eastAsia="zh-CN"/>
        </w:rPr>
        <w:t>。</w:t>
      </w:r>
    </w:p>
    <w:p w14:paraId="44B52389">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4</w:t>
      </w:r>
      <w:r>
        <w:rPr>
          <w:rFonts w:hint="eastAsia" w:ascii="Times New Roman" w:hAnsi="Times New Roman" w:eastAsia="宋体" w:cs="Times New Roman"/>
          <w:b/>
          <w:bCs/>
          <w:color w:val="auto"/>
          <w:sz w:val="24"/>
          <w:szCs w:val="24"/>
          <w:lang w:val="en-US" w:eastAsia="zh-CN"/>
        </w:rPr>
        <w:t>1</w:t>
      </w:r>
      <w:r>
        <w:rPr>
          <w:rFonts w:hint="default" w:ascii="Times New Roman" w:hAnsi="Times New Roman" w:eastAsia="宋体" w:cs="Times New Roman"/>
          <w:b/>
          <w:bCs/>
          <w:color w:val="auto"/>
          <w:sz w:val="24"/>
          <w:szCs w:val="24"/>
          <w:lang w:eastAsia="zh-CN"/>
        </w:rPr>
        <w:t xml:space="preserve">  本项目运营期噪声源强调查清单</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1"/>
        <w:gridCol w:w="852"/>
        <w:gridCol w:w="811"/>
        <w:gridCol w:w="1105"/>
        <w:gridCol w:w="1950"/>
        <w:gridCol w:w="1034"/>
        <w:gridCol w:w="1105"/>
        <w:gridCol w:w="694"/>
        <w:gridCol w:w="1040"/>
        <w:gridCol w:w="833"/>
        <w:gridCol w:w="700"/>
        <w:gridCol w:w="952"/>
        <w:gridCol w:w="1361"/>
        <w:gridCol w:w="890"/>
      </w:tblGrid>
      <w:tr w14:paraId="5AC6A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restart"/>
            <w:tcBorders>
              <w:tl2br w:val="nil"/>
              <w:tr2bl w:val="nil"/>
            </w:tcBorders>
            <w:vAlign w:val="center"/>
          </w:tcPr>
          <w:p w14:paraId="298CDEE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建筑物名称</w:t>
            </w:r>
          </w:p>
        </w:tc>
        <w:tc>
          <w:tcPr>
            <w:tcW w:w="303" w:type="pct"/>
            <w:vMerge w:val="restart"/>
            <w:tcBorders>
              <w:tl2br w:val="nil"/>
              <w:tr2bl w:val="nil"/>
            </w:tcBorders>
            <w:vAlign w:val="center"/>
          </w:tcPr>
          <w:p w14:paraId="44BD27F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声源名称</w:t>
            </w:r>
          </w:p>
        </w:tc>
        <w:tc>
          <w:tcPr>
            <w:tcW w:w="261" w:type="pct"/>
            <w:vMerge w:val="restart"/>
            <w:tcBorders>
              <w:tl2br w:val="nil"/>
              <w:tr2bl w:val="nil"/>
            </w:tcBorders>
            <w:vAlign w:val="center"/>
          </w:tcPr>
          <w:p w14:paraId="368D89E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声源源强-声功率级/dB(A)</w:t>
            </w:r>
          </w:p>
        </w:tc>
        <w:tc>
          <w:tcPr>
            <w:tcW w:w="392" w:type="pct"/>
            <w:vMerge w:val="restart"/>
            <w:tcBorders>
              <w:tl2br w:val="nil"/>
              <w:tr2bl w:val="nil"/>
            </w:tcBorders>
            <w:vAlign w:val="center"/>
          </w:tcPr>
          <w:p w14:paraId="3C2D8F1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声源种类</w:t>
            </w:r>
          </w:p>
        </w:tc>
        <w:tc>
          <w:tcPr>
            <w:tcW w:w="690" w:type="pct"/>
            <w:vMerge w:val="restart"/>
            <w:tcBorders>
              <w:tl2br w:val="nil"/>
              <w:tr2bl w:val="nil"/>
            </w:tcBorders>
            <w:vAlign w:val="center"/>
          </w:tcPr>
          <w:p w14:paraId="1888F0D0">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声源控制措施</w:t>
            </w:r>
          </w:p>
        </w:tc>
        <w:tc>
          <w:tcPr>
            <w:tcW w:w="1006" w:type="pct"/>
            <w:gridSpan w:val="3"/>
            <w:tcBorders>
              <w:tl2br w:val="nil"/>
              <w:tr2bl w:val="nil"/>
            </w:tcBorders>
            <w:vAlign w:val="center"/>
          </w:tcPr>
          <w:p w14:paraId="5400A5F0">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空间相对位置/m</w:t>
            </w:r>
          </w:p>
        </w:tc>
        <w:tc>
          <w:tcPr>
            <w:tcW w:w="369" w:type="pct"/>
            <w:vMerge w:val="restart"/>
            <w:tcBorders>
              <w:tl2br w:val="nil"/>
              <w:tr2bl w:val="nil"/>
            </w:tcBorders>
            <w:vAlign w:val="center"/>
          </w:tcPr>
          <w:p w14:paraId="2A44345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距室内边界距离/m</w:t>
            </w:r>
          </w:p>
        </w:tc>
        <w:tc>
          <w:tcPr>
            <w:tcW w:w="296" w:type="pct"/>
            <w:vMerge w:val="restart"/>
            <w:tcBorders>
              <w:tl2br w:val="nil"/>
              <w:tr2bl w:val="nil"/>
            </w:tcBorders>
            <w:vAlign w:val="center"/>
          </w:tcPr>
          <w:p w14:paraId="2C25BB5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室内边界声级/dB(A)</w:t>
            </w:r>
          </w:p>
        </w:tc>
        <w:tc>
          <w:tcPr>
            <w:tcW w:w="249" w:type="pct"/>
            <w:vMerge w:val="restart"/>
            <w:tcBorders>
              <w:tl2br w:val="nil"/>
              <w:tr2bl w:val="nil"/>
            </w:tcBorders>
            <w:vAlign w:val="center"/>
          </w:tcPr>
          <w:p w14:paraId="56E53E7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运行</w:t>
            </w:r>
          </w:p>
          <w:p w14:paraId="2939515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时段</w:t>
            </w:r>
          </w:p>
        </w:tc>
        <w:tc>
          <w:tcPr>
            <w:tcW w:w="332" w:type="pct"/>
            <w:vMerge w:val="restart"/>
            <w:tcBorders>
              <w:tl2br w:val="nil"/>
              <w:tr2bl w:val="nil"/>
            </w:tcBorders>
            <w:vAlign w:val="center"/>
          </w:tcPr>
          <w:p w14:paraId="62DEA69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建筑物插入损失/[dB(A)]</w:t>
            </w:r>
          </w:p>
        </w:tc>
        <w:tc>
          <w:tcPr>
            <w:tcW w:w="798" w:type="pct"/>
            <w:gridSpan w:val="2"/>
            <w:tcBorders>
              <w:tl2br w:val="nil"/>
              <w:tr2bl w:val="nil"/>
            </w:tcBorders>
            <w:vAlign w:val="center"/>
          </w:tcPr>
          <w:p w14:paraId="3A8CB3D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建筑外噪声</w:t>
            </w:r>
          </w:p>
        </w:tc>
      </w:tr>
      <w:tr w14:paraId="77413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50F14A8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vMerge w:val="continue"/>
            <w:tcBorders>
              <w:tl2br w:val="nil"/>
              <w:tr2bl w:val="nil"/>
            </w:tcBorders>
            <w:vAlign w:val="center"/>
          </w:tcPr>
          <w:p w14:paraId="30AD810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261" w:type="pct"/>
            <w:vMerge w:val="continue"/>
            <w:tcBorders>
              <w:tl2br w:val="nil"/>
              <w:tr2bl w:val="nil"/>
            </w:tcBorders>
            <w:vAlign w:val="center"/>
          </w:tcPr>
          <w:p w14:paraId="7E71143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92" w:type="pct"/>
            <w:vMerge w:val="continue"/>
            <w:tcBorders>
              <w:tl2br w:val="nil"/>
              <w:tr2bl w:val="nil"/>
            </w:tcBorders>
            <w:vAlign w:val="center"/>
          </w:tcPr>
          <w:p w14:paraId="10D6A2D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690" w:type="pct"/>
            <w:vMerge w:val="continue"/>
            <w:tcBorders>
              <w:tl2br w:val="nil"/>
              <w:tr2bl w:val="nil"/>
            </w:tcBorders>
            <w:vAlign w:val="center"/>
          </w:tcPr>
          <w:p w14:paraId="4DD39900">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67" w:type="pct"/>
            <w:tcBorders>
              <w:tl2br w:val="nil"/>
              <w:tr2bl w:val="nil"/>
            </w:tcBorders>
            <w:vAlign w:val="center"/>
          </w:tcPr>
          <w:p w14:paraId="4478200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X</w:t>
            </w:r>
          </w:p>
        </w:tc>
        <w:tc>
          <w:tcPr>
            <w:tcW w:w="392" w:type="pct"/>
            <w:tcBorders>
              <w:tl2br w:val="nil"/>
              <w:tr2bl w:val="nil"/>
            </w:tcBorders>
            <w:vAlign w:val="center"/>
          </w:tcPr>
          <w:p w14:paraId="66E40ED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Y</w:t>
            </w:r>
          </w:p>
        </w:tc>
        <w:tc>
          <w:tcPr>
            <w:tcW w:w="246" w:type="pct"/>
            <w:tcBorders>
              <w:tl2br w:val="nil"/>
              <w:tr2bl w:val="nil"/>
            </w:tcBorders>
            <w:vAlign w:val="center"/>
          </w:tcPr>
          <w:p w14:paraId="007C6F6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Z</w:t>
            </w:r>
          </w:p>
        </w:tc>
        <w:tc>
          <w:tcPr>
            <w:tcW w:w="369" w:type="pct"/>
            <w:vMerge w:val="continue"/>
            <w:tcBorders>
              <w:tl2br w:val="nil"/>
              <w:tr2bl w:val="nil"/>
            </w:tcBorders>
            <w:vAlign w:val="center"/>
          </w:tcPr>
          <w:p w14:paraId="7DB1E36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296" w:type="pct"/>
            <w:vMerge w:val="continue"/>
            <w:tcBorders>
              <w:tl2br w:val="nil"/>
              <w:tr2bl w:val="nil"/>
            </w:tcBorders>
            <w:vAlign w:val="center"/>
          </w:tcPr>
          <w:p w14:paraId="428DB86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249" w:type="pct"/>
            <w:vMerge w:val="continue"/>
            <w:tcBorders>
              <w:tl2br w:val="nil"/>
              <w:tr2bl w:val="nil"/>
            </w:tcBorders>
            <w:vAlign w:val="center"/>
          </w:tcPr>
          <w:p w14:paraId="10F6AC8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32" w:type="pct"/>
            <w:vMerge w:val="continue"/>
            <w:tcBorders>
              <w:tl2br w:val="nil"/>
              <w:tr2bl w:val="nil"/>
            </w:tcBorders>
            <w:vAlign w:val="center"/>
          </w:tcPr>
          <w:p w14:paraId="3DD7CC5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482" w:type="pct"/>
            <w:tcBorders>
              <w:tl2br w:val="nil"/>
              <w:tr2bl w:val="nil"/>
            </w:tcBorders>
            <w:vAlign w:val="center"/>
          </w:tcPr>
          <w:p w14:paraId="29FFAB3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声压级//dB(A)</w:t>
            </w:r>
          </w:p>
        </w:tc>
        <w:tc>
          <w:tcPr>
            <w:tcW w:w="316" w:type="pct"/>
            <w:tcBorders>
              <w:tl2br w:val="nil"/>
              <w:tr2bl w:val="nil"/>
            </w:tcBorders>
            <w:vAlign w:val="center"/>
          </w:tcPr>
          <w:p w14:paraId="49E9BDA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建筑物外距离</w:t>
            </w:r>
          </w:p>
        </w:tc>
      </w:tr>
      <w:tr w14:paraId="0AD58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restart"/>
            <w:tcBorders>
              <w:tl2br w:val="nil"/>
              <w:tr2bl w:val="nil"/>
            </w:tcBorders>
            <w:vAlign w:val="center"/>
          </w:tcPr>
          <w:p w14:paraId="793EBD8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锅炉间</w:t>
            </w:r>
          </w:p>
        </w:tc>
        <w:tc>
          <w:tcPr>
            <w:tcW w:w="303" w:type="pct"/>
            <w:vMerge w:val="restart"/>
            <w:tcBorders>
              <w:tl2br w:val="nil"/>
              <w:tr2bl w:val="nil"/>
            </w:tcBorders>
            <w:vAlign w:val="center"/>
          </w:tcPr>
          <w:p w14:paraId="54530D7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送</w:t>
            </w:r>
            <w:r>
              <w:rPr>
                <w:rFonts w:hAnsi="Times New Roman"/>
                <w:color w:val="auto"/>
                <w:szCs w:val="21"/>
              </w:rPr>
              <w:t>风机</w:t>
            </w:r>
          </w:p>
        </w:tc>
        <w:tc>
          <w:tcPr>
            <w:tcW w:w="261" w:type="pct"/>
            <w:vMerge w:val="restart"/>
            <w:tcBorders>
              <w:tl2br w:val="nil"/>
              <w:tr2bl w:val="nil"/>
            </w:tcBorders>
            <w:vAlign w:val="center"/>
          </w:tcPr>
          <w:p w14:paraId="6EB677F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75</w:t>
            </w:r>
          </w:p>
        </w:tc>
        <w:tc>
          <w:tcPr>
            <w:tcW w:w="392" w:type="pct"/>
            <w:vMerge w:val="restart"/>
            <w:tcBorders>
              <w:tl2br w:val="nil"/>
              <w:tr2bl w:val="nil"/>
            </w:tcBorders>
            <w:vAlign w:val="center"/>
          </w:tcPr>
          <w:p w14:paraId="13A477F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color w:val="auto"/>
                <w:kern w:val="0"/>
                <w:sz w:val="21"/>
                <w:szCs w:val="21"/>
              </w:rPr>
              <w:t>固定点源</w:t>
            </w:r>
          </w:p>
        </w:tc>
        <w:tc>
          <w:tcPr>
            <w:tcW w:w="690" w:type="pct"/>
            <w:vMerge w:val="restart"/>
            <w:tcBorders>
              <w:tl2br w:val="nil"/>
              <w:tr2bl w:val="nil"/>
            </w:tcBorders>
            <w:vAlign w:val="center"/>
          </w:tcPr>
          <w:p w14:paraId="470BB3EE">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bCs/>
                <w:color w:val="auto"/>
                <w:szCs w:val="21"/>
              </w:rPr>
              <w:t>进风口消声器、管道外壳阻尼</w:t>
            </w:r>
          </w:p>
        </w:tc>
        <w:tc>
          <w:tcPr>
            <w:tcW w:w="367" w:type="pct"/>
            <w:tcBorders>
              <w:tl2br w:val="nil"/>
              <w:tr2bl w:val="nil"/>
            </w:tcBorders>
            <w:vAlign w:val="center"/>
          </w:tcPr>
          <w:p w14:paraId="01982C6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160.25</w:t>
            </w:r>
          </w:p>
        </w:tc>
        <w:tc>
          <w:tcPr>
            <w:tcW w:w="392" w:type="pct"/>
            <w:tcBorders>
              <w:tl2br w:val="nil"/>
              <w:tr2bl w:val="nil"/>
            </w:tcBorders>
            <w:vAlign w:val="center"/>
          </w:tcPr>
          <w:p w14:paraId="0FB5916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159.96</w:t>
            </w:r>
          </w:p>
        </w:tc>
        <w:tc>
          <w:tcPr>
            <w:tcW w:w="246" w:type="pct"/>
            <w:tcBorders>
              <w:tl2br w:val="nil"/>
              <w:tr2bl w:val="nil"/>
            </w:tcBorders>
            <w:vAlign w:val="center"/>
          </w:tcPr>
          <w:p w14:paraId="5BD1E9E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4A903BC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4</w:t>
            </w:r>
          </w:p>
        </w:tc>
        <w:tc>
          <w:tcPr>
            <w:tcW w:w="296" w:type="pct"/>
            <w:tcBorders>
              <w:tl2br w:val="nil"/>
              <w:tr2bl w:val="nil"/>
            </w:tcBorders>
            <w:vAlign w:val="center"/>
          </w:tcPr>
          <w:p w14:paraId="1D2E952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63 </w:t>
            </w:r>
          </w:p>
        </w:tc>
        <w:tc>
          <w:tcPr>
            <w:tcW w:w="249" w:type="pct"/>
            <w:tcBorders>
              <w:tl2br w:val="nil"/>
              <w:tr2bl w:val="nil"/>
            </w:tcBorders>
            <w:vAlign w:val="center"/>
          </w:tcPr>
          <w:p w14:paraId="336C272E">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0ACBCA83">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38AAC78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43 </w:t>
            </w:r>
          </w:p>
        </w:tc>
        <w:tc>
          <w:tcPr>
            <w:tcW w:w="316" w:type="pct"/>
            <w:vMerge w:val="restart"/>
            <w:tcBorders>
              <w:tl2br w:val="nil"/>
              <w:tr2bl w:val="nil"/>
            </w:tcBorders>
            <w:vAlign w:val="center"/>
          </w:tcPr>
          <w:p w14:paraId="02D5ACC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1m</w:t>
            </w:r>
          </w:p>
        </w:tc>
      </w:tr>
      <w:tr w14:paraId="729C1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69BFA99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vMerge w:val="continue"/>
            <w:tcBorders>
              <w:tl2br w:val="nil"/>
              <w:tr2bl w:val="nil"/>
            </w:tcBorders>
            <w:vAlign w:val="center"/>
          </w:tcPr>
          <w:p w14:paraId="60D56C0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261" w:type="pct"/>
            <w:vMerge w:val="continue"/>
            <w:tcBorders>
              <w:tl2br w:val="nil"/>
              <w:tr2bl w:val="nil"/>
            </w:tcBorders>
            <w:vAlign w:val="center"/>
          </w:tcPr>
          <w:p w14:paraId="3859FA6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92" w:type="pct"/>
            <w:vMerge w:val="continue"/>
            <w:tcBorders>
              <w:tl2br w:val="nil"/>
              <w:tr2bl w:val="nil"/>
            </w:tcBorders>
            <w:vAlign w:val="center"/>
          </w:tcPr>
          <w:p w14:paraId="7D88DBA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p>
        </w:tc>
        <w:tc>
          <w:tcPr>
            <w:tcW w:w="690" w:type="pct"/>
            <w:vMerge w:val="continue"/>
            <w:tcBorders>
              <w:tl2br w:val="nil"/>
              <w:tr2bl w:val="nil"/>
            </w:tcBorders>
            <w:vAlign w:val="center"/>
          </w:tcPr>
          <w:p w14:paraId="1C307F3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p>
        </w:tc>
        <w:tc>
          <w:tcPr>
            <w:tcW w:w="367" w:type="pct"/>
            <w:tcBorders>
              <w:tl2br w:val="nil"/>
              <w:tr2bl w:val="nil"/>
            </w:tcBorders>
            <w:vAlign w:val="center"/>
          </w:tcPr>
          <w:p w14:paraId="619E5CB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150.12</w:t>
            </w:r>
          </w:p>
        </w:tc>
        <w:tc>
          <w:tcPr>
            <w:tcW w:w="392" w:type="pct"/>
            <w:tcBorders>
              <w:tl2br w:val="nil"/>
              <w:tr2bl w:val="nil"/>
            </w:tcBorders>
            <w:vAlign w:val="center"/>
          </w:tcPr>
          <w:p w14:paraId="3BE8816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147.16</w:t>
            </w:r>
          </w:p>
        </w:tc>
        <w:tc>
          <w:tcPr>
            <w:tcW w:w="246" w:type="pct"/>
            <w:tcBorders>
              <w:tl2br w:val="nil"/>
              <w:tr2bl w:val="nil"/>
            </w:tcBorders>
            <w:vAlign w:val="center"/>
          </w:tcPr>
          <w:p w14:paraId="17DFC00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2B197E0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3</w:t>
            </w:r>
          </w:p>
        </w:tc>
        <w:tc>
          <w:tcPr>
            <w:tcW w:w="296" w:type="pct"/>
            <w:tcBorders>
              <w:tl2br w:val="nil"/>
              <w:tr2bl w:val="nil"/>
            </w:tcBorders>
            <w:vAlign w:val="center"/>
          </w:tcPr>
          <w:p w14:paraId="6855B19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65 </w:t>
            </w:r>
          </w:p>
        </w:tc>
        <w:tc>
          <w:tcPr>
            <w:tcW w:w="249" w:type="pct"/>
            <w:tcBorders>
              <w:tl2br w:val="nil"/>
              <w:tr2bl w:val="nil"/>
            </w:tcBorders>
            <w:vAlign w:val="center"/>
          </w:tcPr>
          <w:p w14:paraId="093B732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16BFC93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2649C34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45 </w:t>
            </w:r>
          </w:p>
        </w:tc>
        <w:tc>
          <w:tcPr>
            <w:tcW w:w="316" w:type="pct"/>
            <w:vMerge w:val="continue"/>
            <w:tcBorders>
              <w:tl2br w:val="nil"/>
              <w:tr2bl w:val="nil"/>
            </w:tcBorders>
            <w:vAlign w:val="center"/>
          </w:tcPr>
          <w:p w14:paraId="7FB0DBE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p>
        </w:tc>
      </w:tr>
      <w:tr w14:paraId="2B6EE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107EA66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tcBorders>
              <w:tl2br w:val="nil"/>
              <w:tr2bl w:val="nil"/>
            </w:tcBorders>
            <w:vAlign w:val="center"/>
          </w:tcPr>
          <w:p w14:paraId="42C89800">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锅炉给水泵</w:t>
            </w:r>
          </w:p>
        </w:tc>
        <w:tc>
          <w:tcPr>
            <w:tcW w:w="261" w:type="pct"/>
            <w:tcBorders>
              <w:tl2br w:val="nil"/>
              <w:tr2bl w:val="nil"/>
            </w:tcBorders>
            <w:vAlign w:val="center"/>
          </w:tcPr>
          <w:p w14:paraId="7BEE4A8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hAnsi="Times New Roman" w:eastAsia="宋体"/>
                <w:color w:val="auto"/>
                <w:szCs w:val="21"/>
                <w:lang w:val="en-US" w:eastAsia="zh-CN"/>
              </w:rPr>
            </w:pPr>
            <w:r>
              <w:rPr>
                <w:rFonts w:hint="eastAsia" w:hAnsi="Times New Roman"/>
                <w:color w:val="auto"/>
                <w:szCs w:val="21"/>
                <w:lang w:val="en-US" w:eastAsia="zh-CN"/>
              </w:rPr>
              <w:t>70</w:t>
            </w:r>
          </w:p>
        </w:tc>
        <w:tc>
          <w:tcPr>
            <w:tcW w:w="392" w:type="pct"/>
            <w:tcBorders>
              <w:tl2br w:val="nil"/>
              <w:tr2bl w:val="nil"/>
            </w:tcBorders>
            <w:vAlign w:val="center"/>
          </w:tcPr>
          <w:p w14:paraId="67B5E4E3">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2ADB4CC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ascii="Times New Roman" w:hAnsi="Times New Roman" w:eastAsia="宋体" w:cs="Times New Roman"/>
                <w:color w:val="auto"/>
                <w:szCs w:val="21"/>
                <w:lang w:val="en-US" w:eastAsia="zh-CN"/>
              </w:rPr>
              <w:t>隔声、减振</w:t>
            </w:r>
          </w:p>
        </w:tc>
        <w:tc>
          <w:tcPr>
            <w:tcW w:w="367" w:type="pct"/>
            <w:tcBorders>
              <w:tl2br w:val="nil"/>
              <w:tr2bl w:val="nil"/>
            </w:tcBorders>
            <w:vAlign w:val="center"/>
          </w:tcPr>
          <w:p w14:paraId="2C2FAAE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184.5</w:t>
            </w:r>
          </w:p>
        </w:tc>
        <w:tc>
          <w:tcPr>
            <w:tcW w:w="392" w:type="pct"/>
            <w:tcBorders>
              <w:tl2br w:val="nil"/>
              <w:tr2bl w:val="nil"/>
            </w:tcBorders>
            <w:vAlign w:val="center"/>
          </w:tcPr>
          <w:p w14:paraId="05BBFE7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170.37</w:t>
            </w:r>
          </w:p>
        </w:tc>
        <w:tc>
          <w:tcPr>
            <w:tcW w:w="246" w:type="pct"/>
            <w:tcBorders>
              <w:tl2br w:val="nil"/>
              <w:tr2bl w:val="nil"/>
            </w:tcBorders>
            <w:vAlign w:val="center"/>
          </w:tcPr>
          <w:p w14:paraId="09F3FF3E">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36FD7E90">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3</w:t>
            </w:r>
          </w:p>
        </w:tc>
        <w:tc>
          <w:tcPr>
            <w:tcW w:w="296" w:type="pct"/>
            <w:tcBorders>
              <w:tl2br w:val="nil"/>
              <w:tr2bl w:val="nil"/>
            </w:tcBorders>
            <w:vAlign w:val="center"/>
          </w:tcPr>
          <w:p w14:paraId="603AF60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60 </w:t>
            </w:r>
          </w:p>
        </w:tc>
        <w:tc>
          <w:tcPr>
            <w:tcW w:w="249" w:type="pct"/>
            <w:tcBorders>
              <w:tl2br w:val="nil"/>
              <w:tr2bl w:val="nil"/>
            </w:tcBorders>
            <w:vAlign w:val="center"/>
          </w:tcPr>
          <w:p w14:paraId="492828C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71BC3EB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6418DFF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40 </w:t>
            </w:r>
          </w:p>
        </w:tc>
        <w:tc>
          <w:tcPr>
            <w:tcW w:w="316" w:type="pct"/>
            <w:tcBorders>
              <w:tl2br w:val="nil"/>
              <w:tr2bl w:val="nil"/>
            </w:tcBorders>
            <w:vAlign w:val="center"/>
          </w:tcPr>
          <w:p w14:paraId="02EB040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1m</w:t>
            </w:r>
          </w:p>
        </w:tc>
      </w:tr>
      <w:tr w14:paraId="738A9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0E24C33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vMerge w:val="restart"/>
            <w:tcBorders>
              <w:tl2br w:val="nil"/>
              <w:tr2bl w:val="nil"/>
            </w:tcBorders>
            <w:vAlign w:val="center"/>
          </w:tcPr>
          <w:p w14:paraId="5EF99EC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lang w:val="en-US" w:eastAsia="zh-CN"/>
              </w:rPr>
              <w:t>鼓</w:t>
            </w:r>
            <w:r>
              <w:rPr>
                <w:rFonts w:hint="eastAsia" w:hAnsi="Times New Roman"/>
                <w:color w:val="auto"/>
                <w:szCs w:val="21"/>
              </w:rPr>
              <w:t>风机</w:t>
            </w:r>
          </w:p>
        </w:tc>
        <w:tc>
          <w:tcPr>
            <w:tcW w:w="261" w:type="pct"/>
            <w:vMerge w:val="restart"/>
            <w:tcBorders>
              <w:tl2br w:val="nil"/>
              <w:tr2bl w:val="nil"/>
            </w:tcBorders>
            <w:vAlign w:val="center"/>
          </w:tcPr>
          <w:p w14:paraId="7E3BD92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75</w:t>
            </w:r>
          </w:p>
        </w:tc>
        <w:tc>
          <w:tcPr>
            <w:tcW w:w="392" w:type="pct"/>
            <w:vMerge w:val="restart"/>
            <w:tcBorders>
              <w:tl2br w:val="nil"/>
              <w:tr2bl w:val="nil"/>
            </w:tcBorders>
            <w:vAlign w:val="center"/>
          </w:tcPr>
          <w:p w14:paraId="6905500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固定点源</w:t>
            </w:r>
          </w:p>
        </w:tc>
        <w:tc>
          <w:tcPr>
            <w:tcW w:w="690" w:type="pct"/>
            <w:vMerge w:val="restart"/>
            <w:tcBorders>
              <w:tl2br w:val="nil"/>
              <w:tr2bl w:val="nil"/>
            </w:tcBorders>
            <w:vAlign w:val="center"/>
          </w:tcPr>
          <w:p w14:paraId="38EE866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bCs/>
                <w:color w:val="auto"/>
                <w:szCs w:val="21"/>
              </w:rPr>
              <w:t>进风口消声器、管道外壳阻尼</w:t>
            </w:r>
          </w:p>
        </w:tc>
        <w:tc>
          <w:tcPr>
            <w:tcW w:w="367" w:type="pct"/>
            <w:tcBorders>
              <w:tl2br w:val="nil"/>
              <w:tr2bl w:val="nil"/>
            </w:tcBorders>
            <w:vAlign w:val="center"/>
          </w:tcPr>
          <w:p w14:paraId="4A70F30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192.58</w:t>
            </w:r>
          </w:p>
        </w:tc>
        <w:tc>
          <w:tcPr>
            <w:tcW w:w="392" w:type="pct"/>
            <w:tcBorders>
              <w:tl2br w:val="nil"/>
              <w:tr2bl w:val="nil"/>
            </w:tcBorders>
            <w:vAlign w:val="center"/>
          </w:tcPr>
          <w:p w14:paraId="60A400C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153.86</w:t>
            </w:r>
          </w:p>
        </w:tc>
        <w:tc>
          <w:tcPr>
            <w:tcW w:w="246" w:type="pct"/>
            <w:tcBorders>
              <w:tl2br w:val="nil"/>
              <w:tr2bl w:val="nil"/>
            </w:tcBorders>
            <w:vAlign w:val="center"/>
          </w:tcPr>
          <w:p w14:paraId="284DA6A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6C60938E">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2</w:t>
            </w:r>
          </w:p>
        </w:tc>
        <w:tc>
          <w:tcPr>
            <w:tcW w:w="296" w:type="pct"/>
            <w:tcBorders>
              <w:tl2br w:val="nil"/>
              <w:tr2bl w:val="nil"/>
            </w:tcBorders>
            <w:vAlign w:val="center"/>
          </w:tcPr>
          <w:p w14:paraId="0CF7757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69 </w:t>
            </w:r>
          </w:p>
        </w:tc>
        <w:tc>
          <w:tcPr>
            <w:tcW w:w="249" w:type="pct"/>
            <w:tcBorders>
              <w:tl2br w:val="nil"/>
              <w:tr2bl w:val="nil"/>
            </w:tcBorders>
            <w:vAlign w:val="center"/>
          </w:tcPr>
          <w:p w14:paraId="05ED863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5454012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14C7B09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49 </w:t>
            </w:r>
          </w:p>
        </w:tc>
        <w:tc>
          <w:tcPr>
            <w:tcW w:w="316" w:type="pct"/>
            <w:vMerge w:val="restart"/>
            <w:tcBorders>
              <w:tl2br w:val="nil"/>
              <w:tr2bl w:val="nil"/>
            </w:tcBorders>
            <w:vAlign w:val="center"/>
          </w:tcPr>
          <w:p w14:paraId="70B7BA3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1m</w:t>
            </w:r>
          </w:p>
        </w:tc>
      </w:tr>
      <w:tr w14:paraId="7E0A2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2AE72A0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vMerge w:val="continue"/>
            <w:tcBorders>
              <w:tl2br w:val="nil"/>
              <w:tr2bl w:val="nil"/>
            </w:tcBorders>
            <w:vAlign w:val="center"/>
          </w:tcPr>
          <w:p w14:paraId="6D4EFEE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261" w:type="pct"/>
            <w:vMerge w:val="continue"/>
            <w:tcBorders>
              <w:tl2br w:val="nil"/>
              <w:tr2bl w:val="nil"/>
            </w:tcBorders>
            <w:vAlign w:val="center"/>
          </w:tcPr>
          <w:p w14:paraId="3045517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92" w:type="pct"/>
            <w:vMerge w:val="continue"/>
            <w:tcBorders>
              <w:tl2br w:val="nil"/>
              <w:tr2bl w:val="nil"/>
            </w:tcBorders>
            <w:vAlign w:val="center"/>
          </w:tcPr>
          <w:p w14:paraId="53C44300">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kern w:val="0"/>
                <w:szCs w:val="21"/>
              </w:rPr>
            </w:pPr>
          </w:p>
        </w:tc>
        <w:tc>
          <w:tcPr>
            <w:tcW w:w="690" w:type="pct"/>
            <w:vMerge w:val="continue"/>
            <w:tcBorders>
              <w:tl2br w:val="nil"/>
              <w:tr2bl w:val="nil"/>
            </w:tcBorders>
            <w:vAlign w:val="center"/>
          </w:tcPr>
          <w:p w14:paraId="6AD0491E">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67" w:type="pct"/>
            <w:tcBorders>
              <w:tl2br w:val="nil"/>
              <w:tr2bl w:val="nil"/>
            </w:tcBorders>
            <w:vAlign w:val="center"/>
          </w:tcPr>
          <w:p w14:paraId="364BE43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167.48</w:t>
            </w:r>
          </w:p>
        </w:tc>
        <w:tc>
          <w:tcPr>
            <w:tcW w:w="392" w:type="pct"/>
            <w:tcBorders>
              <w:tl2br w:val="nil"/>
              <w:tr2bl w:val="nil"/>
            </w:tcBorders>
            <w:vAlign w:val="center"/>
          </w:tcPr>
          <w:p w14:paraId="27948FA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151.28</w:t>
            </w:r>
          </w:p>
        </w:tc>
        <w:tc>
          <w:tcPr>
            <w:tcW w:w="246" w:type="pct"/>
            <w:tcBorders>
              <w:tl2br w:val="nil"/>
              <w:tr2bl w:val="nil"/>
            </w:tcBorders>
            <w:vAlign w:val="center"/>
          </w:tcPr>
          <w:p w14:paraId="19EBF12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7CBCDC5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hAnsi="Times New Roman" w:eastAsia="宋体"/>
                <w:bCs/>
                <w:color w:val="auto"/>
                <w:szCs w:val="21"/>
                <w:lang w:val="en-US" w:eastAsia="zh-CN"/>
              </w:rPr>
            </w:pPr>
            <w:r>
              <w:rPr>
                <w:rFonts w:hint="eastAsia" w:hAnsi="Times New Roman"/>
                <w:bCs/>
                <w:color w:val="auto"/>
                <w:szCs w:val="21"/>
                <w:lang w:val="en-US" w:eastAsia="zh-CN"/>
              </w:rPr>
              <w:t>2</w:t>
            </w:r>
          </w:p>
        </w:tc>
        <w:tc>
          <w:tcPr>
            <w:tcW w:w="296" w:type="pct"/>
            <w:tcBorders>
              <w:tl2br w:val="nil"/>
              <w:tr2bl w:val="nil"/>
            </w:tcBorders>
            <w:vAlign w:val="center"/>
          </w:tcPr>
          <w:p w14:paraId="1551205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69 </w:t>
            </w:r>
          </w:p>
        </w:tc>
        <w:tc>
          <w:tcPr>
            <w:tcW w:w="249" w:type="pct"/>
            <w:tcBorders>
              <w:tl2br w:val="nil"/>
              <w:tr2bl w:val="nil"/>
            </w:tcBorders>
            <w:vAlign w:val="center"/>
          </w:tcPr>
          <w:p w14:paraId="2D1E012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5BC8F7F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0940052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49 </w:t>
            </w:r>
          </w:p>
        </w:tc>
        <w:tc>
          <w:tcPr>
            <w:tcW w:w="316" w:type="pct"/>
            <w:vMerge w:val="continue"/>
            <w:tcBorders>
              <w:tl2br w:val="nil"/>
              <w:tr2bl w:val="nil"/>
            </w:tcBorders>
            <w:vAlign w:val="center"/>
          </w:tcPr>
          <w:p w14:paraId="4C331B9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p>
        </w:tc>
      </w:tr>
      <w:tr w14:paraId="2A7D3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02E2ACC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tcBorders>
              <w:tl2br w:val="nil"/>
              <w:tr2bl w:val="nil"/>
            </w:tcBorders>
            <w:vAlign w:val="center"/>
          </w:tcPr>
          <w:p w14:paraId="3B9A84A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引风机</w:t>
            </w:r>
          </w:p>
        </w:tc>
        <w:tc>
          <w:tcPr>
            <w:tcW w:w="261" w:type="pct"/>
            <w:tcBorders>
              <w:tl2br w:val="nil"/>
              <w:tr2bl w:val="nil"/>
            </w:tcBorders>
            <w:vAlign w:val="center"/>
          </w:tcPr>
          <w:p w14:paraId="1422C44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80</w:t>
            </w:r>
          </w:p>
        </w:tc>
        <w:tc>
          <w:tcPr>
            <w:tcW w:w="392" w:type="pct"/>
            <w:tcBorders>
              <w:tl2br w:val="nil"/>
              <w:tr2bl w:val="nil"/>
            </w:tcBorders>
            <w:vAlign w:val="center"/>
          </w:tcPr>
          <w:p w14:paraId="1DDB7E6A">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368C8F3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bCs/>
                <w:color w:val="auto"/>
                <w:szCs w:val="21"/>
              </w:rPr>
              <w:t>进风口消声器、管道外壳阻尼</w:t>
            </w:r>
          </w:p>
        </w:tc>
        <w:tc>
          <w:tcPr>
            <w:tcW w:w="367" w:type="pct"/>
            <w:tcBorders>
              <w:tl2br w:val="nil"/>
              <w:tr2bl w:val="nil"/>
            </w:tcBorders>
            <w:vAlign w:val="center"/>
          </w:tcPr>
          <w:p w14:paraId="5BF9F52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152.53</w:t>
            </w:r>
          </w:p>
        </w:tc>
        <w:tc>
          <w:tcPr>
            <w:tcW w:w="392" w:type="pct"/>
            <w:tcBorders>
              <w:tl2br w:val="nil"/>
              <w:tr2bl w:val="nil"/>
            </w:tcBorders>
            <w:vAlign w:val="center"/>
          </w:tcPr>
          <w:p w14:paraId="4B42E39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142.35</w:t>
            </w:r>
          </w:p>
        </w:tc>
        <w:tc>
          <w:tcPr>
            <w:tcW w:w="246" w:type="pct"/>
            <w:tcBorders>
              <w:tl2br w:val="nil"/>
              <w:tr2bl w:val="nil"/>
            </w:tcBorders>
            <w:vAlign w:val="center"/>
          </w:tcPr>
          <w:p w14:paraId="6E57CE2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3076F6B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2</w:t>
            </w:r>
          </w:p>
        </w:tc>
        <w:tc>
          <w:tcPr>
            <w:tcW w:w="296" w:type="pct"/>
            <w:tcBorders>
              <w:tl2br w:val="nil"/>
              <w:tr2bl w:val="nil"/>
            </w:tcBorders>
            <w:vAlign w:val="center"/>
          </w:tcPr>
          <w:p w14:paraId="61B5F2C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74 </w:t>
            </w:r>
          </w:p>
        </w:tc>
        <w:tc>
          <w:tcPr>
            <w:tcW w:w="249" w:type="pct"/>
            <w:tcBorders>
              <w:tl2br w:val="nil"/>
              <w:tr2bl w:val="nil"/>
            </w:tcBorders>
            <w:vAlign w:val="center"/>
          </w:tcPr>
          <w:p w14:paraId="6CA3B62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7564CC5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50CF9A8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54 </w:t>
            </w:r>
          </w:p>
        </w:tc>
        <w:tc>
          <w:tcPr>
            <w:tcW w:w="316" w:type="pct"/>
            <w:tcBorders>
              <w:tl2br w:val="nil"/>
              <w:tr2bl w:val="nil"/>
            </w:tcBorders>
            <w:vAlign w:val="center"/>
          </w:tcPr>
          <w:p w14:paraId="0099DEC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1m</w:t>
            </w:r>
          </w:p>
        </w:tc>
      </w:tr>
      <w:tr w14:paraId="0352E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00264B3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tcBorders>
              <w:tl2br w:val="nil"/>
              <w:tr2bl w:val="nil"/>
            </w:tcBorders>
            <w:vAlign w:val="center"/>
          </w:tcPr>
          <w:p w14:paraId="0080C43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除渣机</w:t>
            </w:r>
          </w:p>
        </w:tc>
        <w:tc>
          <w:tcPr>
            <w:tcW w:w="261" w:type="pct"/>
            <w:tcBorders>
              <w:tl2br w:val="nil"/>
              <w:tr2bl w:val="nil"/>
            </w:tcBorders>
            <w:vAlign w:val="center"/>
          </w:tcPr>
          <w:p w14:paraId="4D3F1A1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80</w:t>
            </w:r>
          </w:p>
        </w:tc>
        <w:tc>
          <w:tcPr>
            <w:tcW w:w="392" w:type="pct"/>
            <w:tcBorders>
              <w:tl2br w:val="nil"/>
              <w:tr2bl w:val="nil"/>
            </w:tcBorders>
            <w:vAlign w:val="center"/>
          </w:tcPr>
          <w:p w14:paraId="49A03E2F">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0A74596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隔声、减振</w:t>
            </w:r>
          </w:p>
        </w:tc>
        <w:tc>
          <w:tcPr>
            <w:tcW w:w="367" w:type="pct"/>
            <w:tcBorders>
              <w:tl2br w:val="nil"/>
              <w:tr2bl w:val="nil"/>
            </w:tcBorders>
            <w:vAlign w:val="center"/>
          </w:tcPr>
          <w:p w14:paraId="40FB50B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178.59</w:t>
            </w:r>
          </w:p>
        </w:tc>
        <w:tc>
          <w:tcPr>
            <w:tcW w:w="392" w:type="pct"/>
            <w:tcBorders>
              <w:tl2br w:val="nil"/>
              <w:tr2bl w:val="nil"/>
            </w:tcBorders>
            <w:vAlign w:val="center"/>
          </w:tcPr>
          <w:p w14:paraId="2C6F57E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172.19</w:t>
            </w:r>
          </w:p>
        </w:tc>
        <w:tc>
          <w:tcPr>
            <w:tcW w:w="246" w:type="pct"/>
            <w:tcBorders>
              <w:tl2br w:val="nil"/>
              <w:tr2bl w:val="nil"/>
            </w:tcBorders>
            <w:vAlign w:val="center"/>
          </w:tcPr>
          <w:p w14:paraId="53CB963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2B21C8A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3</w:t>
            </w:r>
          </w:p>
        </w:tc>
        <w:tc>
          <w:tcPr>
            <w:tcW w:w="296" w:type="pct"/>
            <w:tcBorders>
              <w:tl2br w:val="nil"/>
              <w:tr2bl w:val="nil"/>
            </w:tcBorders>
            <w:vAlign w:val="center"/>
          </w:tcPr>
          <w:p w14:paraId="7AFD139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70 </w:t>
            </w:r>
          </w:p>
        </w:tc>
        <w:tc>
          <w:tcPr>
            <w:tcW w:w="249" w:type="pct"/>
            <w:tcBorders>
              <w:tl2br w:val="nil"/>
              <w:tr2bl w:val="nil"/>
            </w:tcBorders>
            <w:vAlign w:val="center"/>
          </w:tcPr>
          <w:p w14:paraId="2DB6AA0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0AAD5E6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50020D5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50 </w:t>
            </w:r>
          </w:p>
        </w:tc>
        <w:tc>
          <w:tcPr>
            <w:tcW w:w="316" w:type="pct"/>
            <w:tcBorders>
              <w:tl2br w:val="nil"/>
              <w:tr2bl w:val="nil"/>
            </w:tcBorders>
            <w:vAlign w:val="center"/>
          </w:tcPr>
          <w:p w14:paraId="4A51AE31">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1m</w:t>
            </w:r>
          </w:p>
        </w:tc>
      </w:tr>
      <w:tr w14:paraId="217F9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shd w:val="clear" w:color="auto" w:fill="auto"/>
            <w:vAlign w:val="center"/>
          </w:tcPr>
          <w:p w14:paraId="05D0D140">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p>
        </w:tc>
        <w:tc>
          <w:tcPr>
            <w:tcW w:w="303" w:type="pct"/>
            <w:tcBorders>
              <w:tl2br w:val="nil"/>
              <w:tr2bl w:val="nil"/>
            </w:tcBorders>
            <w:shd w:val="clear" w:color="auto" w:fill="auto"/>
            <w:vAlign w:val="center"/>
          </w:tcPr>
          <w:p w14:paraId="169969B8">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r>
              <w:rPr>
                <w:rFonts w:hint="eastAsia" w:hAnsi="Times New Roman"/>
                <w:color w:val="auto"/>
                <w:szCs w:val="21"/>
              </w:rPr>
              <w:t>循环</w:t>
            </w:r>
            <w:r>
              <w:rPr>
                <w:rFonts w:hAnsi="Times New Roman"/>
                <w:color w:val="auto"/>
                <w:szCs w:val="21"/>
              </w:rPr>
              <w:t>水泵</w:t>
            </w:r>
          </w:p>
        </w:tc>
        <w:tc>
          <w:tcPr>
            <w:tcW w:w="261" w:type="pct"/>
            <w:tcBorders>
              <w:tl2br w:val="nil"/>
              <w:tr2bl w:val="nil"/>
            </w:tcBorders>
            <w:shd w:val="clear" w:color="auto" w:fill="auto"/>
            <w:vAlign w:val="center"/>
          </w:tcPr>
          <w:p w14:paraId="49EB4C78">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7</w:t>
            </w:r>
            <w:r>
              <w:rPr>
                <w:rFonts w:hint="eastAsia" w:hAnsi="Times New Roman"/>
                <w:color w:val="auto"/>
                <w:szCs w:val="21"/>
                <w:lang w:val="en-US" w:eastAsia="zh-CN"/>
              </w:rPr>
              <w:t>5</w:t>
            </w:r>
          </w:p>
        </w:tc>
        <w:tc>
          <w:tcPr>
            <w:tcW w:w="392" w:type="pct"/>
            <w:tcBorders>
              <w:tl2br w:val="nil"/>
              <w:tr2bl w:val="nil"/>
            </w:tcBorders>
            <w:shd w:val="clear" w:color="auto" w:fill="auto"/>
            <w:vAlign w:val="center"/>
          </w:tcPr>
          <w:p w14:paraId="6C74F3F0">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heme="minorHAnsi" w:hAnsiTheme="minorHAnsi" w:eastAsiaTheme="minorEastAsia" w:cstheme="minorBidi"/>
                <w:color w:val="auto"/>
                <w:kern w:val="2"/>
                <w:sz w:val="24"/>
                <w:szCs w:val="22"/>
                <w:lang w:val="en-US" w:eastAsia="zh-CN" w:bidi="ar-SA"/>
              </w:rPr>
            </w:pPr>
            <w:r>
              <w:rPr>
                <w:rFonts w:ascii="Times New Roman" w:hAnsi="Times New Roman" w:eastAsia="宋体" w:cs="Times New Roman"/>
                <w:color w:val="auto"/>
                <w:kern w:val="0"/>
                <w:sz w:val="21"/>
                <w:szCs w:val="21"/>
              </w:rPr>
              <w:t>固定点源</w:t>
            </w:r>
          </w:p>
        </w:tc>
        <w:tc>
          <w:tcPr>
            <w:tcW w:w="690" w:type="pct"/>
            <w:tcBorders>
              <w:tl2br w:val="nil"/>
              <w:tr2bl w:val="nil"/>
            </w:tcBorders>
            <w:shd w:val="clear" w:color="auto" w:fill="auto"/>
            <w:vAlign w:val="center"/>
          </w:tcPr>
          <w:p w14:paraId="0B12C4C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隔声、减振</w:t>
            </w:r>
          </w:p>
        </w:tc>
        <w:tc>
          <w:tcPr>
            <w:tcW w:w="367" w:type="pct"/>
            <w:tcBorders>
              <w:tl2br w:val="nil"/>
              <w:tr2bl w:val="nil"/>
            </w:tcBorders>
            <w:shd w:val="clear" w:color="auto" w:fill="auto"/>
            <w:vAlign w:val="center"/>
          </w:tcPr>
          <w:p w14:paraId="7B2F25D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171.97</w:t>
            </w:r>
          </w:p>
        </w:tc>
        <w:tc>
          <w:tcPr>
            <w:tcW w:w="392" w:type="pct"/>
            <w:tcBorders>
              <w:tl2br w:val="nil"/>
              <w:tr2bl w:val="nil"/>
            </w:tcBorders>
            <w:shd w:val="clear" w:color="auto" w:fill="auto"/>
            <w:vAlign w:val="center"/>
          </w:tcPr>
          <w:p w14:paraId="1F2DFF4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169.64</w:t>
            </w:r>
          </w:p>
        </w:tc>
        <w:tc>
          <w:tcPr>
            <w:tcW w:w="246" w:type="pct"/>
            <w:tcBorders>
              <w:tl2br w:val="nil"/>
              <w:tr2bl w:val="nil"/>
            </w:tcBorders>
            <w:shd w:val="clear" w:color="auto" w:fill="auto"/>
            <w:vAlign w:val="center"/>
          </w:tcPr>
          <w:p w14:paraId="3EA6CDD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shd w:val="clear" w:color="auto" w:fill="auto"/>
            <w:vAlign w:val="center"/>
          </w:tcPr>
          <w:p w14:paraId="34C86230">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lang w:val="en-US" w:eastAsia="zh-CN"/>
              </w:rPr>
              <w:t>5</w:t>
            </w:r>
          </w:p>
        </w:tc>
        <w:tc>
          <w:tcPr>
            <w:tcW w:w="296" w:type="pct"/>
            <w:tcBorders>
              <w:tl2br w:val="nil"/>
              <w:tr2bl w:val="nil"/>
            </w:tcBorders>
            <w:shd w:val="clear" w:color="auto" w:fill="auto"/>
            <w:vAlign w:val="center"/>
          </w:tcPr>
          <w:p w14:paraId="53E1C3E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61 </w:t>
            </w:r>
          </w:p>
        </w:tc>
        <w:tc>
          <w:tcPr>
            <w:tcW w:w="249" w:type="pct"/>
            <w:tcBorders>
              <w:tl2br w:val="nil"/>
              <w:tr2bl w:val="nil"/>
            </w:tcBorders>
            <w:shd w:val="clear" w:color="auto" w:fill="auto"/>
            <w:vAlign w:val="center"/>
          </w:tcPr>
          <w:p w14:paraId="4D7D03F7">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bCs/>
                <w:color w:val="auto"/>
                <w:kern w:val="2"/>
                <w:sz w:val="21"/>
                <w:szCs w:val="21"/>
                <w:lang w:val="en-US" w:eastAsia="zh-CN" w:bidi="ar-SA"/>
              </w:rPr>
            </w:pPr>
            <w:r>
              <w:rPr>
                <w:rFonts w:hAnsi="Times New Roman"/>
                <w:bCs/>
                <w:color w:val="auto"/>
                <w:szCs w:val="21"/>
              </w:rPr>
              <w:t>连续</w:t>
            </w:r>
          </w:p>
        </w:tc>
        <w:tc>
          <w:tcPr>
            <w:tcW w:w="332" w:type="pct"/>
            <w:tcBorders>
              <w:tl2br w:val="nil"/>
              <w:tr2bl w:val="nil"/>
            </w:tcBorders>
            <w:shd w:val="clear" w:color="auto" w:fill="auto"/>
            <w:vAlign w:val="center"/>
          </w:tcPr>
          <w:p w14:paraId="5489613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shd w:val="clear" w:color="auto" w:fill="auto"/>
            <w:vAlign w:val="center"/>
          </w:tcPr>
          <w:p w14:paraId="21E2038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41 </w:t>
            </w:r>
          </w:p>
        </w:tc>
        <w:tc>
          <w:tcPr>
            <w:tcW w:w="316" w:type="pct"/>
            <w:tcBorders>
              <w:tl2br w:val="nil"/>
              <w:tr2bl w:val="nil"/>
            </w:tcBorders>
            <w:shd w:val="clear" w:color="auto" w:fill="auto"/>
            <w:vAlign w:val="center"/>
          </w:tcPr>
          <w:p w14:paraId="3606DBEC">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bCs/>
                <w:color w:val="auto"/>
                <w:kern w:val="2"/>
                <w:sz w:val="21"/>
                <w:szCs w:val="21"/>
                <w:lang w:val="en-US" w:eastAsia="zh-CN" w:bidi="ar-SA"/>
              </w:rPr>
            </w:pPr>
            <w:r>
              <w:rPr>
                <w:rFonts w:hAnsi="Times New Roman"/>
                <w:bCs/>
                <w:color w:val="auto"/>
                <w:szCs w:val="21"/>
              </w:rPr>
              <w:t>1m</w:t>
            </w:r>
          </w:p>
        </w:tc>
      </w:tr>
      <w:tr w14:paraId="687EE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vAlign w:val="center"/>
          </w:tcPr>
          <w:p w14:paraId="4132889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p>
        </w:tc>
        <w:tc>
          <w:tcPr>
            <w:tcW w:w="303" w:type="pct"/>
            <w:tcBorders>
              <w:tl2br w:val="nil"/>
              <w:tr2bl w:val="nil"/>
            </w:tcBorders>
            <w:shd w:val="clear" w:color="auto" w:fill="auto"/>
            <w:vAlign w:val="center"/>
          </w:tcPr>
          <w:p w14:paraId="47DF2693">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r>
              <w:rPr>
                <w:rFonts w:hint="eastAsia" w:hAnsi="Times New Roman"/>
                <w:color w:val="auto"/>
                <w:szCs w:val="21"/>
              </w:rPr>
              <w:t>补水泵</w:t>
            </w:r>
          </w:p>
        </w:tc>
        <w:tc>
          <w:tcPr>
            <w:tcW w:w="261" w:type="pct"/>
            <w:tcBorders>
              <w:tl2br w:val="nil"/>
              <w:tr2bl w:val="nil"/>
            </w:tcBorders>
            <w:shd w:val="clear" w:color="auto" w:fill="auto"/>
            <w:vAlign w:val="center"/>
          </w:tcPr>
          <w:p w14:paraId="10AC7CDE">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7</w:t>
            </w:r>
            <w:r>
              <w:rPr>
                <w:rFonts w:hint="eastAsia" w:hAnsi="Times New Roman"/>
                <w:color w:val="auto"/>
                <w:szCs w:val="21"/>
                <w:lang w:val="en-US" w:eastAsia="zh-CN"/>
              </w:rPr>
              <w:t>0</w:t>
            </w:r>
          </w:p>
        </w:tc>
        <w:tc>
          <w:tcPr>
            <w:tcW w:w="392" w:type="pct"/>
            <w:tcBorders>
              <w:tl2br w:val="nil"/>
              <w:tr2bl w:val="nil"/>
            </w:tcBorders>
            <w:shd w:val="clear" w:color="auto" w:fill="auto"/>
            <w:vAlign w:val="center"/>
          </w:tcPr>
          <w:p w14:paraId="5EE28350">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0"/>
                <w:sz w:val="21"/>
                <w:szCs w:val="21"/>
              </w:rPr>
              <w:t>固定点源</w:t>
            </w:r>
          </w:p>
        </w:tc>
        <w:tc>
          <w:tcPr>
            <w:tcW w:w="690" w:type="pct"/>
            <w:tcBorders>
              <w:tl2br w:val="nil"/>
              <w:tr2bl w:val="nil"/>
            </w:tcBorders>
            <w:shd w:val="clear" w:color="auto" w:fill="auto"/>
            <w:vAlign w:val="center"/>
          </w:tcPr>
          <w:p w14:paraId="2F83923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隔声、减振</w:t>
            </w:r>
          </w:p>
        </w:tc>
        <w:tc>
          <w:tcPr>
            <w:tcW w:w="367" w:type="pct"/>
            <w:tcBorders>
              <w:tl2br w:val="nil"/>
              <w:tr2bl w:val="nil"/>
            </w:tcBorders>
            <w:shd w:val="clear" w:color="auto" w:fill="auto"/>
            <w:vAlign w:val="center"/>
          </w:tcPr>
          <w:p w14:paraId="464A9DD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144.97</w:t>
            </w:r>
          </w:p>
        </w:tc>
        <w:tc>
          <w:tcPr>
            <w:tcW w:w="392" w:type="pct"/>
            <w:tcBorders>
              <w:tl2br w:val="nil"/>
              <w:tr2bl w:val="nil"/>
            </w:tcBorders>
            <w:shd w:val="clear" w:color="auto" w:fill="auto"/>
            <w:vAlign w:val="center"/>
          </w:tcPr>
          <w:p w14:paraId="3A8C2B74">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145.7</w:t>
            </w:r>
          </w:p>
        </w:tc>
        <w:tc>
          <w:tcPr>
            <w:tcW w:w="246" w:type="pct"/>
            <w:tcBorders>
              <w:tl2br w:val="nil"/>
              <w:tr2bl w:val="nil"/>
            </w:tcBorders>
            <w:shd w:val="clear" w:color="auto" w:fill="auto"/>
            <w:vAlign w:val="center"/>
          </w:tcPr>
          <w:p w14:paraId="3F9731A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shd w:val="clear" w:color="auto" w:fill="auto"/>
            <w:vAlign w:val="center"/>
          </w:tcPr>
          <w:p w14:paraId="7A60101A">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lang w:val="en-US" w:eastAsia="zh-CN"/>
              </w:rPr>
              <w:t>2</w:t>
            </w:r>
          </w:p>
        </w:tc>
        <w:tc>
          <w:tcPr>
            <w:tcW w:w="296" w:type="pct"/>
            <w:tcBorders>
              <w:tl2br w:val="nil"/>
              <w:tr2bl w:val="nil"/>
            </w:tcBorders>
            <w:shd w:val="clear" w:color="auto" w:fill="auto"/>
            <w:vAlign w:val="center"/>
          </w:tcPr>
          <w:p w14:paraId="7E51CDE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64 </w:t>
            </w:r>
          </w:p>
        </w:tc>
        <w:tc>
          <w:tcPr>
            <w:tcW w:w="249" w:type="pct"/>
            <w:tcBorders>
              <w:tl2br w:val="nil"/>
              <w:tr2bl w:val="nil"/>
            </w:tcBorders>
            <w:shd w:val="clear" w:color="auto" w:fill="auto"/>
            <w:vAlign w:val="center"/>
          </w:tcPr>
          <w:p w14:paraId="6F3A2CD3">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bCs/>
                <w:color w:val="auto"/>
                <w:kern w:val="2"/>
                <w:sz w:val="21"/>
                <w:szCs w:val="21"/>
                <w:lang w:val="en-US" w:eastAsia="zh-CN" w:bidi="ar-SA"/>
              </w:rPr>
            </w:pPr>
            <w:r>
              <w:rPr>
                <w:rFonts w:hAnsi="Times New Roman"/>
                <w:bCs/>
                <w:color w:val="auto"/>
                <w:szCs w:val="21"/>
              </w:rPr>
              <w:t>连续</w:t>
            </w:r>
          </w:p>
        </w:tc>
        <w:tc>
          <w:tcPr>
            <w:tcW w:w="332" w:type="pct"/>
            <w:tcBorders>
              <w:tl2br w:val="nil"/>
              <w:tr2bl w:val="nil"/>
            </w:tcBorders>
            <w:shd w:val="clear" w:color="auto" w:fill="auto"/>
            <w:vAlign w:val="center"/>
          </w:tcPr>
          <w:p w14:paraId="7FF2111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shd w:val="clear" w:color="auto" w:fill="auto"/>
            <w:vAlign w:val="center"/>
          </w:tcPr>
          <w:p w14:paraId="6775F0A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44 </w:t>
            </w:r>
          </w:p>
        </w:tc>
        <w:tc>
          <w:tcPr>
            <w:tcW w:w="316" w:type="pct"/>
            <w:tcBorders>
              <w:tl2br w:val="nil"/>
              <w:tr2bl w:val="nil"/>
            </w:tcBorders>
            <w:shd w:val="clear" w:color="auto" w:fill="auto"/>
            <w:vAlign w:val="center"/>
          </w:tcPr>
          <w:p w14:paraId="3D5B09EB">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bCs/>
                <w:color w:val="auto"/>
                <w:kern w:val="2"/>
                <w:sz w:val="21"/>
                <w:szCs w:val="21"/>
                <w:lang w:val="en-US" w:eastAsia="zh-CN" w:bidi="ar-SA"/>
              </w:rPr>
            </w:pPr>
            <w:r>
              <w:rPr>
                <w:rFonts w:hAnsi="Times New Roman"/>
                <w:bCs/>
                <w:color w:val="auto"/>
                <w:szCs w:val="21"/>
              </w:rPr>
              <w:t>1m</w:t>
            </w:r>
          </w:p>
        </w:tc>
      </w:tr>
      <w:tr w14:paraId="3BBA9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vMerge w:val="continue"/>
            <w:tcBorders>
              <w:tl2br w:val="nil"/>
              <w:tr2bl w:val="nil"/>
            </w:tcBorders>
            <w:shd w:val="clear" w:color="auto" w:fill="auto"/>
            <w:vAlign w:val="center"/>
          </w:tcPr>
          <w:p w14:paraId="0A280D13">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p>
        </w:tc>
        <w:tc>
          <w:tcPr>
            <w:tcW w:w="303" w:type="pct"/>
            <w:tcBorders>
              <w:tl2br w:val="nil"/>
              <w:tr2bl w:val="nil"/>
            </w:tcBorders>
            <w:shd w:val="clear" w:color="auto" w:fill="auto"/>
            <w:vAlign w:val="center"/>
          </w:tcPr>
          <w:p w14:paraId="1BC4E7A8">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r>
              <w:rPr>
                <w:rFonts w:hint="eastAsia" w:hAnsi="Times New Roman"/>
                <w:color w:val="auto"/>
                <w:szCs w:val="21"/>
              </w:rPr>
              <w:t>空压机</w:t>
            </w:r>
          </w:p>
        </w:tc>
        <w:tc>
          <w:tcPr>
            <w:tcW w:w="261" w:type="pct"/>
            <w:tcBorders>
              <w:tl2br w:val="nil"/>
              <w:tr2bl w:val="nil"/>
            </w:tcBorders>
            <w:shd w:val="clear" w:color="auto" w:fill="auto"/>
            <w:vAlign w:val="center"/>
          </w:tcPr>
          <w:p w14:paraId="2C7210A3">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hint="eastAsia" w:ascii="Times New Roman" w:hAnsi="Times New Roman" w:eastAsia="宋体" w:cs="Times New Roman"/>
                <w:color w:val="auto"/>
                <w:kern w:val="2"/>
                <w:sz w:val="21"/>
                <w:szCs w:val="21"/>
                <w:lang w:val="en-US" w:eastAsia="zh-CN" w:bidi="ar-SA"/>
              </w:rPr>
            </w:pPr>
            <w:r>
              <w:rPr>
                <w:rFonts w:hint="eastAsia" w:hAnsi="Times New Roman"/>
                <w:color w:val="auto"/>
                <w:szCs w:val="21"/>
              </w:rPr>
              <w:t>80</w:t>
            </w:r>
          </w:p>
        </w:tc>
        <w:tc>
          <w:tcPr>
            <w:tcW w:w="392" w:type="pct"/>
            <w:tcBorders>
              <w:tl2br w:val="nil"/>
              <w:tr2bl w:val="nil"/>
            </w:tcBorders>
            <w:shd w:val="clear" w:color="auto" w:fill="auto"/>
            <w:vAlign w:val="center"/>
          </w:tcPr>
          <w:p w14:paraId="1CF68239">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kern w:val="0"/>
                <w:sz w:val="21"/>
                <w:szCs w:val="21"/>
              </w:rPr>
              <w:t>固定点源</w:t>
            </w:r>
          </w:p>
        </w:tc>
        <w:tc>
          <w:tcPr>
            <w:tcW w:w="690" w:type="pct"/>
            <w:tcBorders>
              <w:tl2br w:val="nil"/>
              <w:tr2bl w:val="nil"/>
            </w:tcBorders>
            <w:shd w:val="clear" w:color="auto" w:fill="auto"/>
            <w:vAlign w:val="center"/>
          </w:tcPr>
          <w:p w14:paraId="30E67A83">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kern w:val="2"/>
                <w:sz w:val="21"/>
                <w:szCs w:val="21"/>
                <w:lang w:val="en-US" w:eastAsia="zh-CN" w:bidi="ar-SA"/>
              </w:rPr>
            </w:pPr>
            <w:r>
              <w:rPr>
                <w:rFonts w:hAnsi="Times New Roman"/>
                <w:bCs/>
                <w:color w:val="auto"/>
                <w:szCs w:val="21"/>
              </w:rPr>
              <w:t>进风口消声器、厂房隔声</w:t>
            </w:r>
          </w:p>
        </w:tc>
        <w:tc>
          <w:tcPr>
            <w:tcW w:w="367" w:type="pct"/>
            <w:tcBorders>
              <w:tl2br w:val="nil"/>
              <w:tr2bl w:val="nil"/>
            </w:tcBorders>
            <w:shd w:val="clear" w:color="auto" w:fill="auto"/>
            <w:vAlign w:val="center"/>
          </w:tcPr>
          <w:p w14:paraId="6D26915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182.15</w:t>
            </w:r>
          </w:p>
        </w:tc>
        <w:tc>
          <w:tcPr>
            <w:tcW w:w="392" w:type="pct"/>
            <w:tcBorders>
              <w:tl2br w:val="nil"/>
              <w:tr2bl w:val="nil"/>
            </w:tcBorders>
            <w:shd w:val="clear" w:color="auto" w:fill="auto"/>
            <w:vAlign w:val="center"/>
          </w:tcPr>
          <w:p w14:paraId="67423F8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145.7</w:t>
            </w:r>
          </w:p>
        </w:tc>
        <w:tc>
          <w:tcPr>
            <w:tcW w:w="246" w:type="pct"/>
            <w:tcBorders>
              <w:tl2br w:val="nil"/>
              <w:tr2bl w:val="nil"/>
            </w:tcBorders>
            <w:shd w:val="clear" w:color="auto" w:fill="auto"/>
            <w:vAlign w:val="center"/>
          </w:tcPr>
          <w:p w14:paraId="1DD6E45A">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shd w:val="clear" w:color="auto" w:fill="auto"/>
            <w:vAlign w:val="center"/>
          </w:tcPr>
          <w:p w14:paraId="5F762926">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hint="eastAsia" w:ascii="Times New Roman" w:hAnsi="Times New Roman" w:eastAsia="宋体" w:cs="Times New Roman"/>
                <w:bCs/>
                <w:color w:val="auto"/>
                <w:kern w:val="2"/>
                <w:sz w:val="21"/>
                <w:szCs w:val="21"/>
                <w:lang w:val="en-US" w:eastAsia="zh-CN" w:bidi="ar-SA"/>
              </w:rPr>
            </w:pPr>
            <w:r>
              <w:rPr>
                <w:rFonts w:hint="eastAsia" w:hAnsi="Times New Roman"/>
                <w:bCs/>
                <w:color w:val="auto"/>
                <w:szCs w:val="21"/>
                <w:lang w:val="en-US" w:eastAsia="zh-CN"/>
              </w:rPr>
              <w:t>2</w:t>
            </w:r>
          </w:p>
        </w:tc>
        <w:tc>
          <w:tcPr>
            <w:tcW w:w="296" w:type="pct"/>
            <w:tcBorders>
              <w:tl2br w:val="nil"/>
              <w:tr2bl w:val="nil"/>
            </w:tcBorders>
            <w:shd w:val="clear" w:color="auto" w:fill="auto"/>
            <w:vAlign w:val="center"/>
          </w:tcPr>
          <w:p w14:paraId="4C5815D0">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74 </w:t>
            </w:r>
          </w:p>
        </w:tc>
        <w:tc>
          <w:tcPr>
            <w:tcW w:w="249" w:type="pct"/>
            <w:tcBorders>
              <w:tl2br w:val="nil"/>
              <w:tr2bl w:val="nil"/>
            </w:tcBorders>
            <w:shd w:val="clear" w:color="auto" w:fill="auto"/>
            <w:vAlign w:val="center"/>
          </w:tcPr>
          <w:p w14:paraId="67843B03">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bCs/>
                <w:color w:val="auto"/>
                <w:kern w:val="2"/>
                <w:sz w:val="21"/>
                <w:szCs w:val="21"/>
                <w:lang w:val="en-US" w:eastAsia="zh-CN" w:bidi="ar-SA"/>
              </w:rPr>
            </w:pPr>
            <w:r>
              <w:rPr>
                <w:rFonts w:hAnsi="Times New Roman"/>
                <w:bCs/>
                <w:color w:val="auto"/>
                <w:szCs w:val="21"/>
              </w:rPr>
              <w:t>连续</w:t>
            </w:r>
          </w:p>
        </w:tc>
        <w:tc>
          <w:tcPr>
            <w:tcW w:w="332" w:type="pct"/>
            <w:tcBorders>
              <w:tl2br w:val="nil"/>
              <w:tr2bl w:val="nil"/>
            </w:tcBorders>
            <w:shd w:val="clear" w:color="auto" w:fill="auto"/>
            <w:vAlign w:val="center"/>
          </w:tcPr>
          <w:p w14:paraId="6D9585F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kern w:val="2"/>
                <w:sz w:val="21"/>
                <w:szCs w:val="21"/>
                <w:lang w:val="en-US" w:eastAsia="zh-CN" w:bidi="ar-SA"/>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shd w:val="clear" w:color="auto" w:fill="auto"/>
            <w:vAlign w:val="center"/>
          </w:tcPr>
          <w:p w14:paraId="167E263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54 </w:t>
            </w:r>
          </w:p>
        </w:tc>
        <w:tc>
          <w:tcPr>
            <w:tcW w:w="316" w:type="pct"/>
            <w:tcBorders>
              <w:tl2br w:val="nil"/>
              <w:tr2bl w:val="nil"/>
            </w:tcBorders>
            <w:shd w:val="clear" w:color="auto" w:fill="auto"/>
            <w:vAlign w:val="center"/>
          </w:tcPr>
          <w:p w14:paraId="6EDE72E5">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bCs/>
                <w:color w:val="auto"/>
                <w:kern w:val="2"/>
                <w:sz w:val="21"/>
                <w:szCs w:val="21"/>
                <w:lang w:val="en-US" w:eastAsia="zh-CN" w:bidi="ar-SA"/>
              </w:rPr>
            </w:pPr>
            <w:r>
              <w:rPr>
                <w:rFonts w:hAnsi="Times New Roman"/>
                <w:bCs/>
                <w:color w:val="auto"/>
                <w:szCs w:val="21"/>
              </w:rPr>
              <w:t>1m</w:t>
            </w:r>
          </w:p>
        </w:tc>
      </w:tr>
      <w:tr w14:paraId="44054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tcBorders>
              <w:tl2br w:val="nil"/>
              <w:tr2bl w:val="nil"/>
            </w:tcBorders>
            <w:vAlign w:val="center"/>
          </w:tcPr>
          <w:p w14:paraId="5DD98DB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脱硫</w:t>
            </w:r>
            <w:r>
              <w:rPr>
                <w:rFonts w:hint="eastAsia" w:hAnsi="Times New Roman"/>
                <w:color w:val="auto"/>
                <w:szCs w:val="21"/>
              </w:rPr>
              <w:t>系统</w:t>
            </w:r>
          </w:p>
        </w:tc>
        <w:tc>
          <w:tcPr>
            <w:tcW w:w="303" w:type="pct"/>
            <w:tcBorders>
              <w:tl2br w:val="nil"/>
              <w:tr2bl w:val="nil"/>
            </w:tcBorders>
            <w:vAlign w:val="center"/>
          </w:tcPr>
          <w:p w14:paraId="60C0F7C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浆液循环泵</w:t>
            </w:r>
          </w:p>
        </w:tc>
        <w:tc>
          <w:tcPr>
            <w:tcW w:w="261" w:type="pct"/>
            <w:tcBorders>
              <w:tl2br w:val="nil"/>
              <w:tr2bl w:val="nil"/>
            </w:tcBorders>
            <w:vAlign w:val="center"/>
          </w:tcPr>
          <w:p w14:paraId="1958AC5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rPr>
              <w:t>75</w:t>
            </w:r>
          </w:p>
        </w:tc>
        <w:tc>
          <w:tcPr>
            <w:tcW w:w="392" w:type="pct"/>
            <w:tcBorders>
              <w:tl2br w:val="nil"/>
              <w:tr2bl w:val="nil"/>
            </w:tcBorders>
            <w:vAlign w:val="center"/>
          </w:tcPr>
          <w:p w14:paraId="1C2143F3">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5032CB6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Cs w:val="21"/>
                <w:lang w:val="en-US" w:eastAsia="zh-CN"/>
              </w:rPr>
              <w:t>隔声、减振</w:t>
            </w:r>
          </w:p>
        </w:tc>
        <w:tc>
          <w:tcPr>
            <w:tcW w:w="367" w:type="pct"/>
            <w:tcBorders>
              <w:tl2br w:val="nil"/>
              <w:tr2bl w:val="nil"/>
            </w:tcBorders>
            <w:vAlign w:val="center"/>
          </w:tcPr>
          <w:p w14:paraId="47E30DA9">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171.97</w:t>
            </w:r>
          </w:p>
        </w:tc>
        <w:tc>
          <w:tcPr>
            <w:tcW w:w="392" w:type="pct"/>
            <w:tcBorders>
              <w:tl2br w:val="nil"/>
              <w:tr2bl w:val="nil"/>
            </w:tcBorders>
            <w:vAlign w:val="center"/>
          </w:tcPr>
          <w:p w14:paraId="5E6325A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160.47</w:t>
            </w:r>
          </w:p>
        </w:tc>
        <w:tc>
          <w:tcPr>
            <w:tcW w:w="246" w:type="pct"/>
            <w:tcBorders>
              <w:tl2br w:val="nil"/>
              <w:tr2bl w:val="nil"/>
            </w:tcBorders>
            <w:vAlign w:val="center"/>
          </w:tcPr>
          <w:p w14:paraId="08065272">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7B908B7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4</w:t>
            </w:r>
          </w:p>
        </w:tc>
        <w:tc>
          <w:tcPr>
            <w:tcW w:w="296" w:type="pct"/>
            <w:tcBorders>
              <w:tl2br w:val="nil"/>
              <w:tr2bl w:val="nil"/>
            </w:tcBorders>
            <w:vAlign w:val="center"/>
          </w:tcPr>
          <w:p w14:paraId="11AA1A9D">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eastAsia="宋体"/>
                <w:bCs/>
                <w:color w:val="auto"/>
                <w:szCs w:val="21"/>
                <w:lang w:val="en-US" w:eastAsia="zh-CN"/>
              </w:rPr>
              <w:t xml:space="preserve">63 </w:t>
            </w:r>
          </w:p>
        </w:tc>
        <w:tc>
          <w:tcPr>
            <w:tcW w:w="249" w:type="pct"/>
            <w:tcBorders>
              <w:tl2br w:val="nil"/>
              <w:tr2bl w:val="nil"/>
            </w:tcBorders>
            <w:vAlign w:val="center"/>
          </w:tcPr>
          <w:p w14:paraId="25D8898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2ABE0EB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0567E09E">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 xml:space="preserve">43 </w:t>
            </w:r>
          </w:p>
        </w:tc>
        <w:tc>
          <w:tcPr>
            <w:tcW w:w="316" w:type="pct"/>
            <w:tcBorders>
              <w:tl2br w:val="nil"/>
              <w:tr2bl w:val="nil"/>
            </w:tcBorders>
            <w:vAlign w:val="center"/>
          </w:tcPr>
          <w:p w14:paraId="590F13FF">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1m</w:t>
            </w:r>
          </w:p>
        </w:tc>
      </w:tr>
      <w:tr w14:paraId="36DC9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99" w:type="pct"/>
            <w:tcBorders>
              <w:tl2br w:val="nil"/>
              <w:tr2bl w:val="nil"/>
            </w:tcBorders>
            <w:vAlign w:val="center"/>
          </w:tcPr>
          <w:p w14:paraId="11F5C28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hAnsi="Times New Roman"/>
                <w:color w:val="auto"/>
                <w:szCs w:val="21"/>
                <w:lang w:val="en-US" w:eastAsia="zh-CN"/>
              </w:rPr>
              <w:t>上煤</w:t>
            </w:r>
            <w:r>
              <w:rPr>
                <w:rFonts w:hAnsi="Times New Roman"/>
                <w:color w:val="auto"/>
                <w:szCs w:val="21"/>
              </w:rPr>
              <w:t>间</w:t>
            </w:r>
          </w:p>
        </w:tc>
        <w:tc>
          <w:tcPr>
            <w:tcW w:w="303" w:type="pct"/>
            <w:tcBorders>
              <w:tl2br w:val="nil"/>
              <w:tr2bl w:val="nil"/>
            </w:tcBorders>
            <w:vAlign w:val="center"/>
          </w:tcPr>
          <w:p w14:paraId="18475B08">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Ansi="Times New Roman"/>
                <w:color w:val="auto"/>
                <w:szCs w:val="21"/>
              </w:rPr>
              <w:t>碎煤机</w:t>
            </w:r>
          </w:p>
        </w:tc>
        <w:tc>
          <w:tcPr>
            <w:tcW w:w="261" w:type="pct"/>
            <w:tcBorders>
              <w:tl2br w:val="nil"/>
              <w:tr2bl w:val="nil"/>
            </w:tcBorders>
            <w:vAlign w:val="center"/>
          </w:tcPr>
          <w:p w14:paraId="57FF6C5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hAnsi="Times New Roman" w:eastAsia="宋体"/>
                <w:color w:val="auto"/>
                <w:szCs w:val="21"/>
                <w:lang w:val="en-US" w:eastAsia="zh-CN"/>
              </w:rPr>
            </w:pPr>
            <w:r>
              <w:rPr>
                <w:rFonts w:hint="eastAsia" w:hAnsi="Times New Roman"/>
                <w:color w:val="auto"/>
                <w:szCs w:val="21"/>
                <w:lang w:val="en-US" w:eastAsia="zh-CN"/>
              </w:rPr>
              <w:t>85</w:t>
            </w:r>
          </w:p>
        </w:tc>
        <w:tc>
          <w:tcPr>
            <w:tcW w:w="392" w:type="pct"/>
            <w:tcBorders>
              <w:tl2br w:val="nil"/>
              <w:tr2bl w:val="nil"/>
            </w:tcBorders>
            <w:vAlign w:val="center"/>
          </w:tcPr>
          <w:p w14:paraId="5A853BD8">
            <w:pPr>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ascii="Times New Roman" w:hAnsi="Times New Roman" w:eastAsia="宋体" w:cs="Times New Roman"/>
                <w:color w:val="auto"/>
                <w:sz w:val="21"/>
                <w:szCs w:val="21"/>
              </w:rPr>
            </w:pPr>
            <w:r>
              <w:rPr>
                <w:rFonts w:ascii="Times New Roman" w:hAnsi="Times New Roman" w:eastAsia="宋体" w:cs="Times New Roman"/>
                <w:color w:val="auto"/>
                <w:kern w:val="0"/>
                <w:sz w:val="21"/>
                <w:szCs w:val="21"/>
              </w:rPr>
              <w:t>固定点源</w:t>
            </w:r>
          </w:p>
        </w:tc>
        <w:tc>
          <w:tcPr>
            <w:tcW w:w="690" w:type="pct"/>
            <w:tcBorders>
              <w:tl2br w:val="nil"/>
              <w:tr2bl w:val="nil"/>
            </w:tcBorders>
            <w:vAlign w:val="center"/>
          </w:tcPr>
          <w:p w14:paraId="1BE0016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color w:val="auto"/>
                <w:szCs w:val="21"/>
              </w:rPr>
            </w:pPr>
            <w:r>
              <w:rPr>
                <w:rFonts w:hint="eastAsia" w:ascii="Times New Roman" w:hAnsi="Times New Roman" w:eastAsia="宋体" w:cs="Times New Roman"/>
                <w:color w:val="auto"/>
                <w:szCs w:val="21"/>
                <w:lang w:val="en-US" w:eastAsia="zh-CN"/>
              </w:rPr>
              <w:t>隔声、减振</w:t>
            </w:r>
          </w:p>
        </w:tc>
        <w:tc>
          <w:tcPr>
            <w:tcW w:w="367" w:type="pct"/>
            <w:tcBorders>
              <w:tl2br w:val="nil"/>
              <w:tr2bl w:val="nil"/>
            </w:tcBorders>
            <w:vAlign w:val="center"/>
          </w:tcPr>
          <w:p w14:paraId="608F7E65">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148.02</w:t>
            </w:r>
          </w:p>
        </w:tc>
        <w:tc>
          <w:tcPr>
            <w:tcW w:w="392" w:type="pct"/>
            <w:tcBorders>
              <w:tl2br w:val="nil"/>
              <w:tr2bl w:val="nil"/>
            </w:tcBorders>
            <w:vAlign w:val="center"/>
          </w:tcPr>
          <w:p w14:paraId="2E18953B">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138.06</w:t>
            </w:r>
          </w:p>
        </w:tc>
        <w:tc>
          <w:tcPr>
            <w:tcW w:w="246" w:type="pct"/>
            <w:tcBorders>
              <w:tl2br w:val="nil"/>
              <w:tr2bl w:val="nil"/>
            </w:tcBorders>
            <w:vAlign w:val="center"/>
          </w:tcPr>
          <w:p w14:paraId="242B57A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val="en-US" w:eastAsia="zh-CN"/>
              </w:rPr>
            </w:pPr>
            <w:r>
              <w:rPr>
                <w:rFonts w:hint="eastAsia" w:hAnsi="Times New Roman" w:eastAsia="宋体"/>
                <w:bCs/>
                <w:color w:val="auto"/>
                <w:szCs w:val="21"/>
                <w:lang w:val="en-US" w:eastAsia="zh-CN"/>
              </w:rPr>
              <w:t>1.2</w:t>
            </w:r>
          </w:p>
        </w:tc>
        <w:tc>
          <w:tcPr>
            <w:tcW w:w="369" w:type="pct"/>
            <w:tcBorders>
              <w:tl2br w:val="nil"/>
              <w:tr2bl w:val="nil"/>
            </w:tcBorders>
            <w:vAlign w:val="center"/>
          </w:tcPr>
          <w:p w14:paraId="00017EF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hAnsi="Times New Roman" w:eastAsia="宋体"/>
                <w:bCs/>
                <w:color w:val="auto"/>
                <w:szCs w:val="21"/>
                <w:lang w:eastAsia="zh-CN"/>
              </w:rPr>
            </w:pPr>
            <w:r>
              <w:rPr>
                <w:rFonts w:hint="eastAsia" w:hAnsi="Times New Roman"/>
                <w:bCs/>
                <w:color w:val="auto"/>
                <w:szCs w:val="21"/>
                <w:lang w:val="en-US" w:eastAsia="zh-CN"/>
              </w:rPr>
              <w:t>4</w:t>
            </w:r>
          </w:p>
        </w:tc>
        <w:tc>
          <w:tcPr>
            <w:tcW w:w="296" w:type="pct"/>
            <w:tcBorders>
              <w:tl2br w:val="nil"/>
              <w:tr2bl w:val="nil"/>
            </w:tcBorders>
            <w:vAlign w:val="center"/>
          </w:tcPr>
          <w:p w14:paraId="3876484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hAnsi="Times New Roman" w:eastAsia="宋体"/>
                <w:bCs/>
                <w:color w:val="auto"/>
                <w:szCs w:val="21"/>
                <w:lang w:val="en-US" w:eastAsia="zh-CN"/>
              </w:rPr>
            </w:pPr>
            <w:r>
              <w:rPr>
                <w:rFonts w:hint="eastAsia" w:hAnsi="Times New Roman" w:eastAsia="宋体"/>
                <w:bCs/>
                <w:color w:val="auto"/>
                <w:szCs w:val="21"/>
                <w:lang w:val="en-US" w:eastAsia="zh-CN"/>
              </w:rPr>
              <w:t xml:space="preserve">73 </w:t>
            </w:r>
          </w:p>
        </w:tc>
        <w:tc>
          <w:tcPr>
            <w:tcW w:w="249" w:type="pct"/>
            <w:tcBorders>
              <w:tl2br w:val="nil"/>
              <w:tr2bl w:val="nil"/>
            </w:tcBorders>
            <w:vAlign w:val="center"/>
          </w:tcPr>
          <w:p w14:paraId="25D49C06">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连续</w:t>
            </w:r>
          </w:p>
        </w:tc>
        <w:tc>
          <w:tcPr>
            <w:tcW w:w="332" w:type="pct"/>
            <w:tcBorders>
              <w:tl2br w:val="nil"/>
              <w:tr2bl w:val="nil"/>
            </w:tcBorders>
            <w:vAlign w:val="center"/>
          </w:tcPr>
          <w:p w14:paraId="6C48F78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rPr>
              <w:t>0</w:t>
            </w:r>
          </w:p>
        </w:tc>
        <w:tc>
          <w:tcPr>
            <w:tcW w:w="482" w:type="pct"/>
            <w:tcBorders>
              <w:tl2br w:val="nil"/>
              <w:tr2bl w:val="nil"/>
            </w:tcBorders>
            <w:vAlign w:val="center"/>
          </w:tcPr>
          <w:p w14:paraId="6E6E8A0C">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hAnsi="Times New Roman" w:eastAsia="宋体"/>
                <w:bCs/>
                <w:color w:val="auto"/>
                <w:szCs w:val="21"/>
                <w:lang w:val="en-US" w:eastAsia="zh-CN"/>
              </w:rPr>
            </w:pPr>
            <w:r>
              <w:rPr>
                <w:rFonts w:hint="eastAsia" w:hAnsi="Times New Roman" w:eastAsia="宋体"/>
                <w:bCs/>
                <w:color w:val="auto"/>
                <w:szCs w:val="21"/>
                <w:lang w:val="en-US" w:eastAsia="zh-CN"/>
              </w:rPr>
              <w:t xml:space="preserve">53 </w:t>
            </w:r>
          </w:p>
        </w:tc>
        <w:tc>
          <w:tcPr>
            <w:tcW w:w="316" w:type="pct"/>
            <w:tcBorders>
              <w:tl2br w:val="nil"/>
              <w:tr2bl w:val="nil"/>
            </w:tcBorders>
            <w:vAlign w:val="center"/>
          </w:tcPr>
          <w:p w14:paraId="490AEBC3">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Ansi="Times New Roman"/>
                <w:bCs/>
                <w:color w:val="auto"/>
                <w:szCs w:val="21"/>
              </w:rPr>
            </w:pPr>
            <w:r>
              <w:rPr>
                <w:rFonts w:hAnsi="Times New Roman"/>
                <w:bCs/>
                <w:color w:val="auto"/>
                <w:szCs w:val="21"/>
              </w:rPr>
              <w:t>1m</w:t>
            </w:r>
          </w:p>
        </w:tc>
      </w:tr>
    </w:tbl>
    <w:p w14:paraId="05A429C3">
      <w:pPr>
        <w:ind w:firstLine="480"/>
        <w:rPr>
          <w:rFonts w:ascii="Times New Roman" w:hAnsi="Times New Roman" w:eastAsia="宋体" w:cs="Times New Roman"/>
          <w:color w:val="auto"/>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8363A2D">
      <w:pPr>
        <w:keepNext w:val="0"/>
        <w:keepLines w:val="0"/>
        <w:pageBreakBefore w:val="0"/>
        <w:widowControl w:val="0"/>
        <w:kinsoku/>
        <w:wordWrap/>
        <w:overflowPunct/>
        <w:topLinePunct w:val="0"/>
        <w:autoSpaceDE/>
        <w:autoSpaceDN/>
        <w:bidi w:val="0"/>
        <w:adjustRightInd/>
        <w:snapToGrid/>
        <w:spacing w:line="500" w:lineRule="atLeas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（4）预测模式</w:t>
      </w:r>
    </w:p>
    <w:p w14:paraId="23ED6FF4">
      <w:pPr>
        <w:keepNext w:val="0"/>
        <w:keepLines w:val="0"/>
        <w:pageBreakBefore w:val="0"/>
        <w:widowControl w:val="0"/>
        <w:kinsoku/>
        <w:wordWrap/>
        <w:overflowPunct/>
        <w:topLinePunct w:val="0"/>
        <w:autoSpaceDE/>
        <w:autoSpaceDN/>
        <w:bidi w:val="0"/>
        <w:adjustRightInd/>
        <w:snapToGrid/>
        <w:spacing w:line="500" w:lineRule="atLeas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根据《环境影响评价技术导则 声环境》（HJ2.4-2021）的要求，本项目声环境影响预测模型采用导则中附录A（规范性附录）户外声传播的衰减和附录B（规范性附录）中“B.1工业噪声预测计算模型”。</w:t>
      </w:r>
    </w:p>
    <w:p w14:paraId="17D7FACC">
      <w:pPr>
        <w:keepNext w:val="0"/>
        <w:keepLines w:val="0"/>
        <w:pageBreakBefore w:val="0"/>
        <w:widowControl w:val="0"/>
        <w:kinsoku/>
        <w:wordWrap/>
        <w:overflowPunct/>
        <w:topLinePunct w:val="0"/>
        <w:autoSpaceDE/>
        <w:autoSpaceDN/>
        <w:bidi w:val="0"/>
        <w:adjustRightInd/>
        <w:snapToGrid/>
        <w:spacing w:line="500" w:lineRule="atLeas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某一室内声源靠近围护结构处产生的倍频带声压级</w:t>
      </w:r>
    </w:p>
    <w:p w14:paraId="75B2C6BE">
      <w:pPr>
        <w:ind w:firstLine="0" w:firstLineChars="0"/>
        <w:jc w:val="center"/>
        <w:rPr>
          <w:rFonts w:ascii="Times New Roman" w:hAnsi="Times New Roman" w:eastAsia="宋体" w:cs="Times New Roman"/>
          <w:color w:val="auto"/>
        </w:rPr>
      </w:pPr>
      <w:bookmarkStart w:id="433" w:name="_Toc355942051"/>
      <w:bookmarkStart w:id="434" w:name="_Toc337734459"/>
      <w:r>
        <w:rPr>
          <w:rFonts w:ascii="Times New Roman" w:hAnsi="Times New Roman" w:eastAsia="宋体" w:cs="Times New Roman"/>
          <w:color w:val="auto"/>
          <w:position w:val="-28"/>
          <w:szCs w:val="24"/>
        </w:rPr>
        <w:object>
          <v:shape id="_x0000_i1028" o:spt="75" type="#_x0000_t75" style="height:41.5pt;width:169.45pt;" o:ole="t" filled="f" o:preferrelative="t" stroked="f" coordsize="21600,21600">
            <v:path/>
            <v:fill on="f" focussize="0,0"/>
            <v:stroke on="f" joinstyle="miter"/>
            <v:imagedata r:id="rId103" o:title=""/>
            <o:lock v:ext="edit" aspectratio="t"/>
            <w10:wrap type="none"/>
            <w10:anchorlock/>
          </v:shape>
          <o:OLEObject Type="Embed" ProgID="Equation.3" ShapeID="_x0000_i1028" DrawAspect="Content" ObjectID="_1468075728" r:id="rId102">
            <o:LockedField>false</o:LockedField>
          </o:OLEObject>
        </w:object>
      </w:r>
    </w:p>
    <w:p w14:paraId="5828096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式中：L</w:t>
      </w:r>
      <w:r>
        <w:rPr>
          <w:rFonts w:ascii="Times New Roman" w:hAnsi="Times New Roman" w:eastAsia="宋体" w:cs="Times New Roman"/>
          <w:color w:val="auto"/>
          <w:vertAlign w:val="subscript"/>
        </w:rPr>
        <w:t>p1</w:t>
      </w:r>
      <w:r>
        <w:rPr>
          <w:rFonts w:ascii="Times New Roman" w:hAnsi="Times New Roman" w:eastAsia="宋体" w:cs="Times New Roman"/>
          <w:color w:val="auto"/>
        </w:rPr>
        <w:t>—靠近开口处（窗户）室内某倍频带的声压级或A声级，dB；</w:t>
      </w:r>
    </w:p>
    <w:p w14:paraId="4934221E">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Lw—点声源声功率级（A计权或倍频带），dB；</w:t>
      </w:r>
    </w:p>
    <w:p w14:paraId="5C71F185">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Q—指向性因数，通常对无指向性声源，当声源放在房间中心时，Q=1，当放在一面墙的中心时，Q=2；当放在两面墙夹角处时，Q=4，当放在三面墙夹角处时，Q=8。</w:t>
      </w:r>
    </w:p>
    <w:p w14:paraId="1990ED88">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R—房间常数，R=Sα/(1−α)，S为房间内表面面积，m</w:t>
      </w:r>
      <w:r>
        <w:rPr>
          <w:rFonts w:ascii="Times New Roman" w:hAnsi="Times New Roman" w:eastAsia="宋体" w:cs="Times New Roman"/>
          <w:color w:val="auto"/>
          <w:vertAlign w:val="superscript"/>
        </w:rPr>
        <w:t>2</w:t>
      </w:r>
      <w:r>
        <w:rPr>
          <w:rFonts w:ascii="Times New Roman" w:hAnsi="Times New Roman" w:eastAsia="宋体" w:cs="Times New Roman"/>
          <w:color w:val="auto"/>
        </w:rPr>
        <w:t>，α为平均吸声系数；</w:t>
      </w:r>
    </w:p>
    <w:p w14:paraId="247330B7">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r—声源到靠近围护结构某点处的距离，m。</w:t>
      </w:r>
    </w:p>
    <w:p w14:paraId="5301C73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所有室内声源在围护结构处产生的i倍频带叠加声压级：</w:t>
      </w:r>
    </w:p>
    <w:p w14:paraId="0640F880">
      <w:pPr>
        <w:ind w:firstLine="0" w:firstLineChars="0"/>
        <w:jc w:val="center"/>
        <w:rPr>
          <w:rFonts w:ascii="Times New Roman" w:hAnsi="Times New Roman" w:eastAsia="宋体" w:cs="Times New Roman"/>
          <w:color w:val="auto"/>
        </w:rPr>
      </w:pPr>
      <w:r>
        <w:rPr>
          <w:rFonts w:ascii="Times New Roman" w:hAnsi="Times New Roman" w:eastAsia="宋体" w:cs="Times New Roman"/>
          <w:color w:val="auto"/>
          <w:position w:val="-34"/>
          <w:szCs w:val="24"/>
        </w:rPr>
        <w:object>
          <v:shape id="_x0000_i1029" o:spt="75" type="#_x0000_t75" style="height:43pt;width:142.95pt;" o:ole="t" filled="f" o:preferrelative="t" stroked="f" coordsize="21600,21600">
            <v:path/>
            <v:fill on="f" focussize="0,0"/>
            <v:stroke on="f" joinstyle="miter"/>
            <v:imagedata r:id="rId105" o:title=""/>
            <o:lock v:ext="edit" aspectratio="t"/>
            <w10:wrap type="none"/>
            <w10:anchorlock/>
          </v:shape>
          <o:OLEObject Type="Embed" ProgID="Equation.3" ShapeID="_x0000_i1029" DrawAspect="Content" ObjectID="_1468075729" r:id="rId104">
            <o:LockedField>false</o:LockedField>
          </o:OLEObject>
        </w:object>
      </w:r>
    </w:p>
    <w:p w14:paraId="088B97A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式中：L</w:t>
      </w:r>
      <w:r>
        <w:rPr>
          <w:rFonts w:ascii="Times New Roman" w:hAnsi="Times New Roman" w:eastAsia="宋体" w:cs="Times New Roman"/>
          <w:color w:val="auto"/>
          <w:vertAlign w:val="subscript"/>
        </w:rPr>
        <w:t>p1i(T)</w:t>
      </w:r>
      <w:r>
        <w:rPr>
          <w:rFonts w:ascii="Times New Roman" w:hAnsi="Times New Roman" w:eastAsia="宋体" w:cs="Times New Roman"/>
          <w:color w:val="auto"/>
        </w:rPr>
        <w:t>—靠近围护结构处室内N个声源i倍频带的叠加声压级，dB；</w:t>
      </w:r>
    </w:p>
    <w:p w14:paraId="3934E20D">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L</w:t>
      </w:r>
      <w:r>
        <w:rPr>
          <w:rFonts w:ascii="Times New Roman" w:hAnsi="Times New Roman" w:eastAsia="宋体" w:cs="Times New Roman"/>
          <w:color w:val="auto"/>
          <w:vertAlign w:val="subscript"/>
        </w:rPr>
        <w:t>p1ij</w:t>
      </w:r>
      <w:r>
        <w:rPr>
          <w:rFonts w:ascii="Times New Roman" w:hAnsi="Times New Roman" w:eastAsia="宋体" w:cs="Times New Roman"/>
          <w:color w:val="auto"/>
        </w:rPr>
        <w:t>—室内j声源i倍频带的声压级，dB；</w:t>
      </w:r>
    </w:p>
    <w:p w14:paraId="335E9F75">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N—室内声源总数。</w:t>
      </w:r>
    </w:p>
    <w:p w14:paraId="17588BE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无指向性点声源几何发散衰减的基本公式是：</w:t>
      </w:r>
    </w:p>
    <w:p w14:paraId="076D99E4">
      <w:pPr>
        <w:ind w:firstLine="0" w:firstLineChars="0"/>
        <w:jc w:val="center"/>
        <w:rPr>
          <w:rFonts w:ascii="Times New Roman" w:hAnsi="Times New Roman" w:eastAsia="宋体" w:cs="Times New Roman"/>
          <w:color w:val="auto"/>
        </w:rPr>
      </w:pPr>
      <w:r>
        <w:rPr>
          <w:rFonts w:ascii="Times New Roman" w:hAnsi="Times New Roman" w:eastAsia="宋体" w:cs="Times New Roman"/>
          <w:color w:val="auto"/>
          <w:position w:val="-30"/>
          <w:szCs w:val="24"/>
        </w:rPr>
        <w:object>
          <v:shape id="_x0000_i1030" o:spt="75" type="#_x0000_t75" style="height:37pt;width:131.05pt;" o:ole="t" filled="f" o:preferrelative="t" stroked="f" coordsize="21600,21600">
            <v:path/>
            <v:fill on="f" focussize="0,0"/>
            <v:stroke on="f" joinstyle="miter"/>
            <v:imagedata r:id="rId107" o:title=""/>
            <o:lock v:ext="edit" aspectratio="t"/>
            <w10:wrap type="none"/>
            <w10:anchorlock/>
          </v:shape>
          <o:OLEObject Type="Embed" ProgID="Equation.3" ShapeID="_x0000_i1030" DrawAspect="Content" ObjectID="_1468075730" r:id="rId106">
            <o:LockedField>false</o:LockedField>
          </o:OLEObject>
        </w:object>
      </w:r>
    </w:p>
    <w:p w14:paraId="5C5DE3E4">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式中：Lp(r)—预测点处声压级，dB；</w:t>
      </w:r>
    </w:p>
    <w:p w14:paraId="2B9199C7">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Lp(r0)—参考位置r0处的声压级，dB；</w:t>
      </w:r>
    </w:p>
    <w:p w14:paraId="7A26AC61">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r—预测点距声源的距离；</w:t>
      </w:r>
    </w:p>
    <w:p w14:paraId="0D2D8BC8">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r0—参考位置距声源的距离，m。</w:t>
      </w:r>
    </w:p>
    <w:p w14:paraId="54A71B65">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建设项目声源在预测点产生的等效声级贡献值(Leqg)计算公式：</w:t>
      </w:r>
    </w:p>
    <w:p w14:paraId="44074586">
      <w:pPr>
        <w:ind w:firstLine="0" w:firstLineChars="0"/>
        <w:jc w:val="center"/>
        <w:rPr>
          <w:rFonts w:ascii="Times New Roman" w:hAnsi="Times New Roman" w:eastAsia="宋体" w:cs="Times New Roman"/>
          <w:color w:val="auto"/>
        </w:rPr>
      </w:pPr>
      <w:r>
        <w:rPr>
          <w:rFonts w:ascii="Times New Roman" w:hAnsi="Times New Roman" w:eastAsia="宋体" w:cs="Times New Roman"/>
          <w:color w:val="auto"/>
          <w:position w:val="-30"/>
          <w:szCs w:val="24"/>
        </w:rPr>
        <w:object>
          <v:shape id="_x0000_i1031" o:spt="75" type="#_x0000_t75" style="height:39pt;width:143.45pt;" o:ole="t" filled="f" o:preferrelative="t" stroked="f" coordsize="21600,21600">
            <v:path/>
            <v:fill on="f" focussize="0,0"/>
            <v:stroke on="f" joinstyle="miter"/>
            <v:imagedata r:id="rId109" o:title=""/>
            <o:lock v:ext="edit" aspectratio="t"/>
            <w10:wrap type="none"/>
            <w10:anchorlock/>
          </v:shape>
          <o:OLEObject Type="Embed" ProgID="Equation.3" ShapeID="_x0000_i1031" DrawAspect="Content" ObjectID="_1468075731" r:id="rId108">
            <o:LockedField>false</o:LockedField>
          </o:OLEObject>
        </w:object>
      </w:r>
    </w:p>
    <w:p w14:paraId="235F6FD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式中：Leqg—建设项目声源在预测点的等效声级贡献值，dB(A)；</w:t>
      </w:r>
    </w:p>
    <w:p w14:paraId="35C79160">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LAi—i声源在预测点产生的A声级，dB(A)；</w:t>
      </w:r>
    </w:p>
    <w:p w14:paraId="126E1017">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T—预测计算的时间段，s；</w:t>
      </w:r>
    </w:p>
    <w:p w14:paraId="332D81EB">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ti—i声源在T时段内的运行时间，s。</w:t>
      </w:r>
    </w:p>
    <w:p w14:paraId="7D37FD3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预测点的预测等效声级(Leq)计算公式：</w:t>
      </w:r>
    </w:p>
    <w:p w14:paraId="6559D6EB">
      <w:pPr>
        <w:ind w:firstLine="0" w:firstLineChars="0"/>
        <w:jc w:val="center"/>
        <w:rPr>
          <w:rFonts w:ascii="Times New Roman" w:hAnsi="Times New Roman" w:eastAsia="宋体" w:cs="Times New Roman"/>
          <w:color w:val="auto"/>
        </w:rPr>
      </w:pPr>
      <w:r>
        <w:rPr>
          <w:rFonts w:ascii="Times New Roman" w:hAnsi="Times New Roman" w:eastAsia="宋体" w:cs="Times New Roman"/>
          <w:color w:val="auto"/>
          <w:position w:val="-10"/>
          <w:szCs w:val="24"/>
        </w:rPr>
        <w:object>
          <v:shape id="_x0000_i1032" o:spt="75" type="#_x0000_t75" style="height:24pt;width:184.4pt;" o:ole="t" filled="f" o:preferrelative="t" stroked="f" coordsize="21600,21600">
            <v:path/>
            <v:fill on="f" focussize="0,0"/>
            <v:stroke on="f" joinstyle="miter"/>
            <v:imagedata r:id="rId111" o:title=""/>
            <o:lock v:ext="edit" aspectratio="t"/>
            <w10:wrap type="none"/>
            <w10:anchorlock/>
          </v:shape>
          <o:OLEObject Type="Embed" ProgID="Equation.3" ShapeID="_x0000_i1032" DrawAspect="Content" ObjectID="_1468075732" r:id="rId110">
            <o:LockedField>false</o:LockedField>
          </o:OLEObject>
        </w:object>
      </w:r>
    </w:p>
    <w:p w14:paraId="099763C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式中：Leqg—建设项目声源在预测点的等效声级贡献值，dB(A)；</w:t>
      </w:r>
    </w:p>
    <w:p w14:paraId="54A6B795">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Leqb—预测点的背景值，dB(A)。</w:t>
      </w:r>
    </w:p>
    <w:p w14:paraId="15ED5601">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（5）预测点及其参数</w:t>
      </w:r>
    </w:p>
    <w:bookmarkEnd w:id="433"/>
    <w:bookmarkEnd w:id="434"/>
    <w:p w14:paraId="07DEF17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rPr>
        <w:t>本项目噪声预测点为厂区四周厂界及评价范围内的敏感点，相关参数见表6.2-</w:t>
      </w:r>
      <w:r>
        <w:rPr>
          <w:rFonts w:hint="eastAsia" w:ascii="Times New Roman" w:hAnsi="Times New Roman" w:eastAsia="宋体" w:cs="Times New Roman"/>
          <w:color w:val="auto"/>
        </w:rPr>
        <w:t>4</w:t>
      </w:r>
      <w:r>
        <w:rPr>
          <w:rFonts w:hint="eastAsia" w:ascii="Times New Roman" w:hAnsi="Times New Roman" w:eastAsia="宋体" w:cs="Times New Roman"/>
          <w:color w:val="auto"/>
          <w:lang w:val="en-US" w:eastAsia="zh-CN"/>
        </w:rPr>
        <w:t>2</w:t>
      </w:r>
      <w:r>
        <w:rPr>
          <w:rFonts w:ascii="Times New Roman" w:hAnsi="Times New Roman" w:eastAsia="宋体" w:cs="Times New Roman"/>
          <w:color w:val="auto"/>
          <w:kern w:val="0"/>
        </w:rPr>
        <w:t>。</w:t>
      </w:r>
    </w:p>
    <w:p w14:paraId="08476B6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4</w:t>
      </w:r>
      <w:r>
        <w:rPr>
          <w:rFonts w:hint="eastAsia" w:ascii="Times New Roman" w:hAnsi="Times New Roman" w:eastAsia="宋体" w:cs="Times New Roman"/>
          <w:b/>
          <w:bCs/>
          <w:color w:val="auto"/>
          <w:sz w:val="24"/>
          <w:szCs w:val="24"/>
          <w:lang w:val="en-US" w:eastAsia="zh-CN"/>
        </w:rPr>
        <w:t>2</w:t>
      </w:r>
      <w:r>
        <w:rPr>
          <w:rFonts w:hint="default" w:ascii="Times New Roman" w:hAnsi="Times New Roman" w:eastAsia="宋体" w:cs="Times New Roman"/>
          <w:b/>
          <w:bCs/>
          <w:color w:val="auto"/>
          <w:sz w:val="24"/>
          <w:szCs w:val="24"/>
          <w:lang w:eastAsia="zh-CN"/>
        </w:rPr>
        <w:t xml:space="preserve">  厂界噪声预测点及声环境保护目标预测点一览表</w:t>
      </w:r>
    </w:p>
    <w:tbl>
      <w:tblPr>
        <w:tblStyle w:val="40"/>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20"/>
        <w:gridCol w:w="2025"/>
        <w:gridCol w:w="1917"/>
        <w:gridCol w:w="1960"/>
      </w:tblGrid>
      <w:tr w14:paraId="069786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4"/>
            <w:tcBorders>
              <w:tl2br w:val="nil"/>
              <w:tr2bl w:val="nil"/>
            </w:tcBorders>
            <w:shd w:val="clear" w:color="auto" w:fill="auto"/>
            <w:noWrap/>
            <w:vAlign w:val="center"/>
          </w:tcPr>
          <w:p w14:paraId="17886C1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厂界预测点</w:t>
            </w:r>
          </w:p>
        </w:tc>
      </w:tr>
      <w:tr w14:paraId="4EB882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37" w:type="pct"/>
            <w:tcBorders>
              <w:tl2br w:val="nil"/>
              <w:tr2bl w:val="nil"/>
            </w:tcBorders>
            <w:shd w:val="clear" w:color="auto" w:fill="auto"/>
            <w:noWrap/>
            <w:vAlign w:val="center"/>
          </w:tcPr>
          <w:p w14:paraId="76B523D1">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序号</w:t>
            </w:r>
          </w:p>
        </w:tc>
        <w:tc>
          <w:tcPr>
            <w:tcW w:w="1188" w:type="pct"/>
            <w:tcBorders>
              <w:tl2br w:val="nil"/>
              <w:tr2bl w:val="nil"/>
            </w:tcBorders>
            <w:shd w:val="clear" w:color="auto" w:fill="auto"/>
            <w:noWrap/>
            <w:vAlign w:val="center"/>
          </w:tcPr>
          <w:p w14:paraId="5C1C1851">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坐标X（m）</w:t>
            </w:r>
          </w:p>
        </w:tc>
        <w:tc>
          <w:tcPr>
            <w:tcW w:w="1125" w:type="pct"/>
            <w:tcBorders>
              <w:tl2br w:val="nil"/>
              <w:tr2bl w:val="nil"/>
            </w:tcBorders>
            <w:shd w:val="clear" w:color="auto" w:fill="auto"/>
            <w:noWrap/>
            <w:vAlign w:val="center"/>
          </w:tcPr>
          <w:p w14:paraId="7D2A052A">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坐标Y（m）</w:t>
            </w:r>
          </w:p>
        </w:tc>
        <w:tc>
          <w:tcPr>
            <w:tcW w:w="1148" w:type="pct"/>
            <w:tcBorders>
              <w:tl2br w:val="nil"/>
              <w:tr2bl w:val="nil"/>
            </w:tcBorders>
            <w:shd w:val="clear" w:color="auto" w:fill="auto"/>
            <w:noWrap/>
            <w:vAlign w:val="center"/>
          </w:tcPr>
          <w:p w14:paraId="1E63413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高度（m）</w:t>
            </w:r>
          </w:p>
        </w:tc>
      </w:tr>
      <w:tr w14:paraId="4175E1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37" w:type="pct"/>
            <w:tcBorders>
              <w:tl2br w:val="nil"/>
              <w:tr2bl w:val="nil"/>
            </w:tcBorders>
            <w:shd w:val="clear" w:color="auto" w:fill="auto"/>
            <w:noWrap/>
            <w:vAlign w:val="center"/>
          </w:tcPr>
          <w:p w14:paraId="6A9194A0">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厂界</w:t>
            </w:r>
            <w:r>
              <w:rPr>
                <w:rFonts w:hint="eastAsia" w:eastAsia="宋体" w:cs="Times New Roman"/>
                <w:color w:val="auto"/>
                <w:sz w:val="21"/>
                <w:szCs w:val="21"/>
                <w:lang w:val="en-US" w:eastAsia="zh-CN"/>
              </w:rPr>
              <w:t>北</w:t>
            </w:r>
            <w:r>
              <w:rPr>
                <w:rFonts w:eastAsia="宋体" w:cs="Times New Roman"/>
                <w:color w:val="auto"/>
                <w:sz w:val="21"/>
                <w:szCs w:val="21"/>
              </w:rPr>
              <w:t>侧1m处</w:t>
            </w:r>
          </w:p>
        </w:tc>
        <w:tc>
          <w:tcPr>
            <w:tcW w:w="1188" w:type="pct"/>
            <w:tcBorders>
              <w:tl2br w:val="nil"/>
              <w:tr2bl w:val="nil"/>
            </w:tcBorders>
            <w:shd w:val="clear" w:color="auto" w:fill="auto"/>
            <w:noWrap/>
            <w:vAlign w:val="center"/>
          </w:tcPr>
          <w:p w14:paraId="7B1F599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132.68</w:t>
            </w:r>
          </w:p>
        </w:tc>
        <w:tc>
          <w:tcPr>
            <w:tcW w:w="1125" w:type="pct"/>
            <w:tcBorders>
              <w:tl2br w:val="nil"/>
              <w:tr2bl w:val="nil"/>
            </w:tcBorders>
            <w:shd w:val="clear" w:color="auto" w:fill="auto"/>
            <w:noWrap/>
            <w:vAlign w:val="center"/>
          </w:tcPr>
          <w:p w14:paraId="2BA0C430">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271.80</w:t>
            </w:r>
          </w:p>
        </w:tc>
        <w:tc>
          <w:tcPr>
            <w:tcW w:w="1148" w:type="pct"/>
            <w:tcBorders>
              <w:tl2br w:val="nil"/>
              <w:tr2bl w:val="nil"/>
            </w:tcBorders>
            <w:shd w:val="clear" w:color="auto" w:fill="auto"/>
            <w:noWrap/>
            <w:vAlign w:val="center"/>
          </w:tcPr>
          <w:p w14:paraId="3E325E3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int="eastAsia" w:eastAsia="宋体" w:cs="Times New Roman"/>
                <w:color w:val="auto"/>
                <w:sz w:val="21"/>
                <w:szCs w:val="21"/>
              </w:rPr>
              <w:t>1.2</w:t>
            </w:r>
          </w:p>
        </w:tc>
      </w:tr>
      <w:tr w14:paraId="18C01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37" w:type="pct"/>
            <w:tcBorders>
              <w:tl2br w:val="nil"/>
              <w:tr2bl w:val="nil"/>
            </w:tcBorders>
            <w:shd w:val="clear" w:color="auto" w:fill="auto"/>
            <w:noWrap/>
            <w:vAlign w:val="center"/>
          </w:tcPr>
          <w:p w14:paraId="0458BEE9">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厂界</w:t>
            </w:r>
            <w:r>
              <w:rPr>
                <w:rFonts w:hint="eastAsia" w:eastAsia="宋体" w:cs="Times New Roman"/>
                <w:color w:val="auto"/>
                <w:sz w:val="21"/>
                <w:szCs w:val="21"/>
                <w:lang w:val="en-US" w:eastAsia="zh-CN"/>
              </w:rPr>
              <w:t>南</w:t>
            </w:r>
            <w:r>
              <w:rPr>
                <w:rFonts w:eastAsia="宋体" w:cs="Times New Roman"/>
                <w:color w:val="auto"/>
                <w:sz w:val="21"/>
                <w:szCs w:val="21"/>
              </w:rPr>
              <w:t>侧1m处</w:t>
            </w:r>
          </w:p>
        </w:tc>
        <w:tc>
          <w:tcPr>
            <w:tcW w:w="1188" w:type="pct"/>
            <w:tcBorders>
              <w:tl2br w:val="nil"/>
              <w:tr2bl w:val="nil"/>
            </w:tcBorders>
            <w:shd w:val="clear" w:color="auto" w:fill="auto"/>
            <w:noWrap/>
            <w:vAlign w:val="center"/>
          </w:tcPr>
          <w:p w14:paraId="51D71FB3">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196.01</w:t>
            </w:r>
          </w:p>
        </w:tc>
        <w:tc>
          <w:tcPr>
            <w:tcW w:w="1125" w:type="pct"/>
            <w:tcBorders>
              <w:tl2br w:val="nil"/>
              <w:tr2bl w:val="nil"/>
            </w:tcBorders>
            <w:shd w:val="clear" w:color="auto" w:fill="auto"/>
            <w:noWrap/>
            <w:vAlign w:val="center"/>
          </w:tcPr>
          <w:p w14:paraId="5D0EDD87">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106.53</w:t>
            </w:r>
          </w:p>
        </w:tc>
        <w:tc>
          <w:tcPr>
            <w:tcW w:w="1148" w:type="pct"/>
            <w:tcBorders>
              <w:tl2br w:val="nil"/>
              <w:tr2bl w:val="nil"/>
            </w:tcBorders>
            <w:shd w:val="clear" w:color="auto" w:fill="auto"/>
            <w:noWrap/>
            <w:vAlign w:val="center"/>
          </w:tcPr>
          <w:p w14:paraId="73B762F3">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int="eastAsia" w:eastAsia="宋体" w:cs="Times New Roman"/>
                <w:color w:val="auto"/>
                <w:sz w:val="21"/>
                <w:szCs w:val="21"/>
              </w:rPr>
              <w:t>1.2</w:t>
            </w:r>
          </w:p>
        </w:tc>
      </w:tr>
      <w:tr w14:paraId="6D42F2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37" w:type="pct"/>
            <w:tcBorders>
              <w:tl2br w:val="nil"/>
              <w:tr2bl w:val="nil"/>
            </w:tcBorders>
            <w:shd w:val="clear" w:color="auto" w:fill="auto"/>
            <w:noWrap/>
            <w:vAlign w:val="center"/>
          </w:tcPr>
          <w:p w14:paraId="2D256517">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厂界西侧1m处</w:t>
            </w:r>
          </w:p>
        </w:tc>
        <w:tc>
          <w:tcPr>
            <w:tcW w:w="1188" w:type="pct"/>
            <w:tcBorders>
              <w:tl2br w:val="nil"/>
              <w:tr2bl w:val="nil"/>
            </w:tcBorders>
            <w:shd w:val="clear" w:color="auto" w:fill="auto"/>
            <w:noWrap/>
            <w:vAlign w:val="center"/>
          </w:tcPr>
          <w:p w14:paraId="57447AF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69.35</w:t>
            </w:r>
          </w:p>
        </w:tc>
        <w:tc>
          <w:tcPr>
            <w:tcW w:w="1125" w:type="pct"/>
            <w:tcBorders>
              <w:tl2br w:val="nil"/>
              <w:tr2bl w:val="nil"/>
            </w:tcBorders>
            <w:shd w:val="clear" w:color="auto" w:fill="auto"/>
            <w:noWrap/>
            <w:vAlign w:val="center"/>
          </w:tcPr>
          <w:p w14:paraId="60EE1A2E">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116.94</w:t>
            </w:r>
          </w:p>
        </w:tc>
        <w:tc>
          <w:tcPr>
            <w:tcW w:w="1148" w:type="pct"/>
            <w:tcBorders>
              <w:tl2br w:val="nil"/>
              <w:tr2bl w:val="nil"/>
            </w:tcBorders>
            <w:shd w:val="clear" w:color="auto" w:fill="auto"/>
            <w:noWrap/>
            <w:vAlign w:val="center"/>
          </w:tcPr>
          <w:p w14:paraId="6C944FE3">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int="eastAsia" w:eastAsia="宋体" w:cs="Times New Roman"/>
                <w:color w:val="auto"/>
                <w:sz w:val="21"/>
                <w:szCs w:val="21"/>
              </w:rPr>
              <w:t>1.2</w:t>
            </w:r>
          </w:p>
        </w:tc>
      </w:tr>
      <w:tr w14:paraId="01CD8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37" w:type="pct"/>
            <w:tcBorders>
              <w:tl2br w:val="nil"/>
              <w:tr2bl w:val="nil"/>
            </w:tcBorders>
            <w:shd w:val="clear" w:color="auto" w:fill="auto"/>
            <w:noWrap/>
            <w:vAlign w:val="center"/>
          </w:tcPr>
          <w:p w14:paraId="5EE14280">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厂界</w:t>
            </w:r>
            <w:r>
              <w:rPr>
                <w:rFonts w:hint="eastAsia" w:eastAsia="宋体" w:cs="Times New Roman"/>
                <w:color w:val="auto"/>
                <w:sz w:val="21"/>
                <w:szCs w:val="21"/>
                <w:lang w:val="en-US" w:eastAsia="zh-CN"/>
              </w:rPr>
              <w:t>东</w:t>
            </w:r>
            <w:r>
              <w:rPr>
                <w:rFonts w:eastAsia="宋体" w:cs="Times New Roman"/>
                <w:color w:val="auto"/>
                <w:sz w:val="21"/>
                <w:szCs w:val="21"/>
              </w:rPr>
              <w:t>侧1m处</w:t>
            </w:r>
          </w:p>
        </w:tc>
        <w:tc>
          <w:tcPr>
            <w:tcW w:w="1188" w:type="pct"/>
            <w:tcBorders>
              <w:tl2br w:val="nil"/>
              <w:tr2bl w:val="nil"/>
            </w:tcBorders>
            <w:shd w:val="clear" w:color="auto" w:fill="auto"/>
            <w:noWrap/>
            <w:vAlign w:val="center"/>
          </w:tcPr>
          <w:p w14:paraId="11727A9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281.46</w:t>
            </w:r>
          </w:p>
        </w:tc>
        <w:tc>
          <w:tcPr>
            <w:tcW w:w="1125" w:type="pct"/>
            <w:tcBorders>
              <w:tl2br w:val="nil"/>
              <w:tr2bl w:val="nil"/>
            </w:tcBorders>
            <w:shd w:val="clear" w:color="auto" w:fill="auto"/>
            <w:noWrap/>
            <w:vAlign w:val="center"/>
          </w:tcPr>
          <w:p w14:paraId="5C772C12">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eastAsia" w:eastAsia="宋体" w:cs="Times New Roman"/>
                <w:color w:val="auto"/>
                <w:sz w:val="21"/>
                <w:szCs w:val="21"/>
              </w:rPr>
            </w:pPr>
            <w:r>
              <w:rPr>
                <w:rFonts w:hint="eastAsia" w:eastAsia="宋体" w:cs="Times New Roman"/>
                <w:color w:val="auto"/>
                <w:sz w:val="21"/>
                <w:szCs w:val="21"/>
              </w:rPr>
              <w:t>227.55</w:t>
            </w:r>
          </w:p>
        </w:tc>
        <w:tc>
          <w:tcPr>
            <w:tcW w:w="1148" w:type="pct"/>
            <w:tcBorders>
              <w:tl2br w:val="nil"/>
              <w:tr2bl w:val="nil"/>
            </w:tcBorders>
            <w:shd w:val="clear" w:color="auto" w:fill="auto"/>
            <w:noWrap/>
            <w:vAlign w:val="center"/>
          </w:tcPr>
          <w:p w14:paraId="00D6BD60">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int="eastAsia" w:eastAsia="宋体" w:cs="Times New Roman"/>
                <w:color w:val="auto"/>
                <w:sz w:val="21"/>
                <w:szCs w:val="21"/>
              </w:rPr>
              <w:t>1.2</w:t>
            </w:r>
          </w:p>
        </w:tc>
      </w:tr>
      <w:tr w14:paraId="21C149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4"/>
            <w:tcBorders>
              <w:tl2br w:val="nil"/>
              <w:tr2bl w:val="nil"/>
            </w:tcBorders>
            <w:shd w:val="clear" w:color="auto" w:fill="auto"/>
            <w:noWrap/>
            <w:vAlign w:val="center"/>
          </w:tcPr>
          <w:p w14:paraId="7283617C">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eastAsia="宋体" w:cs="Times New Roman"/>
                <w:color w:val="auto"/>
                <w:sz w:val="21"/>
                <w:szCs w:val="21"/>
              </w:rPr>
              <w:t>声环境保护目标预测点</w:t>
            </w:r>
          </w:p>
        </w:tc>
      </w:tr>
      <w:tr w14:paraId="71B366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37" w:type="pct"/>
            <w:tcBorders>
              <w:tl2br w:val="nil"/>
              <w:tr2bl w:val="nil"/>
            </w:tcBorders>
            <w:shd w:val="clear" w:color="auto" w:fill="auto"/>
            <w:noWrap/>
            <w:vAlign w:val="center"/>
          </w:tcPr>
          <w:p w14:paraId="448B8B15">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西侧居民区</w:t>
            </w:r>
          </w:p>
        </w:tc>
        <w:tc>
          <w:tcPr>
            <w:tcW w:w="1188" w:type="pct"/>
            <w:tcBorders>
              <w:tl2br w:val="nil"/>
              <w:tr2bl w:val="nil"/>
            </w:tcBorders>
            <w:shd w:val="clear" w:color="auto" w:fill="auto"/>
            <w:noWrap/>
            <w:vAlign w:val="center"/>
          </w:tcPr>
          <w:p w14:paraId="1FD1FBE8">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int="eastAsia" w:eastAsia="宋体" w:cs="Times New Roman"/>
                <w:color w:val="auto"/>
                <w:sz w:val="21"/>
                <w:szCs w:val="21"/>
              </w:rPr>
              <w:t>66.00</w:t>
            </w:r>
          </w:p>
        </w:tc>
        <w:tc>
          <w:tcPr>
            <w:tcW w:w="1125" w:type="pct"/>
            <w:tcBorders>
              <w:tl2br w:val="nil"/>
              <w:tr2bl w:val="nil"/>
            </w:tcBorders>
            <w:shd w:val="clear" w:color="auto" w:fill="auto"/>
            <w:noWrap/>
            <w:vAlign w:val="center"/>
          </w:tcPr>
          <w:p w14:paraId="3063DA16">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eastAsia="宋体" w:cs="Times New Roman"/>
                <w:color w:val="auto"/>
                <w:sz w:val="21"/>
                <w:szCs w:val="21"/>
              </w:rPr>
            </w:pPr>
            <w:r>
              <w:rPr>
                <w:rFonts w:hint="eastAsia" w:eastAsia="宋体" w:cs="Times New Roman"/>
                <w:color w:val="auto"/>
                <w:sz w:val="21"/>
                <w:szCs w:val="21"/>
              </w:rPr>
              <w:t>213.45</w:t>
            </w:r>
          </w:p>
        </w:tc>
        <w:tc>
          <w:tcPr>
            <w:tcW w:w="1148" w:type="pct"/>
            <w:tcBorders>
              <w:tl2br w:val="nil"/>
              <w:tr2bl w:val="nil"/>
            </w:tcBorders>
            <w:shd w:val="clear" w:color="auto" w:fill="auto"/>
            <w:noWrap/>
            <w:vAlign w:val="center"/>
          </w:tcPr>
          <w:p w14:paraId="5D23E9B5">
            <w:pPr>
              <w:pStyle w:val="105"/>
              <w:keepNext w:val="0"/>
              <w:keepLines w:val="0"/>
              <w:pageBreakBefore w:val="0"/>
              <w:widowControl w:val="0"/>
              <w:kinsoku/>
              <w:wordWrap/>
              <w:overflowPunct/>
              <w:topLinePunct w:val="0"/>
              <w:bidi w:val="0"/>
              <w:adjustRightInd/>
              <w:snapToGrid/>
              <w:spacing w:line="320" w:lineRule="exact"/>
              <w:ind w:firstLine="0" w:firstLineChars="0"/>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1.2</w:t>
            </w:r>
          </w:p>
        </w:tc>
      </w:tr>
    </w:tbl>
    <w:p w14:paraId="6FF18973">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szCs w:val="24"/>
        </w:rPr>
        <w:t>（7）预测</w:t>
      </w:r>
      <w:r>
        <w:rPr>
          <w:rFonts w:ascii="Times New Roman" w:hAnsi="Times New Roman" w:eastAsia="宋体" w:cs="Times New Roman"/>
          <w:color w:val="auto"/>
        </w:rPr>
        <w:t>结果</w:t>
      </w:r>
    </w:p>
    <w:p w14:paraId="58189E89">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ascii="Times New Roman" w:hAnsi="Times New Roman" w:eastAsia="宋体" w:cs="Times New Roman"/>
          <w:color w:val="auto"/>
        </w:rPr>
        <w:t>噪声预测采用网格布点法，建立直角坐标系，以10m×10m间距为步长，将声环境贡献值与现状值进行叠加。声环境质量现状监测值已包含现有工程噪声影响值。因此本次噪声预测评价以本项目新增噪声源叠加声环境质量现状监测值进行声环境影响预测评价。本项目声环境保护目标噪声预测结果见表6.2-4</w:t>
      </w:r>
      <w:r>
        <w:rPr>
          <w:rFonts w:hint="eastAsia" w:ascii="Times New Roman" w:hAnsi="Times New Roman" w:eastAsia="宋体" w:cs="Times New Roman"/>
          <w:color w:val="auto"/>
          <w:lang w:val="en-US" w:eastAsia="zh-CN"/>
        </w:rPr>
        <w:t>3</w:t>
      </w:r>
      <w:r>
        <w:rPr>
          <w:rFonts w:ascii="Times New Roman" w:hAnsi="Times New Roman" w:eastAsia="宋体" w:cs="Times New Roman"/>
          <w:color w:val="auto"/>
        </w:rPr>
        <w:t>，厂界噪声预测结果见表6.2-</w:t>
      </w:r>
      <w:r>
        <w:rPr>
          <w:rFonts w:hint="eastAsia" w:ascii="Times New Roman" w:hAnsi="Times New Roman" w:eastAsia="宋体" w:cs="Times New Roman"/>
          <w:color w:val="auto"/>
        </w:rPr>
        <w:t>4</w:t>
      </w:r>
      <w:r>
        <w:rPr>
          <w:rFonts w:hint="eastAsia" w:ascii="Times New Roman" w:hAnsi="Times New Roman" w:eastAsia="宋体" w:cs="Times New Roman"/>
          <w:color w:val="auto"/>
          <w:lang w:val="en-US" w:eastAsia="zh-CN"/>
        </w:rPr>
        <w:t>4</w:t>
      </w:r>
    </w:p>
    <w:p w14:paraId="572C545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w:t>
      </w:r>
      <w:r>
        <w:rPr>
          <w:rFonts w:hint="eastAsia" w:ascii="Times New Roman" w:hAnsi="Times New Roman" w:eastAsia="宋体" w:cs="Times New Roman"/>
          <w:b/>
          <w:bCs/>
          <w:color w:val="auto"/>
          <w:sz w:val="24"/>
          <w:szCs w:val="24"/>
          <w:lang w:eastAsia="zh-CN"/>
        </w:rPr>
        <w:t>4</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eastAsia="zh-CN"/>
        </w:rPr>
        <w:t xml:space="preserve">  工业企业声环境保护目标噪声预测结果与达标分析表</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2397"/>
        <w:gridCol w:w="840"/>
        <w:gridCol w:w="843"/>
        <w:gridCol w:w="868"/>
        <w:gridCol w:w="905"/>
        <w:gridCol w:w="599"/>
        <w:gridCol w:w="594"/>
        <w:gridCol w:w="759"/>
        <w:gridCol w:w="781"/>
        <w:gridCol w:w="852"/>
        <w:gridCol w:w="966"/>
        <w:gridCol w:w="917"/>
        <w:gridCol w:w="827"/>
        <w:gridCol w:w="827"/>
        <w:gridCol w:w="764"/>
      </w:tblGrid>
      <w:tr w14:paraId="7C7C3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 w:type="pct"/>
            <w:vMerge w:val="restart"/>
            <w:tcBorders>
              <w:tl2br w:val="nil"/>
              <w:tr2bl w:val="nil"/>
            </w:tcBorders>
            <w:vAlign w:val="center"/>
          </w:tcPr>
          <w:p w14:paraId="606ACAE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序号</w:t>
            </w:r>
          </w:p>
        </w:tc>
        <w:tc>
          <w:tcPr>
            <w:tcW w:w="849" w:type="pct"/>
            <w:vMerge w:val="restart"/>
            <w:tcBorders>
              <w:tl2br w:val="nil"/>
              <w:tr2bl w:val="nil"/>
            </w:tcBorders>
            <w:vAlign w:val="center"/>
          </w:tcPr>
          <w:p w14:paraId="24405AAE">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声环境保护目标名称</w:t>
            </w:r>
          </w:p>
        </w:tc>
        <w:tc>
          <w:tcPr>
            <w:tcW w:w="601" w:type="pct"/>
            <w:gridSpan w:val="2"/>
            <w:tcBorders>
              <w:tl2br w:val="nil"/>
              <w:tr2bl w:val="nil"/>
            </w:tcBorders>
            <w:vAlign w:val="center"/>
          </w:tcPr>
          <w:p w14:paraId="022FCCE5">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噪声背景值/dB(A)</w:t>
            </w:r>
          </w:p>
        </w:tc>
        <w:tc>
          <w:tcPr>
            <w:tcW w:w="633" w:type="pct"/>
            <w:gridSpan w:val="2"/>
            <w:tcBorders>
              <w:tl2br w:val="nil"/>
              <w:tr2bl w:val="nil"/>
            </w:tcBorders>
            <w:vAlign w:val="center"/>
          </w:tcPr>
          <w:p w14:paraId="3C82DE7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噪声现状值/dB(A)</w:t>
            </w:r>
          </w:p>
        </w:tc>
        <w:tc>
          <w:tcPr>
            <w:tcW w:w="428" w:type="pct"/>
            <w:gridSpan w:val="2"/>
            <w:tcBorders>
              <w:tl2br w:val="nil"/>
              <w:tr2bl w:val="nil"/>
            </w:tcBorders>
            <w:vAlign w:val="center"/>
          </w:tcPr>
          <w:p w14:paraId="280F8BA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噪声标准/dB(A)</w:t>
            </w:r>
          </w:p>
        </w:tc>
        <w:tc>
          <w:tcPr>
            <w:tcW w:w="550" w:type="pct"/>
            <w:gridSpan w:val="2"/>
            <w:tcBorders>
              <w:tl2br w:val="nil"/>
              <w:tr2bl w:val="nil"/>
            </w:tcBorders>
            <w:vAlign w:val="center"/>
          </w:tcPr>
          <w:p w14:paraId="0BA4D744">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噪声贡献值/dB(A)</w:t>
            </w:r>
          </w:p>
        </w:tc>
        <w:tc>
          <w:tcPr>
            <w:tcW w:w="648" w:type="pct"/>
            <w:gridSpan w:val="2"/>
            <w:tcBorders>
              <w:tl2br w:val="nil"/>
              <w:tr2bl w:val="nil"/>
            </w:tcBorders>
            <w:vAlign w:val="center"/>
          </w:tcPr>
          <w:p w14:paraId="15D1D31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噪声预测值/dB(A)</w:t>
            </w:r>
          </w:p>
        </w:tc>
        <w:tc>
          <w:tcPr>
            <w:tcW w:w="622" w:type="pct"/>
            <w:gridSpan w:val="2"/>
            <w:tcBorders>
              <w:tl2br w:val="nil"/>
              <w:tr2bl w:val="nil"/>
            </w:tcBorders>
            <w:vAlign w:val="center"/>
          </w:tcPr>
          <w:p w14:paraId="4790E0BB">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较现状增量/dB(A)</w:t>
            </w:r>
          </w:p>
        </w:tc>
        <w:tc>
          <w:tcPr>
            <w:tcW w:w="568" w:type="pct"/>
            <w:gridSpan w:val="2"/>
            <w:tcBorders>
              <w:tl2br w:val="nil"/>
              <w:tr2bl w:val="nil"/>
            </w:tcBorders>
            <w:vAlign w:val="center"/>
          </w:tcPr>
          <w:p w14:paraId="48CA9808">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超标和达标情况</w:t>
            </w:r>
          </w:p>
        </w:tc>
      </w:tr>
      <w:tr w14:paraId="4D559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 w:type="pct"/>
            <w:vMerge w:val="continue"/>
            <w:tcBorders>
              <w:tl2br w:val="nil"/>
              <w:tr2bl w:val="nil"/>
            </w:tcBorders>
            <w:vAlign w:val="center"/>
          </w:tcPr>
          <w:p w14:paraId="6F8E1186">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p>
        </w:tc>
        <w:tc>
          <w:tcPr>
            <w:tcW w:w="849" w:type="pct"/>
            <w:vMerge w:val="continue"/>
            <w:tcBorders>
              <w:tl2br w:val="nil"/>
              <w:tr2bl w:val="nil"/>
            </w:tcBorders>
            <w:vAlign w:val="center"/>
          </w:tcPr>
          <w:p w14:paraId="4A418F52">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p>
        </w:tc>
        <w:tc>
          <w:tcPr>
            <w:tcW w:w="300" w:type="pct"/>
            <w:tcBorders>
              <w:tl2br w:val="nil"/>
              <w:tr2bl w:val="nil"/>
            </w:tcBorders>
            <w:vAlign w:val="center"/>
          </w:tcPr>
          <w:p w14:paraId="1C09D9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昼间</w:t>
            </w:r>
          </w:p>
        </w:tc>
        <w:tc>
          <w:tcPr>
            <w:tcW w:w="301" w:type="pct"/>
            <w:tcBorders>
              <w:tl2br w:val="nil"/>
              <w:tr2bl w:val="nil"/>
            </w:tcBorders>
            <w:vAlign w:val="center"/>
          </w:tcPr>
          <w:p w14:paraId="3D3F18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夜间</w:t>
            </w:r>
          </w:p>
        </w:tc>
        <w:tc>
          <w:tcPr>
            <w:tcW w:w="310" w:type="pct"/>
            <w:tcBorders>
              <w:tl2br w:val="nil"/>
              <w:tr2bl w:val="nil"/>
            </w:tcBorders>
            <w:vAlign w:val="center"/>
          </w:tcPr>
          <w:p w14:paraId="400522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昼间</w:t>
            </w:r>
          </w:p>
        </w:tc>
        <w:tc>
          <w:tcPr>
            <w:tcW w:w="322" w:type="pct"/>
            <w:tcBorders>
              <w:tl2br w:val="nil"/>
              <w:tr2bl w:val="nil"/>
            </w:tcBorders>
            <w:vAlign w:val="center"/>
          </w:tcPr>
          <w:p w14:paraId="411E9F4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夜间</w:t>
            </w:r>
          </w:p>
        </w:tc>
        <w:tc>
          <w:tcPr>
            <w:tcW w:w="215" w:type="pct"/>
            <w:tcBorders>
              <w:tl2br w:val="nil"/>
              <w:tr2bl w:val="nil"/>
            </w:tcBorders>
            <w:vAlign w:val="center"/>
          </w:tcPr>
          <w:p w14:paraId="5776E1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昼间</w:t>
            </w:r>
          </w:p>
        </w:tc>
        <w:tc>
          <w:tcPr>
            <w:tcW w:w="213" w:type="pct"/>
            <w:tcBorders>
              <w:tl2br w:val="nil"/>
              <w:tr2bl w:val="nil"/>
            </w:tcBorders>
            <w:vAlign w:val="center"/>
          </w:tcPr>
          <w:p w14:paraId="5BE206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夜间</w:t>
            </w:r>
          </w:p>
        </w:tc>
        <w:tc>
          <w:tcPr>
            <w:tcW w:w="271" w:type="pct"/>
            <w:tcBorders>
              <w:tl2br w:val="nil"/>
              <w:tr2bl w:val="nil"/>
            </w:tcBorders>
            <w:vAlign w:val="center"/>
          </w:tcPr>
          <w:p w14:paraId="351EDC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昼间</w:t>
            </w:r>
          </w:p>
        </w:tc>
        <w:tc>
          <w:tcPr>
            <w:tcW w:w="279" w:type="pct"/>
            <w:tcBorders>
              <w:tl2br w:val="nil"/>
              <w:tr2bl w:val="nil"/>
            </w:tcBorders>
            <w:vAlign w:val="center"/>
          </w:tcPr>
          <w:p w14:paraId="36105E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夜间</w:t>
            </w:r>
          </w:p>
        </w:tc>
        <w:tc>
          <w:tcPr>
            <w:tcW w:w="304" w:type="pct"/>
            <w:tcBorders>
              <w:tl2br w:val="nil"/>
              <w:tr2bl w:val="nil"/>
            </w:tcBorders>
            <w:vAlign w:val="center"/>
          </w:tcPr>
          <w:p w14:paraId="25FCD7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昼间</w:t>
            </w:r>
          </w:p>
        </w:tc>
        <w:tc>
          <w:tcPr>
            <w:tcW w:w="344" w:type="pct"/>
            <w:tcBorders>
              <w:tl2br w:val="nil"/>
              <w:tr2bl w:val="nil"/>
            </w:tcBorders>
            <w:vAlign w:val="center"/>
          </w:tcPr>
          <w:p w14:paraId="2408A0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夜间</w:t>
            </w:r>
          </w:p>
        </w:tc>
        <w:tc>
          <w:tcPr>
            <w:tcW w:w="327" w:type="pct"/>
            <w:tcBorders>
              <w:tl2br w:val="nil"/>
              <w:tr2bl w:val="nil"/>
            </w:tcBorders>
            <w:vAlign w:val="center"/>
          </w:tcPr>
          <w:p w14:paraId="0D0B15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昼间</w:t>
            </w:r>
          </w:p>
        </w:tc>
        <w:tc>
          <w:tcPr>
            <w:tcW w:w="295" w:type="pct"/>
            <w:tcBorders>
              <w:tl2br w:val="nil"/>
              <w:tr2bl w:val="nil"/>
            </w:tcBorders>
            <w:vAlign w:val="center"/>
          </w:tcPr>
          <w:p w14:paraId="139C67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夜间</w:t>
            </w:r>
          </w:p>
        </w:tc>
        <w:tc>
          <w:tcPr>
            <w:tcW w:w="295" w:type="pct"/>
            <w:tcBorders>
              <w:tl2br w:val="nil"/>
              <w:tr2bl w:val="nil"/>
            </w:tcBorders>
            <w:vAlign w:val="center"/>
          </w:tcPr>
          <w:p w14:paraId="3EB79E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昼间</w:t>
            </w:r>
          </w:p>
        </w:tc>
        <w:tc>
          <w:tcPr>
            <w:tcW w:w="272" w:type="pct"/>
            <w:tcBorders>
              <w:tl2br w:val="nil"/>
              <w:tr2bl w:val="nil"/>
            </w:tcBorders>
            <w:vAlign w:val="center"/>
          </w:tcPr>
          <w:p w14:paraId="76CC53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夜间</w:t>
            </w:r>
          </w:p>
        </w:tc>
      </w:tr>
      <w:tr w14:paraId="745F9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 w:type="pct"/>
            <w:tcBorders>
              <w:tl2br w:val="nil"/>
              <w:tr2bl w:val="nil"/>
            </w:tcBorders>
            <w:vAlign w:val="center"/>
          </w:tcPr>
          <w:p w14:paraId="5789474C">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1</w:t>
            </w:r>
          </w:p>
        </w:tc>
        <w:tc>
          <w:tcPr>
            <w:tcW w:w="849" w:type="pct"/>
            <w:tcBorders>
              <w:tl2br w:val="nil"/>
              <w:tr2bl w:val="nil"/>
            </w:tcBorders>
            <w:vAlign w:val="center"/>
          </w:tcPr>
          <w:p w14:paraId="6E893597">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hAnsi="Times New Roman" w:eastAsia="宋体"/>
                <w:bCs/>
                <w:color w:val="auto"/>
                <w:szCs w:val="21"/>
                <w:lang w:val="en-US" w:eastAsia="zh-CN"/>
              </w:rPr>
            </w:pPr>
            <w:r>
              <w:rPr>
                <w:rFonts w:hint="eastAsia" w:hAnsi="Times New Roman"/>
                <w:bCs/>
                <w:color w:val="auto"/>
                <w:szCs w:val="21"/>
                <w:lang w:val="en-US" w:eastAsia="zh-CN"/>
              </w:rPr>
              <w:t>西侧居民区</w:t>
            </w:r>
          </w:p>
        </w:tc>
        <w:tc>
          <w:tcPr>
            <w:tcW w:w="300" w:type="pct"/>
            <w:tcBorders>
              <w:tl2br w:val="nil"/>
              <w:tr2bl w:val="nil"/>
            </w:tcBorders>
            <w:vAlign w:val="center"/>
          </w:tcPr>
          <w:p w14:paraId="330D4FFF">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ascii="Times New Roman" w:hAnsi="Times New Roman" w:eastAsia="宋体" w:cs="Times New Roman"/>
                <w:bCs/>
                <w:color w:val="auto"/>
                <w:sz w:val="21"/>
                <w:szCs w:val="21"/>
              </w:rPr>
              <w:t>5</w:t>
            </w:r>
            <w:r>
              <w:rPr>
                <w:rFonts w:hint="eastAsia" w:ascii="Times New Roman" w:hAnsi="Times New Roman" w:eastAsia="宋体" w:cs="Times New Roman"/>
                <w:bCs/>
                <w:color w:val="auto"/>
                <w:sz w:val="21"/>
                <w:szCs w:val="21"/>
                <w:lang w:val="en-US" w:eastAsia="zh-CN"/>
              </w:rPr>
              <w:t>3</w:t>
            </w:r>
          </w:p>
        </w:tc>
        <w:tc>
          <w:tcPr>
            <w:tcW w:w="301" w:type="pct"/>
            <w:tcBorders>
              <w:tl2br w:val="nil"/>
              <w:tr2bl w:val="nil"/>
            </w:tcBorders>
            <w:vAlign w:val="center"/>
          </w:tcPr>
          <w:p w14:paraId="25894C47">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44</w:t>
            </w:r>
          </w:p>
        </w:tc>
        <w:tc>
          <w:tcPr>
            <w:tcW w:w="310" w:type="pct"/>
            <w:tcBorders>
              <w:tl2br w:val="nil"/>
              <w:tr2bl w:val="nil"/>
            </w:tcBorders>
            <w:vAlign w:val="center"/>
          </w:tcPr>
          <w:p w14:paraId="6B9DCA11">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5</w:t>
            </w:r>
            <w:r>
              <w:rPr>
                <w:rFonts w:hint="eastAsia" w:ascii="Times New Roman" w:hAnsi="Times New Roman" w:eastAsia="宋体" w:cs="Times New Roman"/>
                <w:bCs/>
                <w:color w:val="auto"/>
                <w:sz w:val="21"/>
                <w:szCs w:val="21"/>
                <w:lang w:val="en-US" w:eastAsia="zh-CN"/>
              </w:rPr>
              <w:t>3</w:t>
            </w:r>
          </w:p>
        </w:tc>
        <w:tc>
          <w:tcPr>
            <w:tcW w:w="322" w:type="pct"/>
            <w:tcBorders>
              <w:tl2br w:val="nil"/>
              <w:tr2bl w:val="nil"/>
            </w:tcBorders>
            <w:vAlign w:val="center"/>
          </w:tcPr>
          <w:p w14:paraId="01B6537C">
            <w:pPr>
              <w:keepNext w:val="0"/>
              <w:keepLines w:val="0"/>
              <w:pageBreakBefore w:val="0"/>
              <w:widowControl w:val="0"/>
              <w:kinsoku/>
              <w:wordWrap/>
              <w:overflowPunct/>
              <w:topLinePunct w:val="0"/>
              <w:autoSpaceDE/>
              <w:autoSpaceDN/>
              <w:bidi w:val="0"/>
              <w:adjustRightInd/>
              <w:snapToGrid/>
              <w:spacing w:line="320" w:lineRule="exact"/>
              <w:ind w:firstLine="0" w:firstLineChars="0"/>
              <w:jc w:val="center"/>
              <w:textAlignment w:val="auto"/>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44</w:t>
            </w:r>
          </w:p>
        </w:tc>
        <w:tc>
          <w:tcPr>
            <w:tcW w:w="215" w:type="pct"/>
            <w:tcBorders>
              <w:tl2br w:val="nil"/>
              <w:tr2bl w:val="nil"/>
            </w:tcBorders>
            <w:vAlign w:val="center"/>
          </w:tcPr>
          <w:p w14:paraId="641FCADF">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eastAsia="宋体" w:cs="Times New Roman"/>
                <w:bCs/>
                <w:color w:val="auto"/>
                <w:sz w:val="21"/>
                <w:szCs w:val="21"/>
              </w:rPr>
            </w:pPr>
            <w:r>
              <w:rPr>
                <w:rFonts w:hint="eastAsia" w:hAnsi="Times New Roman"/>
                <w:bCs/>
                <w:color w:val="auto"/>
                <w:szCs w:val="21"/>
                <w:lang w:val="en-US" w:eastAsia="zh-CN"/>
              </w:rPr>
              <w:t>60</w:t>
            </w:r>
          </w:p>
        </w:tc>
        <w:tc>
          <w:tcPr>
            <w:tcW w:w="213" w:type="pct"/>
            <w:tcBorders>
              <w:tl2br w:val="nil"/>
              <w:tr2bl w:val="nil"/>
            </w:tcBorders>
            <w:vAlign w:val="center"/>
          </w:tcPr>
          <w:p w14:paraId="5AFE11AC">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eastAsia="宋体" w:cs="Times New Roman"/>
                <w:bCs/>
                <w:color w:val="auto"/>
                <w:sz w:val="21"/>
                <w:szCs w:val="21"/>
              </w:rPr>
            </w:pPr>
            <w:r>
              <w:rPr>
                <w:rFonts w:hint="eastAsia" w:hAnsi="Times New Roman"/>
                <w:bCs/>
                <w:color w:val="auto"/>
                <w:szCs w:val="21"/>
                <w:lang w:val="en-US" w:eastAsia="zh-CN"/>
              </w:rPr>
              <w:t>50</w:t>
            </w:r>
          </w:p>
        </w:tc>
        <w:tc>
          <w:tcPr>
            <w:tcW w:w="271" w:type="pct"/>
            <w:tcBorders>
              <w:tl2br w:val="nil"/>
              <w:tr2bl w:val="nil"/>
            </w:tcBorders>
            <w:vAlign w:val="center"/>
          </w:tcPr>
          <w:p w14:paraId="1B63EE01">
            <w:pPr>
              <w:pStyle w:val="7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hAnsi="Times New Roman" w:eastAsia="宋体"/>
                <w:bCs/>
                <w:color w:val="auto"/>
                <w:szCs w:val="21"/>
                <w:lang w:val="en-US" w:eastAsia="zh-CN"/>
              </w:rPr>
            </w:pPr>
            <w:r>
              <w:rPr>
                <w:rFonts w:hint="eastAsia" w:hAnsi="Times New Roman"/>
                <w:bCs/>
                <w:color w:val="auto"/>
                <w:szCs w:val="21"/>
                <w:lang w:val="en-US" w:eastAsia="zh-CN"/>
              </w:rPr>
              <w:t>31.7</w:t>
            </w:r>
          </w:p>
        </w:tc>
        <w:tc>
          <w:tcPr>
            <w:tcW w:w="279" w:type="pct"/>
            <w:tcBorders>
              <w:tl2br w:val="nil"/>
              <w:tr2bl w:val="nil"/>
            </w:tcBorders>
            <w:vAlign w:val="center"/>
          </w:tcPr>
          <w:p w14:paraId="1C49A162">
            <w:pPr>
              <w:pStyle w:val="77"/>
              <w:keepNext w:val="0"/>
              <w:keepLines w:val="0"/>
              <w:pageBreakBefore w:val="0"/>
              <w:widowControl w:val="0"/>
              <w:kinsoku/>
              <w:wordWrap/>
              <w:overflowPunct/>
              <w:topLinePunct w:val="0"/>
              <w:autoSpaceDE/>
              <w:autoSpaceDN/>
              <w:bidi w:val="0"/>
              <w:adjustRightInd/>
              <w:snapToGrid/>
              <w:spacing w:line="320" w:lineRule="exact"/>
              <w:ind w:firstLine="0" w:firstLineChars="0"/>
              <w:textAlignment w:val="auto"/>
              <w:rPr>
                <w:rFonts w:hint="default" w:hAnsi="Times New Roman"/>
                <w:bCs/>
                <w:color w:val="auto"/>
                <w:szCs w:val="21"/>
                <w:lang w:val="en-US"/>
              </w:rPr>
            </w:pPr>
            <w:r>
              <w:rPr>
                <w:rFonts w:hint="eastAsia" w:hAnsi="Times New Roman"/>
                <w:bCs/>
                <w:color w:val="auto"/>
                <w:szCs w:val="21"/>
                <w:lang w:val="en-US" w:eastAsia="zh-CN"/>
              </w:rPr>
              <w:t>31.7</w:t>
            </w:r>
          </w:p>
        </w:tc>
        <w:tc>
          <w:tcPr>
            <w:tcW w:w="304" w:type="pct"/>
            <w:tcBorders>
              <w:tl2br w:val="nil"/>
              <w:tr2bl w:val="nil"/>
            </w:tcBorders>
            <w:vAlign w:val="center"/>
          </w:tcPr>
          <w:p w14:paraId="13D7E1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bCs/>
                <w:color w:val="auto"/>
                <w:sz w:val="21"/>
                <w:szCs w:val="21"/>
                <w:lang w:val="en-US" w:eastAsia="zh-CN"/>
              </w:rPr>
            </w:pPr>
            <w:r>
              <w:rPr>
                <w:rFonts w:hint="eastAsia" w:eastAsia="宋体" w:cs="Times New Roman"/>
                <w:bCs/>
                <w:color w:val="auto"/>
                <w:sz w:val="21"/>
                <w:szCs w:val="21"/>
                <w:lang w:val="en-US" w:eastAsia="zh-CN"/>
              </w:rPr>
              <w:t>53.03</w:t>
            </w:r>
          </w:p>
        </w:tc>
        <w:tc>
          <w:tcPr>
            <w:tcW w:w="344" w:type="pct"/>
            <w:tcBorders>
              <w:tl2br w:val="nil"/>
              <w:tr2bl w:val="nil"/>
            </w:tcBorders>
            <w:vAlign w:val="center"/>
          </w:tcPr>
          <w:p w14:paraId="5ADFEE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bCs/>
                <w:color w:val="auto"/>
                <w:sz w:val="21"/>
                <w:szCs w:val="21"/>
                <w:lang w:val="en-US" w:eastAsia="zh-CN"/>
              </w:rPr>
            </w:pPr>
            <w:r>
              <w:rPr>
                <w:rFonts w:hint="eastAsia" w:eastAsia="宋体" w:cs="Times New Roman"/>
                <w:bCs/>
                <w:color w:val="auto"/>
                <w:sz w:val="21"/>
                <w:szCs w:val="21"/>
                <w:lang w:val="en-US" w:eastAsia="zh-CN"/>
              </w:rPr>
              <w:t>44.3</w:t>
            </w:r>
          </w:p>
        </w:tc>
        <w:tc>
          <w:tcPr>
            <w:tcW w:w="327" w:type="pct"/>
            <w:tcBorders>
              <w:tl2br w:val="nil"/>
              <w:tr2bl w:val="nil"/>
            </w:tcBorders>
            <w:vAlign w:val="center"/>
          </w:tcPr>
          <w:p w14:paraId="76CFFA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eastAsia="宋体" w:cs="Times New Roman"/>
                <w:bCs/>
                <w:color w:val="auto"/>
                <w:sz w:val="21"/>
                <w:szCs w:val="21"/>
                <w:lang w:val="en-US" w:eastAsia="zh-CN"/>
              </w:rPr>
            </w:pPr>
            <w:r>
              <w:rPr>
                <w:rFonts w:hint="eastAsia" w:eastAsia="宋体" w:cs="Times New Roman"/>
                <w:bCs/>
                <w:color w:val="auto"/>
                <w:sz w:val="21"/>
                <w:szCs w:val="21"/>
                <w:lang w:val="en-US" w:eastAsia="zh-CN"/>
              </w:rPr>
              <w:t>0.03</w:t>
            </w:r>
          </w:p>
        </w:tc>
        <w:tc>
          <w:tcPr>
            <w:tcW w:w="295" w:type="pct"/>
            <w:tcBorders>
              <w:tl2br w:val="nil"/>
              <w:tr2bl w:val="nil"/>
            </w:tcBorders>
            <w:vAlign w:val="center"/>
          </w:tcPr>
          <w:p w14:paraId="455835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eastAsia="宋体" w:cs="Times New Roman"/>
                <w:bCs/>
                <w:color w:val="auto"/>
                <w:sz w:val="21"/>
                <w:szCs w:val="21"/>
                <w:lang w:val="en-US" w:eastAsia="zh-CN"/>
              </w:rPr>
            </w:pPr>
            <w:r>
              <w:rPr>
                <w:rFonts w:hint="eastAsia" w:eastAsia="宋体" w:cs="Times New Roman"/>
                <w:bCs/>
                <w:color w:val="auto"/>
                <w:sz w:val="21"/>
                <w:szCs w:val="21"/>
                <w:lang w:val="en-US" w:eastAsia="zh-CN"/>
              </w:rPr>
              <w:t>0.3</w:t>
            </w:r>
          </w:p>
        </w:tc>
        <w:tc>
          <w:tcPr>
            <w:tcW w:w="295" w:type="pct"/>
            <w:tcBorders>
              <w:tl2br w:val="nil"/>
              <w:tr2bl w:val="nil"/>
            </w:tcBorders>
            <w:vAlign w:val="center"/>
          </w:tcPr>
          <w:p w14:paraId="056CC2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达标</w:t>
            </w:r>
          </w:p>
        </w:tc>
        <w:tc>
          <w:tcPr>
            <w:tcW w:w="272" w:type="pct"/>
            <w:tcBorders>
              <w:tl2br w:val="nil"/>
              <w:tr2bl w:val="nil"/>
            </w:tcBorders>
            <w:vAlign w:val="center"/>
          </w:tcPr>
          <w:p w14:paraId="52D982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eastAsia="宋体" w:cs="Times New Roman"/>
                <w:bCs/>
                <w:color w:val="auto"/>
                <w:sz w:val="21"/>
                <w:szCs w:val="21"/>
              </w:rPr>
            </w:pPr>
            <w:r>
              <w:rPr>
                <w:rFonts w:eastAsia="宋体" w:cs="Times New Roman"/>
                <w:bCs/>
                <w:color w:val="auto"/>
                <w:sz w:val="21"/>
                <w:szCs w:val="21"/>
              </w:rPr>
              <w:t>达标</w:t>
            </w:r>
          </w:p>
        </w:tc>
      </w:tr>
    </w:tbl>
    <w:p w14:paraId="1C4A676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表6.2-4</w:t>
      </w:r>
      <w:r>
        <w:rPr>
          <w:rFonts w:hint="eastAsia" w:ascii="Times New Roman" w:hAnsi="Times New Roman" w:eastAsia="宋体" w:cs="Times New Roman"/>
          <w:b/>
          <w:bCs/>
          <w:color w:val="auto"/>
          <w:sz w:val="24"/>
          <w:szCs w:val="24"/>
          <w:lang w:val="en-US" w:eastAsia="zh-CN"/>
        </w:rPr>
        <w:t>4</w:t>
      </w:r>
      <w:r>
        <w:rPr>
          <w:rFonts w:hint="default" w:ascii="Times New Roman" w:hAnsi="Times New Roman" w:eastAsia="宋体" w:cs="Times New Roman"/>
          <w:b/>
          <w:bCs/>
          <w:color w:val="auto"/>
          <w:sz w:val="24"/>
          <w:szCs w:val="24"/>
          <w:lang w:eastAsia="zh-CN"/>
        </w:rPr>
        <w:t xml:space="preserve">  厂界噪声预测结果一览表 单位：dB(A)</w:t>
      </w:r>
    </w:p>
    <w:tbl>
      <w:tblPr>
        <w:tblStyle w:val="40"/>
        <w:tblW w:w="53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6"/>
        <w:gridCol w:w="2126"/>
        <w:gridCol w:w="1420"/>
        <w:gridCol w:w="1309"/>
        <w:gridCol w:w="1204"/>
        <w:gridCol w:w="1484"/>
        <w:gridCol w:w="1668"/>
        <w:gridCol w:w="1663"/>
        <w:gridCol w:w="1931"/>
        <w:gridCol w:w="1015"/>
        <w:gridCol w:w="941"/>
      </w:tblGrid>
      <w:tr w14:paraId="25AEE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5" w:type="pct"/>
            <w:vMerge w:val="restart"/>
            <w:tcBorders>
              <w:tl2br w:val="nil"/>
              <w:tr2bl w:val="nil"/>
            </w:tcBorders>
            <w:vAlign w:val="center"/>
          </w:tcPr>
          <w:p w14:paraId="70E2D963">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序号</w:t>
            </w:r>
          </w:p>
        </w:tc>
        <w:tc>
          <w:tcPr>
            <w:tcW w:w="694" w:type="pct"/>
            <w:vMerge w:val="restart"/>
            <w:tcBorders>
              <w:tl2br w:val="nil"/>
              <w:tr2bl w:val="nil"/>
            </w:tcBorders>
            <w:vAlign w:val="center"/>
          </w:tcPr>
          <w:p w14:paraId="3A52673E">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预测点</w:t>
            </w:r>
          </w:p>
        </w:tc>
        <w:tc>
          <w:tcPr>
            <w:tcW w:w="1285" w:type="pct"/>
            <w:gridSpan w:val="3"/>
            <w:tcBorders>
              <w:tl2br w:val="nil"/>
              <w:tr2bl w:val="nil"/>
            </w:tcBorders>
            <w:vAlign w:val="center"/>
          </w:tcPr>
          <w:p w14:paraId="565C008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空间相对位置</w:t>
            </w:r>
          </w:p>
        </w:tc>
        <w:tc>
          <w:tcPr>
            <w:tcW w:w="1030" w:type="pct"/>
            <w:gridSpan w:val="2"/>
            <w:tcBorders>
              <w:tl2br w:val="nil"/>
              <w:tr2bl w:val="nil"/>
            </w:tcBorders>
            <w:vAlign w:val="center"/>
          </w:tcPr>
          <w:p w14:paraId="081EBF77">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噪声标准/dB(A)</w:t>
            </w:r>
          </w:p>
        </w:tc>
        <w:tc>
          <w:tcPr>
            <w:tcW w:w="1174" w:type="pct"/>
            <w:gridSpan w:val="2"/>
            <w:tcBorders>
              <w:tl2br w:val="nil"/>
              <w:tr2bl w:val="nil"/>
            </w:tcBorders>
            <w:vAlign w:val="center"/>
          </w:tcPr>
          <w:p w14:paraId="7B636AB9">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噪声贡献值/dB(A)</w:t>
            </w:r>
          </w:p>
        </w:tc>
        <w:tc>
          <w:tcPr>
            <w:tcW w:w="639" w:type="pct"/>
            <w:gridSpan w:val="2"/>
            <w:tcBorders>
              <w:tl2br w:val="nil"/>
              <w:tr2bl w:val="nil"/>
            </w:tcBorders>
            <w:vAlign w:val="center"/>
          </w:tcPr>
          <w:p w14:paraId="4E9FFF1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 xml:space="preserve">达标情况 </w:t>
            </w:r>
          </w:p>
        </w:tc>
      </w:tr>
      <w:tr w14:paraId="695FD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5" w:type="pct"/>
            <w:vMerge w:val="continue"/>
            <w:tcBorders>
              <w:tl2br w:val="nil"/>
              <w:tr2bl w:val="nil"/>
            </w:tcBorders>
            <w:vAlign w:val="center"/>
          </w:tcPr>
          <w:p w14:paraId="5CC5673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p>
        </w:tc>
        <w:tc>
          <w:tcPr>
            <w:tcW w:w="694" w:type="pct"/>
            <w:vMerge w:val="continue"/>
            <w:tcBorders>
              <w:tl2br w:val="nil"/>
              <w:tr2bl w:val="nil"/>
            </w:tcBorders>
            <w:vAlign w:val="center"/>
          </w:tcPr>
          <w:p w14:paraId="1C47C026">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p>
        </w:tc>
        <w:tc>
          <w:tcPr>
            <w:tcW w:w="464" w:type="pct"/>
            <w:tcBorders>
              <w:tl2br w:val="nil"/>
              <w:tr2bl w:val="nil"/>
            </w:tcBorders>
            <w:vAlign w:val="center"/>
          </w:tcPr>
          <w:p w14:paraId="7290E718">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hint="eastAsia" w:eastAsia="宋体" w:cs="Times New Roman"/>
                <w:bCs/>
                <w:color w:val="auto"/>
                <w:sz w:val="21"/>
                <w:szCs w:val="21"/>
              </w:rPr>
              <w:t>X</w:t>
            </w:r>
          </w:p>
        </w:tc>
        <w:tc>
          <w:tcPr>
            <w:tcW w:w="427" w:type="pct"/>
            <w:tcBorders>
              <w:tl2br w:val="nil"/>
              <w:tr2bl w:val="nil"/>
            </w:tcBorders>
            <w:vAlign w:val="center"/>
          </w:tcPr>
          <w:p w14:paraId="3EBF0564">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hint="eastAsia" w:eastAsia="宋体" w:cs="Times New Roman"/>
                <w:bCs/>
                <w:color w:val="auto"/>
                <w:sz w:val="21"/>
                <w:szCs w:val="21"/>
              </w:rPr>
              <w:t>Y</w:t>
            </w:r>
          </w:p>
        </w:tc>
        <w:tc>
          <w:tcPr>
            <w:tcW w:w="393" w:type="pct"/>
            <w:tcBorders>
              <w:tl2br w:val="nil"/>
              <w:tr2bl w:val="nil"/>
            </w:tcBorders>
            <w:vAlign w:val="center"/>
          </w:tcPr>
          <w:p w14:paraId="7A13E3A2">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hint="eastAsia" w:eastAsia="宋体" w:cs="Times New Roman"/>
                <w:bCs/>
                <w:color w:val="auto"/>
                <w:sz w:val="21"/>
                <w:szCs w:val="21"/>
              </w:rPr>
              <w:t>Z</w:t>
            </w:r>
          </w:p>
        </w:tc>
        <w:tc>
          <w:tcPr>
            <w:tcW w:w="485" w:type="pct"/>
            <w:tcBorders>
              <w:tl2br w:val="nil"/>
              <w:tr2bl w:val="nil"/>
            </w:tcBorders>
            <w:vAlign w:val="center"/>
          </w:tcPr>
          <w:p w14:paraId="2379B7D8">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昼间</w:t>
            </w:r>
          </w:p>
        </w:tc>
        <w:tc>
          <w:tcPr>
            <w:tcW w:w="545" w:type="pct"/>
            <w:tcBorders>
              <w:tl2br w:val="nil"/>
              <w:tr2bl w:val="nil"/>
            </w:tcBorders>
            <w:vAlign w:val="center"/>
          </w:tcPr>
          <w:p w14:paraId="72580CD1">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夜间</w:t>
            </w:r>
          </w:p>
        </w:tc>
        <w:tc>
          <w:tcPr>
            <w:tcW w:w="543" w:type="pct"/>
            <w:tcBorders>
              <w:tl2br w:val="nil"/>
              <w:tr2bl w:val="nil"/>
            </w:tcBorders>
            <w:vAlign w:val="center"/>
          </w:tcPr>
          <w:p w14:paraId="7D50482B">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昼间</w:t>
            </w:r>
          </w:p>
        </w:tc>
        <w:tc>
          <w:tcPr>
            <w:tcW w:w="631" w:type="pct"/>
            <w:tcBorders>
              <w:tl2br w:val="nil"/>
              <w:tr2bl w:val="nil"/>
            </w:tcBorders>
            <w:vAlign w:val="center"/>
          </w:tcPr>
          <w:p w14:paraId="1E8810E7">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夜间</w:t>
            </w:r>
          </w:p>
        </w:tc>
        <w:tc>
          <w:tcPr>
            <w:tcW w:w="331" w:type="pct"/>
            <w:tcBorders>
              <w:tl2br w:val="nil"/>
              <w:tr2bl w:val="nil"/>
            </w:tcBorders>
            <w:vAlign w:val="center"/>
          </w:tcPr>
          <w:p w14:paraId="2F3444DD">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昼间</w:t>
            </w:r>
          </w:p>
        </w:tc>
        <w:tc>
          <w:tcPr>
            <w:tcW w:w="307" w:type="pct"/>
            <w:tcBorders>
              <w:tl2br w:val="nil"/>
              <w:tr2bl w:val="nil"/>
            </w:tcBorders>
            <w:vAlign w:val="center"/>
          </w:tcPr>
          <w:p w14:paraId="12191799">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夜间</w:t>
            </w:r>
          </w:p>
        </w:tc>
      </w:tr>
      <w:tr w14:paraId="155AE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5" w:type="pct"/>
            <w:tcBorders>
              <w:tl2br w:val="nil"/>
              <w:tr2bl w:val="nil"/>
            </w:tcBorders>
            <w:vAlign w:val="center"/>
          </w:tcPr>
          <w:p w14:paraId="13222CC3">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1</w:t>
            </w:r>
          </w:p>
        </w:tc>
        <w:tc>
          <w:tcPr>
            <w:tcW w:w="694" w:type="pct"/>
            <w:tcBorders>
              <w:tl2br w:val="nil"/>
              <w:tr2bl w:val="nil"/>
            </w:tcBorders>
            <w:vAlign w:val="center"/>
          </w:tcPr>
          <w:p w14:paraId="57838E7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bCs/>
                <w:color w:val="auto"/>
              </w:rPr>
            </w:pPr>
            <w:r>
              <w:rPr>
                <w:rFonts w:ascii="Times New Roman" w:hAnsi="Times New Roman" w:eastAsia="宋体" w:cs="Times New Roman"/>
                <w:color w:val="auto"/>
                <w:sz w:val="21"/>
                <w:szCs w:val="21"/>
              </w:rPr>
              <w:t>厂界</w:t>
            </w:r>
            <w:r>
              <w:rPr>
                <w:rFonts w:hint="eastAsia" w:ascii="Times New Roman" w:hAnsi="Times New Roman" w:eastAsia="宋体" w:cs="Times New Roman"/>
                <w:color w:val="auto"/>
                <w:sz w:val="21"/>
                <w:szCs w:val="21"/>
                <w:lang w:val="en-US" w:eastAsia="zh-CN"/>
              </w:rPr>
              <w:t>北</w:t>
            </w:r>
            <w:r>
              <w:rPr>
                <w:rFonts w:ascii="Times New Roman" w:hAnsi="Times New Roman" w:eastAsia="宋体" w:cs="Times New Roman"/>
                <w:color w:val="auto"/>
                <w:sz w:val="21"/>
                <w:szCs w:val="21"/>
              </w:rPr>
              <w:t>侧1m处</w:t>
            </w:r>
          </w:p>
        </w:tc>
        <w:tc>
          <w:tcPr>
            <w:tcW w:w="464" w:type="pct"/>
            <w:tcBorders>
              <w:tl2br w:val="nil"/>
              <w:tr2bl w:val="nil"/>
            </w:tcBorders>
            <w:vAlign w:val="center"/>
          </w:tcPr>
          <w:p w14:paraId="74995E80">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132.68</w:t>
            </w:r>
          </w:p>
        </w:tc>
        <w:tc>
          <w:tcPr>
            <w:tcW w:w="427" w:type="pct"/>
            <w:tcBorders>
              <w:tl2br w:val="nil"/>
              <w:tr2bl w:val="nil"/>
            </w:tcBorders>
            <w:vAlign w:val="center"/>
          </w:tcPr>
          <w:p w14:paraId="1CCB8EE5">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271.80</w:t>
            </w:r>
          </w:p>
        </w:tc>
        <w:tc>
          <w:tcPr>
            <w:tcW w:w="393" w:type="pct"/>
            <w:tcBorders>
              <w:tl2br w:val="nil"/>
              <w:tr2bl w:val="nil"/>
            </w:tcBorders>
            <w:vAlign w:val="center"/>
          </w:tcPr>
          <w:p w14:paraId="05887D77">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1.2</w:t>
            </w:r>
          </w:p>
        </w:tc>
        <w:tc>
          <w:tcPr>
            <w:tcW w:w="485" w:type="pct"/>
            <w:tcBorders>
              <w:tl2br w:val="nil"/>
              <w:tr2bl w:val="nil"/>
            </w:tcBorders>
            <w:vAlign w:val="center"/>
          </w:tcPr>
          <w:p w14:paraId="4505CEB8">
            <w:pPr>
              <w:pStyle w:val="77"/>
              <w:keepNext w:val="0"/>
              <w:keepLines w:val="0"/>
              <w:pageBreakBefore w:val="0"/>
              <w:kinsoku/>
              <w:wordWrap/>
              <w:overflowPunct/>
              <w:topLinePunct w:val="0"/>
              <w:autoSpaceDE/>
              <w:autoSpaceDN/>
              <w:bidi w:val="0"/>
              <w:adjustRightInd/>
              <w:snapToGrid/>
              <w:spacing w:line="320" w:lineRule="exact"/>
              <w:rPr>
                <w:rFonts w:hint="default" w:hAnsi="Times New Roman" w:eastAsia="宋体"/>
                <w:bCs/>
                <w:color w:val="auto"/>
                <w:szCs w:val="21"/>
                <w:lang w:val="en-US" w:eastAsia="zh-CN"/>
              </w:rPr>
            </w:pPr>
            <w:r>
              <w:rPr>
                <w:rFonts w:hint="eastAsia" w:hAnsi="Times New Roman"/>
                <w:bCs/>
                <w:color w:val="auto"/>
                <w:szCs w:val="21"/>
                <w:lang w:val="en-US" w:eastAsia="zh-CN"/>
              </w:rPr>
              <w:t>60</w:t>
            </w:r>
          </w:p>
        </w:tc>
        <w:tc>
          <w:tcPr>
            <w:tcW w:w="545" w:type="pct"/>
            <w:tcBorders>
              <w:tl2br w:val="nil"/>
              <w:tr2bl w:val="nil"/>
            </w:tcBorders>
            <w:vAlign w:val="center"/>
          </w:tcPr>
          <w:p w14:paraId="76487D14">
            <w:pPr>
              <w:pStyle w:val="77"/>
              <w:keepNext w:val="0"/>
              <w:keepLines w:val="0"/>
              <w:pageBreakBefore w:val="0"/>
              <w:kinsoku/>
              <w:wordWrap/>
              <w:overflowPunct/>
              <w:topLinePunct w:val="0"/>
              <w:autoSpaceDE/>
              <w:autoSpaceDN/>
              <w:bidi w:val="0"/>
              <w:adjustRightInd/>
              <w:snapToGrid/>
              <w:spacing w:line="320" w:lineRule="exact"/>
              <w:rPr>
                <w:rFonts w:hint="default" w:hAnsi="Times New Roman" w:eastAsia="宋体"/>
                <w:bCs/>
                <w:color w:val="auto"/>
                <w:szCs w:val="21"/>
                <w:lang w:val="en-US" w:eastAsia="zh-CN"/>
              </w:rPr>
            </w:pPr>
            <w:r>
              <w:rPr>
                <w:rFonts w:hint="eastAsia" w:hAnsi="Times New Roman"/>
                <w:bCs/>
                <w:color w:val="auto"/>
                <w:szCs w:val="21"/>
                <w:lang w:val="en-US" w:eastAsia="zh-CN"/>
              </w:rPr>
              <w:t>50</w:t>
            </w:r>
          </w:p>
        </w:tc>
        <w:tc>
          <w:tcPr>
            <w:tcW w:w="543" w:type="pct"/>
            <w:tcBorders>
              <w:tl2br w:val="nil"/>
              <w:tr2bl w:val="nil"/>
            </w:tcBorders>
            <w:vAlign w:val="center"/>
          </w:tcPr>
          <w:p w14:paraId="79BE595B">
            <w:pPr>
              <w:pStyle w:val="77"/>
              <w:keepNext w:val="0"/>
              <w:keepLines w:val="0"/>
              <w:pageBreakBefore w:val="0"/>
              <w:kinsoku/>
              <w:wordWrap/>
              <w:overflowPunct/>
              <w:topLinePunct w:val="0"/>
              <w:autoSpaceDE/>
              <w:autoSpaceDN/>
              <w:bidi w:val="0"/>
              <w:adjustRightInd/>
              <w:snapToGrid/>
              <w:spacing w:line="320" w:lineRule="exact"/>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34.8</w:t>
            </w:r>
          </w:p>
        </w:tc>
        <w:tc>
          <w:tcPr>
            <w:tcW w:w="631" w:type="pct"/>
            <w:tcBorders>
              <w:tl2br w:val="nil"/>
              <w:tr2bl w:val="nil"/>
            </w:tcBorders>
            <w:vAlign w:val="center"/>
          </w:tcPr>
          <w:p w14:paraId="2627F671">
            <w:pPr>
              <w:pStyle w:val="77"/>
              <w:keepNext w:val="0"/>
              <w:keepLines w:val="0"/>
              <w:pageBreakBefore w:val="0"/>
              <w:kinsoku/>
              <w:wordWrap/>
              <w:overflowPunct/>
              <w:topLinePunct w:val="0"/>
              <w:autoSpaceDE/>
              <w:autoSpaceDN/>
              <w:bidi w:val="0"/>
              <w:adjustRightInd/>
              <w:snapToGrid/>
              <w:spacing w:line="320" w:lineRule="exact"/>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34.3</w:t>
            </w:r>
          </w:p>
        </w:tc>
        <w:tc>
          <w:tcPr>
            <w:tcW w:w="331" w:type="pct"/>
            <w:tcBorders>
              <w:tl2br w:val="nil"/>
              <w:tr2bl w:val="nil"/>
            </w:tcBorders>
            <w:vAlign w:val="center"/>
          </w:tcPr>
          <w:p w14:paraId="497A73F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达标</w:t>
            </w:r>
          </w:p>
        </w:tc>
        <w:tc>
          <w:tcPr>
            <w:tcW w:w="307" w:type="pct"/>
            <w:tcBorders>
              <w:tl2br w:val="nil"/>
              <w:tr2bl w:val="nil"/>
            </w:tcBorders>
            <w:vAlign w:val="center"/>
          </w:tcPr>
          <w:p w14:paraId="0B0C3BA4">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达标</w:t>
            </w:r>
          </w:p>
        </w:tc>
      </w:tr>
      <w:tr w14:paraId="0CA29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5" w:type="pct"/>
            <w:tcBorders>
              <w:tl2br w:val="nil"/>
              <w:tr2bl w:val="nil"/>
            </w:tcBorders>
            <w:vAlign w:val="center"/>
          </w:tcPr>
          <w:p w14:paraId="4F89BE47">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2</w:t>
            </w:r>
          </w:p>
        </w:tc>
        <w:tc>
          <w:tcPr>
            <w:tcW w:w="694" w:type="pct"/>
            <w:tcBorders>
              <w:tl2br w:val="nil"/>
              <w:tr2bl w:val="nil"/>
            </w:tcBorders>
            <w:vAlign w:val="center"/>
          </w:tcPr>
          <w:p w14:paraId="777C0E08">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bCs/>
                <w:color w:val="auto"/>
              </w:rPr>
            </w:pPr>
            <w:r>
              <w:rPr>
                <w:rFonts w:ascii="Times New Roman" w:hAnsi="Times New Roman" w:eastAsia="宋体" w:cs="Times New Roman"/>
                <w:color w:val="auto"/>
                <w:sz w:val="21"/>
                <w:szCs w:val="21"/>
              </w:rPr>
              <w:t>厂界</w:t>
            </w:r>
            <w:r>
              <w:rPr>
                <w:rFonts w:hint="eastAsia" w:ascii="Times New Roman" w:hAnsi="Times New Roman" w:eastAsia="宋体" w:cs="Times New Roman"/>
                <w:color w:val="auto"/>
                <w:sz w:val="21"/>
                <w:szCs w:val="21"/>
                <w:lang w:val="en-US" w:eastAsia="zh-CN"/>
              </w:rPr>
              <w:t>南</w:t>
            </w:r>
            <w:r>
              <w:rPr>
                <w:rFonts w:ascii="Times New Roman" w:hAnsi="Times New Roman" w:eastAsia="宋体" w:cs="Times New Roman"/>
                <w:color w:val="auto"/>
                <w:sz w:val="21"/>
                <w:szCs w:val="21"/>
              </w:rPr>
              <w:t>侧1m处</w:t>
            </w:r>
          </w:p>
        </w:tc>
        <w:tc>
          <w:tcPr>
            <w:tcW w:w="464" w:type="pct"/>
            <w:tcBorders>
              <w:tl2br w:val="nil"/>
              <w:tr2bl w:val="nil"/>
            </w:tcBorders>
            <w:vAlign w:val="center"/>
          </w:tcPr>
          <w:p w14:paraId="73008F1F">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196.01</w:t>
            </w:r>
          </w:p>
        </w:tc>
        <w:tc>
          <w:tcPr>
            <w:tcW w:w="427" w:type="pct"/>
            <w:tcBorders>
              <w:tl2br w:val="nil"/>
              <w:tr2bl w:val="nil"/>
            </w:tcBorders>
            <w:vAlign w:val="center"/>
          </w:tcPr>
          <w:p w14:paraId="2F5FF6F6">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106.53</w:t>
            </w:r>
          </w:p>
        </w:tc>
        <w:tc>
          <w:tcPr>
            <w:tcW w:w="393" w:type="pct"/>
            <w:tcBorders>
              <w:tl2br w:val="nil"/>
              <w:tr2bl w:val="nil"/>
            </w:tcBorders>
            <w:vAlign w:val="center"/>
          </w:tcPr>
          <w:p w14:paraId="4C5483A3">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1.2</w:t>
            </w:r>
          </w:p>
        </w:tc>
        <w:tc>
          <w:tcPr>
            <w:tcW w:w="485" w:type="pct"/>
            <w:tcBorders>
              <w:tl2br w:val="nil"/>
              <w:tr2bl w:val="nil"/>
            </w:tcBorders>
            <w:vAlign w:val="center"/>
          </w:tcPr>
          <w:p w14:paraId="5933F505">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lang w:val="en-US" w:eastAsia="zh-CN"/>
              </w:rPr>
              <w:t>60</w:t>
            </w:r>
          </w:p>
        </w:tc>
        <w:tc>
          <w:tcPr>
            <w:tcW w:w="545" w:type="pct"/>
            <w:tcBorders>
              <w:tl2br w:val="nil"/>
              <w:tr2bl w:val="nil"/>
            </w:tcBorders>
            <w:vAlign w:val="center"/>
          </w:tcPr>
          <w:p w14:paraId="73D7846E">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lang w:val="en-US" w:eastAsia="zh-CN"/>
              </w:rPr>
              <w:t>50</w:t>
            </w:r>
          </w:p>
        </w:tc>
        <w:tc>
          <w:tcPr>
            <w:tcW w:w="543" w:type="pct"/>
            <w:tcBorders>
              <w:tl2br w:val="nil"/>
              <w:tr2bl w:val="nil"/>
            </w:tcBorders>
            <w:vAlign w:val="center"/>
          </w:tcPr>
          <w:p w14:paraId="1CDC8044">
            <w:pPr>
              <w:pStyle w:val="77"/>
              <w:keepNext w:val="0"/>
              <w:keepLines w:val="0"/>
              <w:pageBreakBefore w:val="0"/>
              <w:kinsoku/>
              <w:wordWrap/>
              <w:overflowPunct/>
              <w:topLinePunct w:val="0"/>
              <w:autoSpaceDE/>
              <w:autoSpaceDN/>
              <w:bidi w:val="0"/>
              <w:adjustRightInd/>
              <w:snapToGrid/>
              <w:spacing w:line="320" w:lineRule="exact"/>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46.7</w:t>
            </w:r>
          </w:p>
        </w:tc>
        <w:tc>
          <w:tcPr>
            <w:tcW w:w="631" w:type="pct"/>
            <w:tcBorders>
              <w:tl2br w:val="nil"/>
              <w:tr2bl w:val="nil"/>
            </w:tcBorders>
            <w:vAlign w:val="center"/>
          </w:tcPr>
          <w:p w14:paraId="58A7D460">
            <w:pPr>
              <w:pStyle w:val="77"/>
              <w:keepNext w:val="0"/>
              <w:keepLines w:val="0"/>
              <w:pageBreakBefore w:val="0"/>
              <w:kinsoku/>
              <w:wordWrap/>
              <w:overflowPunct/>
              <w:topLinePunct w:val="0"/>
              <w:autoSpaceDE/>
              <w:autoSpaceDN/>
              <w:bidi w:val="0"/>
              <w:adjustRightInd/>
              <w:snapToGrid/>
              <w:spacing w:line="320" w:lineRule="exact"/>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34.8</w:t>
            </w:r>
          </w:p>
        </w:tc>
        <w:tc>
          <w:tcPr>
            <w:tcW w:w="331" w:type="pct"/>
            <w:tcBorders>
              <w:tl2br w:val="nil"/>
              <w:tr2bl w:val="nil"/>
            </w:tcBorders>
            <w:vAlign w:val="center"/>
          </w:tcPr>
          <w:p w14:paraId="019387B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达标</w:t>
            </w:r>
          </w:p>
        </w:tc>
        <w:tc>
          <w:tcPr>
            <w:tcW w:w="307" w:type="pct"/>
            <w:tcBorders>
              <w:tl2br w:val="nil"/>
              <w:tr2bl w:val="nil"/>
            </w:tcBorders>
            <w:vAlign w:val="center"/>
          </w:tcPr>
          <w:p w14:paraId="505F4AB8">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达标</w:t>
            </w:r>
          </w:p>
        </w:tc>
      </w:tr>
      <w:tr w14:paraId="05C49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5" w:type="pct"/>
            <w:tcBorders>
              <w:tl2br w:val="nil"/>
              <w:tr2bl w:val="nil"/>
            </w:tcBorders>
            <w:vAlign w:val="center"/>
          </w:tcPr>
          <w:p w14:paraId="35519428">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3</w:t>
            </w:r>
          </w:p>
        </w:tc>
        <w:tc>
          <w:tcPr>
            <w:tcW w:w="694" w:type="pct"/>
            <w:tcBorders>
              <w:tl2br w:val="nil"/>
              <w:tr2bl w:val="nil"/>
            </w:tcBorders>
            <w:vAlign w:val="center"/>
          </w:tcPr>
          <w:p w14:paraId="53C6D7D0">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bCs/>
                <w:color w:val="auto"/>
              </w:rPr>
            </w:pPr>
            <w:r>
              <w:rPr>
                <w:rFonts w:ascii="Times New Roman" w:hAnsi="Times New Roman" w:eastAsia="宋体" w:cs="Times New Roman"/>
                <w:color w:val="auto"/>
                <w:sz w:val="21"/>
                <w:szCs w:val="21"/>
              </w:rPr>
              <w:t>厂界西侧1m处</w:t>
            </w:r>
          </w:p>
        </w:tc>
        <w:tc>
          <w:tcPr>
            <w:tcW w:w="464" w:type="pct"/>
            <w:tcBorders>
              <w:tl2br w:val="nil"/>
              <w:tr2bl w:val="nil"/>
            </w:tcBorders>
            <w:vAlign w:val="center"/>
          </w:tcPr>
          <w:p w14:paraId="7E024713">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69.35</w:t>
            </w:r>
          </w:p>
        </w:tc>
        <w:tc>
          <w:tcPr>
            <w:tcW w:w="427" w:type="pct"/>
            <w:tcBorders>
              <w:tl2br w:val="nil"/>
              <w:tr2bl w:val="nil"/>
            </w:tcBorders>
            <w:vAlign w:val="center"/>
          </w:tcPr>
          <w:p w14:paraId="360BADBE">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116.94</w:t>
            </w:r>
          </w:p>
        </w:tc>
        <w:tc>
          <w:tcPr>
            <w:tcW w:w="393" w:type="pct"/>
            <w:tcBorders>
              <w:tl2br w:val="nil"/>
              <w:tr2bl w:val="nil"/>
            </w:tcBorders>
            <w:vAlign w:val="center"/>
          </w:tcPr>
          <w:p w14:paraId="1A94F2D5">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1.2</w:t>
            </w:r>
          </w:p>
        </w:tc>
        <w:tc>
          <w:tcPr>
            <w:tcW w:w="485" w:type="pct"/>
            <w:tcBorders>
              <w:tl2br w:val="nil"/>
              <w:tr2bl w:val="nil"/>
            </w:tcBorders>
            <w:vAlign w:val="center"/>
          </w:tcPr>
          <w:p w14:paraId="4BFA2798">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lang w:val="en-US" w:eastAsia="zh-CN"/>
              </w:rPr>
              <w:t>60</w:t>
            </w:r>
          </w:p>
        </w:tc>
        <w:tc>
          <w:tcPr>
            <w:tcW w:w="545" w:type="pct"/>
            <w:tcBorders>
              <w:tl2br w:val="nil"/>
              <w:tr2bl w:val="nil"/>
            </w:tcBorders>
            <w:vAlign w:val="center"/>
          </w:tcPr>
          <w:p w14:paraId="69F29ECB">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lang w:val="en-US" w:eastAsia="zh-CN"/>
              </w:rPr>
              <w:t>50</w:t>
            </w:r>
          </w:p>
        </w:tc>
        <w:tc>
          <w:tcPr>
            <w:tcW w:w="543" w:type="pct"/>
            <w:tcBorders>
              <w:tl2br w:val="nil"/>
              <w:tr2bl w:val="nil"/>
            </w:tcBorders>
            <w:vAlign w:val="center"/>
          </w:tcPr>
          <w:p w14:paraId="247C70E9">
            <w:pPr>
              <w:pStyle w:val="77"/>
              <w:keepNext w:val="0"/>
              <w:keepLines w:val="0"/>
              <w:pageBreakBefore w:val="0"/>
              <w:kinsoku/>
              <w:wordWrap/>
              <w:overflowPunct/>
              <w:topLinePunct w:val="0"/>
              <w:autoSpaceDE/>
              <w:autoSpaceDN/>
              <w:bidi w:val="0"/>
              <w:adjustRightInd/>
              <w:snapToGrid/>
              <w:spacing w:line="320" w:lineRule="exact"/>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19.1</w:t>
            </w:r>
          </w:p>
        </w:tc>
        <w:tc>
          <w:tcPr>
            <w:tcW w:w="631" w:type="pct"/>
            <w:tcBorders>
              <w:tl2br w:val="nil"/>
              <w:tr2bl w:val="nil"/>
            </w:tcBorders>
            <w:vAlign w:val="center"/>
          </w:tcPr>
          <w:p w14:paraId="420A5393">
            <w:pPr>
              <w:pStyle w:val="77"/>
              <w:keepNext w:val="0"/>
              <w:keepLines w:val="0"/>
              <w:pageBreakBefore w:val="0"/>
              <w:kinsoku/>
              <w:wordWrap/>
              <w:overflowPunct/>
              <w:topLinePunct w:val="0"/>
              <w:autoSpaceDE/>
              <w:autoSpaceDN/>
              <w:bidi w:val="0"/>
              <w:adjustRightInd/>
              <w:snapToGrid/>
              <w:spacing w:line="320" w:lineRule="exact"/>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46.7</w:t>
            </w:r>
          </w:p>
        </w:tc>
        <w:tc>
          <w:tcPr>
            <w:tcW w:w="331" w:type="pct"/>
            <w:tcBorders>
              <w:tl2br w:val="nil"/>
              <w:tr2bl w:val="nil"/>
            </w:tcBorders>
            <w:vAlign w:val="center"/>
          </w:tcPr>
          <w:p w14:paraId="1531D1AE">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达标</w:t>
            </w:r>
          </w:p>
        </w:tc>
        <w:tc>
          <w:tcPr>
            <w:tcW w:w="307" w:type="pct"/>
            <w:tcBorders>
              <w:tl2br w:val="nil"/>
              <w:tr2bl w:val="nil"/>
            </w:tcBorders>
            <w:vAlign w:val="center"/>
          </w:tcPr>
          <w:p w14:paraId="53B7F9FD">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达标</w:t>
            </w:r>
          </w:p>
        </w:tc>
      </w:tr>
      <w:tr w14:paraId="54B2D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5" w:type="pct"/>
            <w:tcBorders>
              <w:tl2br w:val="nil"/>
              <w:tr2bl w:val="nil"/>
            </w:tcBorders>
            <w:vAlign w:val="center"/>
          </w:tcPr>
          <w:p w14:paraId="09FB164C">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4</w:t>
            </w:r>
          </w:p>
        </w:tc>
        <w:tc>
          <w:tcPr>
            <w:tcW w:w="694" w:type="pct"/>
            <w:tcBorders>
              <w:tl2br w:val="nil"/>
              <w:tr2bl w:val="nil"/>
            </w:tcBorders>
            <w:vAlign w:val="center"/>
          </w:tcPr>
          <w:p w14:paraId="47565A99">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bCs/>
                <w:color w:val="auto"/>
              </w:rPr>
            </w:pPr>
            <w:r>
              <w:rPr>
                <w:rFonts w:ascii="Times New Roman" w:hAnsi="Times New Roman" w:eastAsia="宋体" w:cs="Times New Roman"/>
                <w:color w:val="auto"/>
                <w:sz w:val="21"/>
                <w:szCs w:val="21"/>
              </w:rPr>
              <w:t>厂界</w:t>
            </w:r>
            <w:r>
              <w:rPr>
                <w:rFonts w:hint="eastAsia" w:ascii="Times New Roman" w:hAnsi="Times New Roman" w:eastAsia="宋体" w:cs="Times New Roman"/>
                <w:color w:val="auto"/>
                <w:sz w:val="21"/>
                <w:szCs w:val="21"/>
                <w:lang w:val="en-US" w:eastAsia="zh-CN"/>
              </w:rPr>
              <w:t>东</w:t>
            </w:r>
            <w:r>
              <w:rPr>
                <w:rFonts w:ascii="Times New Roman" w:hAnsi="Times New Roman" w:eastAsia="宋体" w:cs="Times New Roman"/>
                <w:color w:val="auto"/>
                <w:sz w:val="21"/>
                <w:szCs w:val="21"/>
              </w:rPr>
              <w:t>侧1m处</w:t>
            </w:r>
          </w:p>
        </w:tc>
        <w:tc>
          <w:tcPr>
            <w:tcW w:w="464" w:type="pct"/>
            <w:tcBorders>
              <w:tl2br w:val="nil"/>
              <w:tr2bl w:val="nil"/>
            </w:tcBorders>
            <w:vAlign w:val="center"/>
          </w:tcPr>
          <w:p w14:paraId="14EF09E1">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281.46</w:t>
            </w:r>
          </w:p>
        </w:tc>
        <w:tc>
          <w:tcPr>
            <w:tcW w:w="427" w:type="pct"/>
            <w:tcBorders>
              <w:tl2br w:val="nil"/>
              <w:tr2bl w:val="nil"/>
            </w:tcBorders>
            <w:vAlign w:val="center"/>
          </w:tcPr>
          <w:p w14:paraId="74DD292C">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227.55</w:t>
            </w:r>
          </w:p>
        </w:tc>
        <w:tc>
          <w:tcPr>
            <w:tcW w:w="393" w:type="pct"/>
            <w:tcBorders>
              <w:tl2br w:val="nil"/>
              <w:tr2bl w:val="nil"/>
            </w:tcBorders>
            <w:vAlign w:val="center"/>
          </w:tcPr>
          <w:p w14:paraId="26F2E00C">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rPr>
              <w:t>1.2</w:t>
            </w:r>
          </w:p>
        </w:tc>
        <w:tc>
          <w:tcPr>
            <w:tcW w:w="485" w:type="pct"/>
            <w:tcBorders>
              <w:tl2br w:val="nil"/>
              <w:tr2bl w:val="nil"/>
            </w:tcBorders>
            <w:vAlign w:val="center"/>
          </w:tcPr>
          <w:p w14:paraId="38D50D24">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lang w:val="en-US" w:eastAsia="zh-CN"/>
              </w:rPr>
              <w:t>60</w:t>
            </w:r>
          </w:p>
        </w:tc>
        <w:tc>
          <w:tcPr>
            <w:tcW w:w="545" w:type="pct"/>
            <w:tcBorders>
              <w:tl2br w:val="nil"/>
              <w:tr2bl w:val="nil"/>
            </w:tcBorders>
            <w:vAlign w:val="center"/>
          </w:tcPr>
          <w:p w14:paraId="163B963C">
            <w:pPr>
              <w:pStyle w:val="77"/>
              <w:keepNext w:val="0"/>
              <w:keepLines w:val="0"/>
              <w:pageBreakBefore w:val="0"/>
              <w:kinsoku/>
              <w:wordWrap/>
              <w:overflowPunct/>
              <w:topLinePunct w:val="0"/>
              <w:autoSpaceDE/>
              <w:autoSpaceDN/>
              <w:bidi w:val="0"/>
              <w:adjustRightInd/>
              <w:snapToGrid/>
              <w:spacing w:line="320" w:lineRule="exact"/>
              <w:ind w:firstLine="0" w:firstLineChars="0"/>
              <w:rPr>
                <w:rFonts w:hAnsi="Times New Roman"/>
                <w:bCs/>
                <w:color w:val="auto"/>
                <w:szCs w:val="21"/>
              </w:rPr>
            </w:pPr>
            <w:r>
              <w:rPr>
                <w:rFonts w:hint="eastAsia" w:hAnsi="Times New Roman"/>
                <w:bCs/>
                <w:color w:val="auto"/>
                <w:szCs w:val="21"/>
                <w:lang w:val="en-US" w:eastAsia="zh-CN"/>
              </w:rPr>
              <w:t>50</w:t>
            </w:r>
          </w:p>
        </w:tc>
        <w:tc>
          <w:tcPr>
            <w:tcW w:w="543" w:type="pct"/>
            <w:tcBorders>
              <w:tl2br w:val="nil"/>
              <w:tr2bl w:val="nil"/>
            </w:tcBorders>
            <w:vAlign w:val="center"/>
          </w:tcPr>
          <w:p w14:paraId="143AA417">
            <w:pPr>
              <w:pStyle w:val="77"/>
              <w:keepNext w:val="0"/>
              <w:keepLines w:val="0"/>
              <w:pageBreakBefore w:val="0"/>
              <w:kinsoku/>
              <w:wordWrap/>
              <w:overflowPunct/>
              <w:topLinePunct w:val="0"/>
              <w:autoSpaceDE/>
              <w:autoSpaceDN/>
              <w:bidi w:val="0"/>
              <w:adjustRightInd/>
              <w:snapToGrid/>
              <w:spacing w:line="320" w:lineRule="exact"/>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34.3</w:t>
            </w:r>
          </w:p>
        </w:tc>
        <w:tc>
          <w:tcPr>
            <w:tcW w:w="631" w:type="pct"/>
            <w:tcBorders>
              <w:tl2br w:val="nil"/>
              <w:tr2bl w:val="nil"/>
            </w:tcBorders>
            <w:vAlign w:val="center"/>
          </w:tcPr>
          <w:p w14:paraId="41ECC07D">
            <w:pPr>
              <w:pStyle w:val="77"/>
              <w:keepNext w:val="0"/>
              <w:keepLines w:val="0"/>
              <w:pageBreakBefore w:val="0"/>
              <w:kinsoku/>
              <w:wordWrap/>
              <w:overflowPunct/>
              <w:topLinePunct w:val="0"/>
              <w:autoSpaceDE/>
              <w:autoSpaceDN/>
              <w:bidi w:val="0"/>
              <w:adjustRightInd/>
              <w:snapToGrid/>
              <w:spacing w:line="320" w:lineRule="exact"/>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19.1</w:t>
            </w:r>
          </w:p>
        </w:tc>
        <w:tc>
          <w:tcPr>
            <w:tcW w:w="331" w:type="pct"/>
            <w:tcBorders>
              <w:tl2br w:val="nil"/>
              <w:tr2bl w:val="nil"/>
            </w:tcBorders>
            <w:vAlign w:val="center"/>
          </w:tcPr>
          <w:p w14:paraId="520E0A0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bCs/>
                <w:color w:val="auto"/>
                <w:sz w:val="21"/>
                <w:szCs w:val="21"/>
              </w:rPr>
            </w:pPr>
            <w:r>
              <w:rPr>
                <w:rFonts w:ascii="Times New Roman" w:hAnsi="Times New Roman" w:eastAsia="宋体" w:cs="Times New Roman"/>
                <w:bCs/>
                <w:color w:val="auto"/>
                <w:sz w:val="21"/>
                <w:szCs w:val="21"/>
              </w:rPr>
              <w:t>达标</w:t>
            </w:r>
          </w:p>
        </w:tc>
        <w:tc>
          <w:tcPr>
            <w:tcW w:w="307" w:type="pct"/>
            <w:tcBorders>
              <w:tl2br w:val="nil"/>
              <w:tr2bl w:val="nil"/>
            </w:tcBorders>
            <w:vAlign w:val="center"/>
          </w:tcPr>
          <w:p w14:paraId="4E53B0C6">
            <w:pPr>
              <w:pStyle w:val="3"/>
              <w:keepNext w:val="0"/>
              <w:keepLines w:val="0"/>
              <w:pageBreakBefore w:val="0"/>
              <w:kinsoku/>
              <w:wordWrap/>
              <w:overflowPunct/>
              <w:topLinePunct w:val="0"/>
              <w:autoSpaceDE/>
              <w:autoSpaceDN/>
              <w:bidi w:val="0"/>
              <w:adjustRightInd/>
              <w:snapToGrid/>
              <w:spacing w:after="0" w:line="320" w:lineRule="exact"/>
              <w:ind w:left="0" w:firstLine="0" w:firstLineChars="0"/>
              <w:jc w:val="center"/>
              <w:rPr>
                <w:rFonts w:eastAsia="宋体" w:cs="Times New Roman"/>
                <w:bCs/>
                <w:color w:val="auto"/>
                <w:sz w:val="21"/>
                <w:szCs w:val="21"/>
              </w:rPr>
            </w:pPr>
            <w:r>
              <w:rPr>
                <w:rFonts w:eastAsia="宋体" w:cs="Times New Roman"/>
                <w:bCs/>
                <w:color w:val="auto"/>
                <w:sz w:val="21"/>
                <w:szCs w:val="21"/>
              </w:rPr>
              <w:t>达标</w:t>
            </w:r>
          </w:p>
        </w:tc>
      </w:tr>
    </w:tbl>
    <w:p w14:paraId="508194D1">
      <w:pPr>
        <w:ind w:firstLine="0" w:firstLineChars="0"/>
        <w:jc w:val="center"/>
        <w:rPr>
          <w:color w:val="auto"/>
        </w:rPr>
      </w:pPr>
      <w:r>
        <w:rPr>
          <w:color w:val="auto"/>
        </w:rPr>
        <w:drawing>
          <wp:inline distT="0" distB="0" distL="114300" distR="114300">
            <wp:extent cx="7708265" cy="4923155"/>
            <wp:effectExtent l="0" t="0" r="3175" b="1460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112"/>
                    <a:stretch>
                      <a:fillRect/>
                    </a:stretch>
                  </pic:blipFill>
                  <pic:spPr>
                    <a:xfrm>
                      <a:off x="0" y="0"/>
                      <a:ext cx="7708265" cy="4923155"/>
                    </a:xfrm>
                    <a:prstGeom prst="rect">
                      <a:avLst/>
                    </a:prstGeom>
                    <a:noFill/>
                    <a:ln>
                      <a:noFill/>
                    </a:ln>
                  </pic:spPr>
                </pic:pic>
              </a:graphicData>
            </a:graphic>
          </wp:inline>
        </w:drawing>
      </w:r>
    </w:p>
    <w:p w14:paraId="74116FF7">
      <w:pPr>
        <w:ind w:firstLine="0" w:firstLineChars="0"/>
        <w:jc w:val="center"/>
        <w:rPr>
          <w:rFonts w:hint="eastAsia" w:ascii="Times New Roman" w:hAnsi="Times New Roman" w:eastAsia="宋体" w:cs="Times New Roman"/>
          <w:b/>
          <w:bCs/>
          <w:color w:val="auto"/>
          <w:kern w:val="0"/>
          <w:sz w:val="24"/>
          <w:szCs w:val="24"/>
          <w:highlight w:val="none"/>
          <w:lang w:val="en-US" w:eastAsia="zh-CN" w:bidi="ar-SA"/>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eastAsia="宋体" w:cs="Times New Roman"/>
          <w:b/>
          <w:bCs/>
          <w:color w:val="auto"/>
          <w:kern w:val="0"/>
          <w:sz w:val="24"/>
          <w:szCs w:val="24"/>
          <w:highlight w:val="none"/>
          <w:lang w:val="en-US" w:eastAsia="zh-CN" w:bidi="ar-SA"/>
        </w:rPr>
        <w:t>图6.2-15 本项目噪声贡献值预测图</w:t>
      </w:r>
    </w:p>
    <w:p w14:paraId="1E330839">
      <w:pPr>
        <w:keepNext w:val="0"/>
        <w:keepLines w:val="0"/>
        <w:pageBreakBefore w:val="0"/>
        <w:widowControl w:val="0"/>
        <w:kinsoku/>
        <w:wordWrap/>
        <w:overflowPunct/>
        <w:topLinePunct w:val="0"/>
        <w:autoSpaceDE/>
        <w:autoSpaceDN/>
        <w:bidi w:val="0"/>
        <w:adjustRightInd w:val="0"/>
        <w:snapToGrid w:val="0"/>
        <w:spacing w:line="500" w:lineRule="exact"/>
        <w:ind w:firstLine="480"/>
        <w:textAlignment w:val="auto"/>
        <w:rPr>
          <w:rFonts w:hint="eastAsia"/>
          <w:color w:val="auto"/>
          <w:szCs w:val="22"/>
          <w:lang w:val="en-US" w:eastAsia="zh-CN"/>
        </w:rPr>
      </w:pPr>
      <w:r>
        <w:rPr>
          <w:rFonts w:ascii="Times New Roman" w:hAnsi="Times New Roman" w:eastAsia="宋体" w:cs="Times New Roman"/>
          <w:color w:val="auto"/>
          <w:szCs w:val="24"/>
        </w:rPr>
        <w:t>本项目噪声源采取封闭厂房，设单独的风机间、锅炉间、同时采取减振、消声、吸声装置降噪，</w:t>
      </w:r>
      <w:r>
        <w:rPr>
          <w:rFonts w:hint="eastAsia" w:ascii="Times New Roman" w:hAnsi="Times New Roman" w:eastAsia="宋体" w:cs="Times New Roman"/>
          <w:color w:val="auto"/>
          <w:lang w:val="en-US" w:eastAsia="zh-CN"/>
        </w:rPr>
        <w:t>定期对燃煤转运车辆进行维护保养，夜间（22:00-次日6:00）禁止运行，降低转运车辆噪声，</w:t>
      </w:r>
      <w:r>
        <w:rPr>
          <w:rFonts w:hint="eastAsia"/>
          <w:color w:val="auto"/>
          <w:szCs w:val="22"/>
          <w:lang w:val="en-US" w:eastAsia="zh-CN"/>
        </w:rPr>
        <w:t>且煤场为全封闭煤库，可减小燃煤转运噪声对周边居民的影响。</w:t>
      </w:r>
    </w:p>
    <w:p w14:paraId="30B99086">
      <w:pPr>
        <w:keepNext w:val="0"/>
        <w:keepLines w:val="0"/>
        <w:pageBreakBefore w:val="0"/>
        <w:widowControl w:val="0"/>
        <w:kinsoku/>
        <w:wordWrap/>
        <w:overflowPunct/>
        <w:topLinePunct w:val="0"/>
        <w:autoSpaceDE/>
        <w:autoSpaceDN/>
        <w:bidi w:val="0"/>
        <w:adjustRightInd w:val="0"/>
        <w:snapToGrid w:val="0"/>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szCs w:val="24"/>
        </w:rPr>
        <w:t>正常工况下，厂界昼夜间噪声满足《工业企业厂界环境噪声排放标准》（GB12348-2008）表1工业企业厂界环境噪声排放限值中</w:t>
      </w:r>
      <w:r>
        <w:rPr>
          <w:rFonts w:hint="eastAsia" w:ascii="Times New Roman" w:hAnsi="Times New Roman" w:eastAsia="宋体" w:cs="Times New Roman"/>
          <w:color w:val="auto"/>
          <w:szCs w:val="24"/>
          <w:lang w:val="en-US" w:eastAsia="zh-CN"/>
        </w:rPr>
        <w:t>2</w:t>
      </w:r>
      <w:r>
        <w:rPr>
          <w:rFonts w:ascii="Times New Roman" w:hAnsi="Times New Roman" w:eastAsia="宋体" w:cs="Times New Roman"/>
          <w:color w:val="auto"/>
          <w:szCs w:val="24"/>
        </w:rPr>
        <w:t>类声环境功能区标准，</w:t>
      </w:r>
      <w:r>
        <w:rPr>
          <w:rFonts w:hint="eastAsia" w:ascii="Times New Roman" w:hAnsi="Times New Roman" w:eastAsia="宋体" w:cs="Times New Roman"/>
          <w:color w:val="auto"/>
          <w:szCs w:val="24"/>
          <w:lang w:val="en-US" w:eastAsia="zh-CN"/>
        </w:rPr>
        <w:t>本项目</w:t>
      </w:r>
      <w:r>
        <w:rPr>
          <w:rFonts w:ascii="Times New Roman" w:hAnsi="Times New Roman" w:eastAsia="宋体" w:cs="Times New Roman"/>
          <w:color w:val="auto"/>
          <w:szCs w:val="24"/>
        </w:rPr>
        <w:t>声环境</w:t>
      </w:r>
      <w:r>
        <w:rPr>
          <w:rFonts w:hint="eastAsia" w:ascii="Times New Roman" w:hAnsi="Times New Roman" w:eastAsia="宋体" w:cs="Times New Roman"/>
          <w:color w:val="auto"/>
          <w:szCs w:val="24"/>
        </w:rPr>
        <w:t>敏感</w:t>
      </w:r>
      <w:r>
        <w:rPr>
          <w:rFonts w:ascii="Times New Roman" w:hAnsi="Times New Roman" w:eastAsia="宋体" w:cs="Times New Roman"/>
          <w:color w:val="auto"/>
          <w:szCs w:val="24"/>
        </w:rPr>
        <w:t>目标</w:t>
      </w:r>
      <w:r>
        <w:rPr>
          <w:rFonts w:hint="eastAsia" w:ascii="Times New Roman" w:hAnsi="Times New Roman" w:eastAsia="宋体" w:cs="Times New Roman"/>
          <w:color w:val="auto"/>
          <w:szCs w:val="24"/>
          <w:lang w:val="en-US" w:eastAsia="zh-CN"/>
        </w:rPr>
        <w:t>（主要为厂区外居民区）</w:t>
      </w:r>
      <w:r>
        <w:rPr>
          <w:rFonts w:ascii="Times New Roman" w:hAnsi="Times New Roman" w:eastAsia="宋体" w:cs="Times New Roman"/>
          <w:color w:val="auto"/>
          <w:szCs w:val="24"/>
        </w:rPr>
        <w:t>昼夜间噪声预测值</w:t>
      </w:r>
      <w:r>
        <w:rPr>
          <w:rFonts w:hint="eastAsia" w:ascii="Times New Roman" w:hAnsi="Times New Roman" w:eastAsia="宋体" w:cs="Times New Roman"/>
          <w:color w:val="auto"/>
          <w:szCs w:val="24"/>
        </w:rPr>
        <w:t>均</w:t>
      </w:r>
      <w:r>
        <w:rPr>
          <w:rFonts w:ascii="Times New Roman" w:hAnsi="Times New Roman" w:eastAsia="宋体" w:cs="Times New Roman"/>
          <w:color w:val="auto"/>
          <w:szCs w:val="24"/>
        </w:rPr>
        <w:t>满足《声环境质量标准》表1环境噪声限值中的</w:t>
      </w:r>
      <w:r>
        <w:rPr>
          <w:rFonts w:hint="eastAsia" w:ascii="Times New Roman" w:hAnsi="Times New Roman" w:eastAsia="宋体" w:cs="Times New Roman"/>
          <w:color w:val="auto"/>
          <w:szCs w:val="24"/>
          <w:lang w:val="en-US" w:eastAsia="zh-CN"/>
        </w:rPr>
        <w:t>2</w:t>
      </w:r>
      <w:r>
        <w:rPr>
          <w:rFonts w:ascii="Times New Roman" w:hAnsi="Times New Roman" w:eastAsia="宋体" w:cs="Times New Roman"/>
          <w:color w:val="auto"/>
          <w:szCs w:val="24"/>
        </w:rPr>
        <w:t>类标准</w:t>
      </w:r>
      <w:r>
        <w:rPr>
          <w:rFonts w:hint="eastAsia" w:ascii="Times New Roman" w:hAnsi="Times New Roman" w:eastAsia="宋体" w:cs="Times New Roman"/>
          <w:color w:val="auto"/>
          <w:szCs w:val="24"/>
          <w:lang w:eastAsia="zh-CN"/>
        </w:rPr>
        <w:t>，即昼间</w:t>
      </w:r>
      <w:r>
        <w:rPr>
          <w:rFonts w:hint="eastAsia" w:ascii="Times New Roman" w:hAnsi="Times New Roman" w:eastAsia="宋体" w:cs="Times New Roman"/>
          <w:color w:val="auto"/>
          <w:szCs w:val="24"/>
          <w:lang w:val="en-US" w:eastAsia="zh-CN"/>
        </w:rPr>
        <w:t>60</w:t>
      </w:r>
      <w:r>
        <w:rPr>
          <w:rFonts w:hint="eastAsia" w:ascii="Times New Roman" w:hAnsi="Times New Roman" w:eastAsia="宋体" w:cs="Times New Roman"/>
          <w:color w:val="auto"/>
          <w:szCs w:val="24"/>
          <w:lang w:eastAsia="zh-CN"/>
        </w:rPr>
        <w:t>dB(A)，夜间</w:t>
      </w:r>
      <w:r>
        <w:rPr>
          <w:rFonts w:hint="eastAsia" w:ascii="Times New Roman" w:hAnsi="Times New Roman" w:eastAsia="宋体" w:cs="Times New Roman"/>
          <w:color w:val="auto"/>
          <w:szCs w:val="24"/>
          <w:lang w:val="en-US" w:eastAsia="zh-CN"/>
        </w:rPr>
        <w:t>50</w:t>
      </w:r>
      <w:r>
        <w:rPr>
          <w:rFonts w:hint="eastAsia" w:ascii="Times New Roman" w:hAnsi="Times New Roman" w:eastAsia="宋体" w:cs="Times New Roman"/>
          <w:color w:val="auto"/>
          <w:szCs w:val="24"/>
          <w:lang w:eastAsia="zh-CN"/>
        </w:rPr>
        <w:t>dB(A)</w:t>
      </w:r>
      <w:r>
        <w:rPr>
          <w:rFonts w:hint="eastAsia"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对四周居民影响较小，</w:t>
      </w:r>
      <w:r>
        <w:rPr>
          <w:rFonts w:ascii="Times New Roman" w:hAnsi="Times New Roman" w:eastAsia="宋体" w:cs="Times New Roman"/>
          <w:color w:val="auto"/>
          <w:szCs w:val="24"/>
        </w:rPr>
        <w:t>项目建设对声环境</w:t>
      </w:r>
      <w:r>
        <w:rPr>
          <w:rFonts w:hint="eastAsia" w:ascii="Times New Roman" w:hAnsi="Times New Roman" w:eastAsia="宋体" w:cs="Times New Roman"/>
          <w:color w:val="auto"/>
          <w:szCs w:val="24"/>
          <w:lang w:val="en-US" w:eastAsia="zh-CN"/>
        </w:rPr>
        <w:t>敏感点</w:t>
      </w:r>
      <w:r>
        <w:rPr>
          <w:rFonts w:ascii="Times New Roman" w:hAnsi="Times New Roman" w:eastAsia="宋体" w:cs="Times New Roman"/>
          <w:color w:val="auto"/>
          <w:szCs w:val="24"/>
        </w:rPr>
        <w:t>的影响是可以接受的。从声环境</w:t>
      </w:r>
      <w:r>
        <w:rPr>
          <w:rFonts w:hint="eastAsia" w:ascii="Times New Roman" w:hAnsi="Times New Roman" w:eastAsia="宋体" w:cs="Times New Roman"/>
          <w:color w:val="auto"/>
          <w:szCs w:val="24"/>
          <w:lang w:val="en-US" w:eastAsia="zh-CN"/>
        </w:rPr>
        <w:t>影响</w:t>
      </w:r>
      <w:r>
        <w:rPr>
          <w:rFonts w:ascii="Times New Roman" w:hAnsi="Times New Roman" w:eastAsia="宋体" w:cs="Times New Roman"/>
          <w:color w:val="auto"/>
          <w:szCs w:val="24"/>
        </w:rPr>
        <w:t>角度</w:t>
      </w:r>
      <w:r>
        <w:rPr>
          <w:rFonts w:hint="eastAsia" w:ascii="Times New Roman" w:hAnsi="Times New Roman" w:eastAsia="宋体" w:cs="Times New Roman"/>
          <w:color w:val="auto"/>
          <w:szCs w:val="24"/>
          <w:lang w:val="en-US" w:eastAsia="zh-CN"/>
        </w:rPr>
        <w:t>分析</w:t>
      </w:r>
      <w:r>
        <w:rPr>
          <w:rFonts w:ascii="Times New Roman" w:hAnsi="Times New Roman" w:eastAsia="宋体" w:cs="Times New Roman"/>
          <w:color w:val="auto"/>
          <w:szCs w:val="24"/>
        </w:rPr>
        <w:t>，本工程的建设是可行的。</w:t>
      </w:r>
    </w:p>
    <w:p w14:paraId="65C25B7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35" w:name="_Toc2820"/>
      <w:bookmarkStart w:id="436" w:name="_Toc693"/>
      <w:bookmarkStart w:id="437" w:name="_Toc6899"/>
      <w:r>
        <w:rPr>
          <w:rFonts w:hint="eastAsia" w:ascii="Times New Roman" w:hAnsi="Times New Roman" w:eastAsia="宋体" w:cs="Times New Roman"/>
          <w:b/>
          <w:bCs/>
          <w:color w:val="auto"/>
          <w:sz w:val="28"/>
          <w:szCs w:val="28"/>
          <w:lang w:val="en-US" w:eastAsia="zh-CN"/>
        </w:rPr>
        <w:t>6.2.4 固体废物影响评价</w:t>
      </w:r>
      <w:bookmarkEnd w:id="435"/>
      <w:bookmarkEnd w:id="436"/>
      <w:bookmarkEnd w:id="437"/>
    </w:p>
    <w:p w14:paraId="3FA5F53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锅炉除灰渣系统产生的锅炉灰渣在厂区灰渣仓，脱硫副产物在脱硫副产品间分别暂存后，外售综合利用单位，废布袋由厂家定期更换回收，不在厂区堆存；废离子交换树脂由更换厂家定期回收；初期雨水收集池沉渣作为燃料入炉燃烧；不新增工作人员，因此不新增生活垃圾。</w:t>
      </w:r>
    </w:p>
    <w:p w14:paraId="03A9380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建设项目危险废物环境影响评价指南》、《危险废物贮存污染控制标准》（GB18597-2023）要求，确保危险废物不非法流失，合法利用或处置；危废贮存场所贮存多种危险废物的，应根据本项目所产生的危险废物类别和性质进行分类贮存。改扩建及异地搬迁项目需说明现有工程危险废物的产生、收集、贮存、运输、利用和处置情况及处置能力，存在的环境问题及拟采取的“以新带老”措施等内容，改扩建项目产生的危险废物与现有贮存或处置的危险废物的相容性等。</w:t>
      </w:r>
    </w:p>
    <w:p w14:paraId="692B51C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属于改扩建项目，根据《国家危险废物名录（2025年版）》，本项目机械维修过程中产生的废矿物油属于危险废物（HW08废矿物油与含矿物油废物中非特定行业900-214-08车辆、轮船及其它机械维修过程中产生的废发动机油、制动器油、自动变速器油、齿轮油等废润滑油）。本项目脱硝系统产生的废脱硝催化剂（寿命3年）的主要成份有V</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O</w:t>
      </w:r>
      <w:r>
        <w:rPr>
          <w:rFonts w:hint="eastAsia" w:ascii="Times New Roman" w:hAnsi="Times New Roman" w:eastAsia="宋体" w:cs="Times New Roman"/>
          <w:color w:val="auto"/>
          <w:sz w:val="24"/>
          <w:szCs w:val="24"/>
          <w:highlight w:val="none"/>
          <w:vertAlign w:val="subscript"/>
          <w:lang w:val="en-US" w:eastAsia="zh-CN"/>
        </w:rPr>
        <w:t>5</w:t>
      </w:r>
      <w:r>
        <w:rPr>
          <w:rFonts w:hint="eastAsia" w:ascii="Times New Roman" w:hAnsi="Times New Roman" w:eastAsia="宋体" w:cs="Times New Roman"/>
          <w:color w:val="auto"/>
          <w:sz w:val="24"/>
          <w:szCs w:val="24"/>
          <w:highlight w:val="none"/>
          <w:lang w:val="en-US" w:eastAsia="zh-CN"/>
        </w:rPr>
        <w:t>、WO</w:t>
      </w:r>
      <w:r>
        <w:rPr>
          <w:rFonts w:hint="eastAsia" w:ascii="Times New Roman" w:hAnsi="Times New Roman" w:eastAsia="宋体" w:cs="Times New Roman"/>
          <w:color w:val="auto"/>
          <w:sz w:val="24"/>
          <w:szCs w:val="24"/>
          <w:highlight w:val="none"/>
          <w:vertAlign w:val="subscript"/>
          <w:lang w:val="en-US" w:eastAsia="zh-CN"/>
        </w:rPr>
        <w:t>3</w:t>
      </w:r>
      <w:r>
        <w:rPr>
          <w:rFonts w:hint="eastAsia" w:ascii="Times New Roman" w:hAnsi="Times New Roman" w:eastAsia="宋体" w:cs="Times New Roman"/>
          <w:color w:val="auto"/>
          <w:sz w:val="24"/>
          <w:szCs w:val="24"/>
          <w:highlight w:val="none"/>
          <w:lang w:val="en-US" w:eastAsia="zh-CN"/>
        </w:rPr>
        <w:t>和TiO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根据《国家危险废物名录》（2025年版）可知，本项目产生的脱硝废催化剂属于危险废物（HW50废催化剂中的772-007-50烟气脱硝过程中产生的废钒钛系催化剂）。由设备厂家对脱硝催化剂进行定期更换，产废周期较长，废脱硝催化剂不在厂区暂存，直接由更换厂家委托有资质单位进行运输处置。</w:t>
      </w:r>
      <w:r>
        <w:rPr>
          <w:rFonts w:hint="default" w:ascii="Times New Roman" w:hAnsi="Times New Roman" w:eastAsia="宋体" w:cs="Times New Roman"/>
          <w:color w:val="auto"/>
          <w:sz w:val="24"/>
          <w:szCs w:val="24"/>
          <w:highlight w:val="none"/>
          <w:lang w:val="en-US" w:eastAsia="zh-CN"/>
        </w:rPr>
        <w:t>本项目</w:t>
      </w:r>
      <w:r>
        <w:rPr>
          <w:rFonts w:hint="eastAsia" w:ascii="Times New Roman" w:hAnsi="Times New Roman" w:eastAsia="宋体" w:cs="Times New Roman"/>
          <w:color w:val="auto"/>
          <w:sz w:val="24"/>
          <w:szCs w:val="24"/>
          <w:highlight w:val="none"/>
          <w:lang w:val="en-US" w:eastAsia="zh-CN"/>
        </w:rPr>
        <w:t>危废贮存点</w:t>
      </w:r>
      <w:r>
        <w:rPr>
          <w:rFonts w:hint="default" w:ascii="Times New Roman" w:hAnsi="Times New Roman" w:eastAsia="宋体" w:cs="Times New Roman"/>
          <w:color w:val="auto"/>
          <w:sz w:val="24"/>
          <w:szCs w:val="24"/>
          <w:highlight w:val="none"/>
          <w:lang w:val="en-US" w:eastAsia="zh-CN"/>
        </w:rPr>
        <w:t>的贮存能力能够满足危险废物的贮存要求，</w:t>
      </w:r>
      <w:r>
        <w:rPr>
          <w:rFonts w:hint="eastAsia" w:ascii="Times New Roman" w:hAnsi="Times New Roman" w:eastAsia="宋体" w:cs="Times New Roman"/>
          <w:color w:val="auto"/>
          <w:sz w:val="24"/>
          <w:szCs w:val="24"/>
          <w:highlight w:val="none"/>
          <w:lang w:val="en-US" w:eastAsia="zh-CN"/>
        </w:rPr>
        <w:t>危废贮存点</w:t>
      </w:r>
      <w:r>
        <w:rPr>
          <w:rFonts w:hint="default" w:ascii="Times New Roman" w:hAnsi="Times New Roman" w:eastAsia="宋体" w:cs="Times New Roman"/>
          <w:color w:val="auto"/>
          <w:sz w:val="24"/>
          <w:szCs w:val="24"/>
          <w:highlight w:val="none"/>
          <w:lang w:val="en-US" w:eastAsia="zh-CN"/>
        </w:rPr>
        <w:t>已做好基础防渗工作；贮存过程中使用符合标准的容器盛装危险废物，装载危险废物的容器及材质要满足相应的强度要求；保存好危险废物情况的记录，记录上须注明危险废物的名称、来源、数量、特性和包装容器的类别、入库日期、存放库位、废物出库日期及接收单位名称。确保危险废物不非法流失，合法利用或处置；</w:t>
      </w:r>
      <w:r>
        <w:rPr>
          <w:rFonts w:hint="eastAsia" w:ascii="Times New Roman" w:hAnsi="Times New Roman" w:eastAsia="宋体" w:cs="Times New Roman"/>
          <w:color w:val="auto"/>
          <w:sz w:val="24"/>
          <w:szCs w:val="24"/>
          <w:highlight w:val="none"/>
          <w:lang w:val="en-US" w:eastAsia="zh-CN"/>
        </w:rPr>
        <w:t>危废贮存点</w:t>
      </w:r>
      <w:r>
        <w:rPr>
          <w:rFonts w:hint="default" w:ascii="Times New Roman" w:hAnsi="Times New Roman" w:eastAsia="宋体" w:cs="Times New Roman"/>
          <w:color w:val="auto"/>
          <w:sz w:val="24"/>
          <w:szCs w:val="24"/>
          <w:highlight w:val="none"/>
          <w:lang w:val="en-US" w:eastAsia="zh-CN"/>
        </w:rPr>
        <w:t>贮存多种危险废物的，应根据本项目所产生的危险废物类别和性质进行分类贮存。通过采取上述措施后能够预防危险废物对环境的影响。</w:t>
      </w:r>
      <w:r>
        <w:rPr>
          <w:rFonts w:hint="eastAsia" w:ascii="Times New Roman" w:hAnsi="Times New Roman" w:eastAsia="宋体" w:cs="Times New Roman"/>
          <w:color w:val="auto"/>
          <w:sz w:val="24"/>
          <w:szCs w:val="24"/>
          <w:highlight w:val="none"/>
          <w:lang w:val="en-US" w:eastAsia="zh-CN"/>
        </w:rPr>
        <w:t>本项目危险废物产生情况</w:t>
      </w:r>
      <w:r>
        <w:rPr>
          <w:rFonts w:hint="default" w:ascii="Times New Roman" w:hAnsi="Times New Roman" w:eastAsia="宋体" w:cs="Times New Roman"/>
          <w:color w:val="auto"/>
          <w:sz w:val="24"/>
          <w:szCs w:val="24"/>
          <w:highlight w:val="none"/>
          <w:lang w:val="en-US" w:eastAsia="zh-CN"/>
        </w:rPr>
        <w:t>及贮存场所情况</w:t>
      </w:r>
      <w:r>
        <w:rPr>
          <w:rFonts w:hint="eastAsia" w:ascii="Times New Roman" w:hAnsi="Times New Roman" w:eastAsia="宋体" w:cs="Times New Roman"/>
          <w:color w:val="auto"/>
          <w:sz w:val="24"/>
          <w:szCs w:val="24"/>
          <w:highlight w:val="none"/>
          <w:lang w:val="en-US" w:eastAsia="zh-CN"/>
        </w:rPr>
        <w:t>见表6.2-45、6.2-46</w:t>
      </w:r>
    </w:p>
    <w:p w14:paraId="48B26D3D">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表6.2-4</w:t>
      </w:r>
      <w:r>
        <w:rPr>
          <w:rFonts w:hint="eastAsia" w:ascii="Times New Roman" w:hAnsi="Times New Roman" w:eastAsia="宋体" w:cs="Times New Roman"/>
          <w:b/>
          <w:bCs/>
          <w:color w:val="auto"/>
          <w:sz w:val="24"/>
          <w:szCs w:val="24"/>
          <w:lang w:val="en-US" w:eastAsia="zh-CN"/>
        </w:rPr>
        <w:t>5</w:t>
      </w:r>
      <w:r>
        <w:rPr>
          <w:rFonts w:hint="default" w:ascii="Times New Roman" w:hAnsi="Times New Roman" w:eastAsia="宋体" w:cs="Times New Roman"/>
          <w:b/>
          <w:bCs/>
          <w:color w:val="auto"/>
          <w:sz w:val="24"/>
          <w:szCs w:val="24"/>
          <w:lang w:eastAsia="zh-CN"/>
        </w:rPr>
        <w:t xml:space="preserve"> </w:t>
      </w:r>
      <w:r>
        <w:rPr>
          <w:rFonts w:hint="eastAsia"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本项目危险废物产生量及处置情况表</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613"/>
        <w:gridCol w:w="776"/>
        <w:gridCol w:w="1873"/>
        <w:gridCol w:w="914"/>
        <w:gridCol w:w="636"/>
        <w:gridCol w:w="498"/>
        <w:gridCol w:w="866"/>
        <w:gridCol w:w="481"/>
        <w:gridCol w:w="499"/>
        <w:gridCol w:w="933"/>
      </w:tblGrid>
      <w:tr w14:paraId="45C80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 w:type="pct"/>
            <w:tcBorders>
              <w:tl2br w:val="nil"/>
              <w:tr2bl w:val="nil"/>
            </w:tcBorders>
            <w:vAlign w:val="center"/>
          </w:tcPr>
          <w:p w14:paraId="3A5140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序号</w:t>
            </w:r>
          </w:p>
        </w:tc>
        <w:tc>
          <w:tcPr>
            <w:tcW w:w="412" w:type="pct"/>
            <w:tcBorders>
              <w:tl2br w:val="nil"/>
              <w:tr2bl w:val="nil"/>
            </w:tcBorders>
            <w:vAlign w:val="center"/>
          </w:tcPr>
          <w:p w14:paraId="3475D3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危险废物名称</w:t>
            </w:r>
          </w:p>
        </w:tc>
        <w:tc>
          <w:tcPr>
            <w:tcW w:w="397" w:type="pct"/>
            <w:tcBorders>
              <w:tl2br w:val="nil"/>
              <w:tr2bl w:val="nil"/>
            </w:tcBorders>
            <w:vAlign w:val="center"/>
          </w:tcPr>
          <w:p w14:paraId="679306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危险废物类别</w:t>
            </w:r>
          </w:p>
        </w:tc>
        <w:tc>
          <w:tcPr>
            <w:tcW w:w="1150" w:type="pct"/>
            <w:tcBorders>
              <w:tl2br w:val="nil"/>
              <w:tr2bl w:val="nil"/>
            </w:tcBorders>
            <w:vAlign w:val="center"/>
          </w:tcPr>
          <w:p w14:paraId="24F4E9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危险废物代码</w:t>
            </w:r>
          </w:p>
        </w:tc>
        <w:tc>
          <w:tcPr>
            <w:tcW w:w="357" w:type="pct"/>
            <w:tcBorders>
              <w:tl2br w:val="nil"/>
              <w:tr2bl w:val="nil"/>
            </w:tcBorders>
            <w:vAlign w:val="center"/>
          </w:tcPr>
          <w:p w14:paraId="551937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产生量</w:t>
            </w:r>
          </w:p>
        </w:tc>
        <w:tc>
          <w:tcPr>
            <w:tcW w:w="424" w:type="pct"/>
            <w:tcBorders>
              <w:tl2br w:val="nil"/>
              <w:tr2bl w:val="nil"/>
            </w:tcBorders>
            <w:vAlign w:val="center"/>
          </w:tcPr>
          <w:p w14:paraId="3AF646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产生</w:t>
            </w:r>
          </w:p>
          <w:p w14:paraId="1C16DF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工序</w:t>
            </w:r>
          </w:p>
        </w:tc>
        <w:tc>
          <w:tcPr>
            <w:tcW w:w="344" w:type="pct"/>
            <w:tcBorders>
              <w:tl2br w:val="nil"/>
              <w:tr2bl w:val="nil"/>
            </w:tcBorders>
            <w:vAlign w:val="center"/>
          </w:tcPr>
          <w:p w14:paraId="4C2FC8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形态</w:t>
            </w:r>
          </w:p>
        </w:tc>
        <w:tc>
          <w:tcPr>
            <w:tcW w:w="412" w:type="pct"/>
            <w:tcBorders>
              <w:tl2br w:val="nil"/>
              <w:tr2bl w:val="nil"/>
            </w:tcBorders>
            <w:vAlign w:val="center"/>
          </w:tcPr>
          <w:p w14:paraId="0E9B66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主要</w:t>
            </w:r>
          </w:p>
          <w:p w14:paraId="301298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成分</w:t>
            </w:r>
          </w:p>
        </w:tc>
        <w:tc>
          <w:tcPr>
            <w:tcW w:w="334" w:type="pct"/>
            <w:tcBorders>
              <w:tl2br w:val="nil"/>
              <w:tr2bl w:val="nil"/>
            </w:tcBorders>
            <w:vAlign w:val="center"/>
          </w:tcPr>
          <w:p w14:paraId="48D8AB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产废</w:t>
            </w:r>
          </w:p>
          <w:p w14:paraId="63F97F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周期</w:t>
            </w:r>
          </w:p>
        </w:tc>
        <w:tc>
          <w:tcPr>
            <w:tcW w:w="344" w:type="pct"/>
            <w:tcBorders>
              <w:tl2br w:val="nil"/>
              <w:tr2bl w:val="nil"/>
            </w:tcBorders>
            <w:vAlign w:val="center"/>
          </w:tcPr>
          <w:p w14:paraId="6DEAB8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危险</w:t>
            </w:r>
          </w:p>
          <w:p w14:paraId="20D2D52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特性</w:t>
            </w:r>
          </w:p>
        </w:tc>
        <w:tc>
          <w:tcPr>
            <w:tcW w:w="599" w:type="pct"/>
            <w:tcBorders>
              <w:tl2br w:val="nil"/>
              <w:tr2bl w:val="nil"/>
            </w:tcBorders>
            <w:vAlign w:val="center"/>
          </w:tcPr>
          <w:p w14:paraId="37CE34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GB" w:eastAsia="zh-CN"/>
              </w:rPr>
              <w:t>污染防治措施</w:t>
            </w:r>
          </w:p>
        </w:tc>
      </w:tr>
      <w:tr w14:paraId="24D68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 w:type="pct"/>
            <w:tcBorders>
              <w:tl2br w:val="nil"/>
              <w:tr2bl w:val="nil"/>
            </w:tcBorders>
            <w:vAlign w:val="center"/>
          </w:tcPr>
          <w:p w14:paraId="46FB88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412" w:type="pct"/>
            <w:tcBorders>
              <w:tl2br w:val="nil"/>
              <w:tr2bl w:val="nil"/>
            </w:tcBorders>
            <w:vAlign w:val="center"/>
          </w:tcPr>
          <w:p w14:paraId="256310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GB" w:eastAsia="zh-CN"/>
              </w:rPr>
              <w:t>废</w:t>
            </w:r>
            <w:r>
              <w:rPr>
                <w:rFonts w:hint="eastAsia" w:ascii="Times New Roman" w:hAnsi="Times New Roman" w:cs="Times New Roman"/>
                <w:color w:val="auto"/>
                <w:sz w:val="21"/>
                <w:szCs w:val="21"/>
                <w:highlight w:val="none"/>
                <w:lang w:val="en-US" w:eastAsia="zh-CN"/>
              </w:rPr>
              <w:t>脱硝</w:t>
            </w:r>
            <w:r>
              <w:rPr>
                <w:rFonts w:hint="eastAsia" w:ascii="Times New Roman" w:hAnsi="Times New Roman" w:cs="Times New Roman"/>
                <w:color w:val="auto"/>
                <w:sz w:val="21"/>
                <w:szCs w:val="21"/>
                <w:highlight w:val="none"/>
                <w:lang w:val="en-GB" w:eastAsia="zh-CN"/>
              </w:rPr>
              <w:t>催化剂</w:t>
            </w:r>
          </w:p>
        </w:tc>
        <w:tc>
          <w:tcPr>
            <w:tcW w:w="397" w:type="pct"/>
            <w:tcBorders>
              <w:tl2br w:val="nil"/>
              <w:tr2bl w:val="nil"/>
            </w:tcBorders>
            <w:vAlign w:val="center"/>
          </w:tcPr>
          <w:p w14:paraId="055642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HW50</w:t>
            </w:r>
          </w:p>
          <w:p w14:paraId="107A10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废催化剂</w:t>
            </w:r>
          </w:p>
        </w:tc>
        <w:tc>
          <w:tcPr>
            <w:tcW w:w="1150" w:type="pct"/>
            <w:tcBorders>
              <w:tl2br w:val="nil"/>
              <w:tr2bl w:val="nil"/>
            </w:tcBorders>
            <w:vAlign w:val="center"/>
          </w:tcPr>
          <w:p w14:paraId="0F293E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772-007-50烟气脱硝过程中产生的废钒钛系催化剂</w:t>
            </w:r>
          </w:p>
        </w:tc>
        <w:tc>
          <w:tcPr>
            <w:tcW w:w="357" w:type="pct"/>
            <w:tcBorders>
              <w:tl2br w:val="nil"/>
              <w:tr2bl w:val="nil"/>
            </w:tcBorders>
            <w:vAlign w:val="center"/>
          </w:tcPr>
          <w:p w14:paraId="598801D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US" w:eastAsia="zh-CN"/>
              </w:rPr>
              <w:t>20m</w:t>
            </w:r>
            <w:r>
              <w:rPr>
                <w:rFonts w:hint="eastAsia" w:ascii="Times New Roman" w:hAnsi="Times New Roman" w:cs="Times New Roman"/>
                <w:color w:val="auto"/>
                <w:sz w:val="21"/>
                <w:szCs w:val="21"/>
                <w:highlight w:val="none"/>
                <w:vertAlign w:val="superscript"/>
                <w:lang w:val="en-US" w:eastAsia="zh-CN"/>
              </w:rPr>
              <w:t>3</w:t>
            </w:r>
            <w:r>
              <w:rPr>
                <w:rFonts w:hint="eastAsia" w:ascii="Times New Roman" w:hAnsi="Times New Roman" w:cs="Times New Roman"/>
                <w:color w:val="auto"/>
                <w:sz w:val="21"/>
                <w:szCs w:val="21"/>
                <w:highlight w:val="none"/>
                <w:lang w:val="en-US" w:eastAsia="zh-CN"/>
              </w:rPr>
              <w:t>/3a</w:t>
            </w:r>
          </w:p>
        </w:tc>
        <w:tc>
          <w:tcPr>
            <w:tcW w:w="424" w:type="pct"/>
            <w:tcBorders>
              <w:tl2br w:val="nil"/>
              <w:tr2bl w:val="nil"/>
            </w:tcBorders>
            <w:vAlign w:val="center"/>
          </w:tcPr>
          <w:p w14:paraId="2A003D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脱硝</w:t>
            </w:r>
          </w:p>
          <w:p w14:paraId="503A5F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系统</w:t>
            </w:r>
          </w:p>
        </w:tc>
        <w:tc>
          <w:tcPr>
            <w:tcW w:w="344" w:type="pct"/>
            <w:tcBorders>
              <w:tl2br w:val="nil"/>
              <w:tr2bl w:val="nil"/>
            </w:tcBorders>
            <w:vAlign w:val="center"/>
          </w:tcPr>
          <w:p w14:paraId="043694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固态</w:t>
            </w:r>
          </w:p>
        </w:tc>
        <w:tc>
          <w:tcPr>
            <w:tcW w:w="412" w:type="pct"/>
            <w:tcBorders>
              <w:tl2br w:val="nil"/>
              <w:tr2bl w:val="nil"/>
            </w:tcBorders>
            <w:vAlign w:val="center"/>
          </w:tcPr>
          <w:p w14:paraId="51F99B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vertAlign w:val="baseline"/>
                <w:lang w:val="en-US" w:eastAsia="zh-CN"/>
              </w:rPr>
            </w:pPr>
            <w:r>
              <w:rPr>
                <w:rFonts w:hint="eastAsia" w:ascii="Times New Roman" w:hAnsi="Times New Roman" w:cs="Times New Roman"/>
                <w:color w:val="auto"/>
                <w:sz w:val="21"/>
                <w:szCs w:val="21"/>
                <w:highlight w:val="none"/>
                <w:lang w:val="en-US" w:eastAsia="zh-CN"/>
              </w:rPr>
              <w:t>V</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O</w:t>
            </w:r>
            <w:r>
              <w:rPr>
                <w:rFonts w:hint="eastAsia" w:ascii="Times New Roman" w:hAnsi="Times New Roman" w:cs="Times New Roman"/>
                <w:color w:val="auto"/>
                <w:sz w:val="21"/>
                <w:szCs w:val="21"/>
                <w:highlight w:val="none"/>
                <w:vertAlign w:val="subscript"/>
                <w:lang w:val="en-US" w:eastAsia="zh-CN"/>
              </w:rPr>
              <w:t>5</w:t>
            </w:r>
            <w:r>
              <w:rPr>
                <w:rFonts w:hint="eastAsia" w:cs="Times New Roman"/>
                <w:color w:val="auto"/>
                <w:sz w:val="21"/>
                <w:szCs w:val="21"/>
                <w:highlight w:val="none"/>
                <w:vertAlign w:val="baseline"/>
                <w:lang w:val="en-US" w:eastAsia="zh-CN"/>
              </w:rPr>
              <w:t>、</w:t>
            </w:r>
            <w:r>
              <w:rPr>
                <w:rFonts w:hint="eastAsia" w:ascii="Times New Roman" w:hAnsi="Times New Roman" w:cs="Times New Roman"/>
                <w:color w:val="auto"/>
                <w:sz w:val="21"/>
                <w:szCs w:val="21"/>
                <w:highlight w:val="none"/>
                <w:lang w:val="en-US" w:eastAsia="zh-CN"/>
              </w:rPr>
              <w:t>WO</w:t>
            </w:r>
            <w:r>
              <w:rPr>
                <w:rFonts w:hint="eastAsia" w:ascii="Times New Roman" w:hAnsi="Times New Roman" w:cs="Times New Roman"/>
                <w:color w:val="auto"/>
                <w:sz w:val="21"/>
                <w:szCs w:val="21"/>
                <w:highlight w:val="none"/>
                <w:vertAlign w:val="subscript"/>
                <w:lang w:val="en-US" w:eastAsia="zh-CN"/>
              </w:rPr>
              <w:t>3</w:t>
            </w:r>
            <w:r>
              <w:rPr>
                <w:rFonts w:hint="eastAsia" w:cs="Times New Roman"/>
                <w:color w:val="auto"/>
                <w:sz w:val="21"/>
                <w:szCs w:val="21"/>
                <w:highlight w:val="none"/>
                <w:vertAlign w:val="baseline"/>
                <w:lang w:val="en-US" w:eastAsia="zh-CN"/>
              </w:rPr>
              <w:t>、</w:t>
            </w:r>
          </w:p>
          <w:p w14:paraId="1B310A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TiO</w:t>
            </w:r>
            <w:r>
              <w:rPr>
                <w:rFonts w:hint="eastAsia" w:ascii="Times New Roman" w:hAnsi="Times New Roman" w:cs="Times New Roman"/>
                <w:color w:val="auto"/>
                <w:sz w:val="21"/>
                <w:szCs w:val="21"/>
                <w:highlight w:val="none"/>
                <w:vertAlign w:val="subscript"/>
                <w:lang w:val="en-US" w:eastAsia="zh-CN"/>
              </w:rPr>
              <w:t>2</w:t>
            </w:r>
          </w:p>
        </w:tc>
        <w:tc>
          <w:tcPr>
            <w:tcW w:w="334" w:type="pct"/>
            <w:tcBorders>
              <w:tl2br w:val="nil"/>
              <w:tr2bl w:val="nil"/>
            </w:tcBorders>
            <w:vAlign w:val="center"/>
          </w:tcPr>
          <w:p w14:paraId="472B9A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3a</w:t>
            </w:r>
          </w:p>
        </w:tc>
        <w:tc>
          <w:tcPr>
            <w:tcW w:w="344" w:type="pct"/>
            <w:tcBorders>
              <w:tl2br w:val="nil"/>
              <w:tr2bl w:val="nil"/>
            </w:tcBorders>
            <w:vAlign w:val="center"/>
          </w:tcPr>
          <w:p w14:paraId="7D69CB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毒性</w:t>
            </w:r>
          </w:p>
        </w:tc>
        <w:tc>
          <w:tcPr>
            <w:tcW w:w="599" w:type="pct"/>
            <w:tcBorders>
              <w:tl2br w:val="nil"/>
              <w:tr2bl w:val="nil"/>
            </w:tcBorders>
            <w:vAlign w:val="center"/>
          </w:tcPr>
          <w:p w14:paraId="5CE078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厂家定期更换，委托有资质单位拉运、处置，不在厂区暂存</w:t>
            </w:r>
          </w:p>
        </w:tc>
      </w:tr>
      <w:tr w14:paraId="5F51A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 w:type="pct"/>
            <w:tcBorders>
              <w:tl2br w:val="nil"/>
              <w:tr2bl w:val="nil"/>
            </w:tcBorders>
            <w:vAlign w:val="center"/>
          </w:tcPr>
          <w:p w14:paraId="377288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bookmarkStart w:id="438" w:name="_Toc31770"/>
            <w:bookmarkStart w:id="439" w:name="_Toc25894"/>
            <w:bookmarkStart w:id="440" w:name="_Toc20122"/>
            <w:r>
              <w:rPr>
                <w:rFonts w:hint="eastAsia" w:ascii="Times New Roman" w:hAnsi="Times New Roman" w:cs="Times New Roman"/>
                <w:color w:val="auto"/>
                <w:sz w:val="21"/>
                <w:szCs w:val="21"/>
                <w:highlight w:val="none"/>
                <w:lang w:val="en-US" w:eastAsia="zh-CN"/>
              </w:rPr>
              <w:t>2</w:t>
            </w:r>
          </w:p>
        </w:tc>
        <w:tc>
          <w:tcPr>
            <w:tcW w:w="412" w:type="pct"/>
            <w:tcBorders>
              <w:tl2br w:val="nil"/>
              <w:tr2bl w:val="nil"/>
            </w:tcBorders>
            <w:vAlign w:val="center"/>
          </w:tcPr>
          <w:p w14:paraId="7B425B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US" w:eastAsia="zh-CN"/>
              </w:rPr>
              <w:t>废矿物油</w:t>
            </w:r>
          </w:p>
        </w:tc>
        <w:tc>
          <w:tcPr>
            <w:tcW w:w="397" w:type="pct"/>
            <w:tcBorders>
              <w:tl2br w:val="nil"/>
              <w:tr2bl w:val="nil"/>
            </w:tcBorders>
            <w:vAlign w:val="center"/>
          </w:tcPr>
          <w:p w14:paraId="2ED771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HW08</w:t>
            </w:r>
          </w:p>
          <w:p w14:paraId="24756FD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废矿物油与含矿物油废物</w:t>
            </w:r>
          </w:p>
        </w:tc>
        <w:tc>
          <w:tcPr>
            <w:tcW w:w="1150" w:type="pct"/>
            <w:tcBorders>
              <w:tl2br w:val="nil"/>
              <w:tr2bl w:val="nil"/>
            </w:tcBorders>
            <w:vAlign w:val="center"/>
          </w:tcPr>
          <w:p w14:paraId="460620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GB" w:eastAsia="zh-CN"/>
              </w:rPr>
              <w:t>非特定行业</w:t>
            </w:r>
            <w:r>
              <w:rPr>
                <w:rFonts w:hint="eastAsia" w:ascii="Times New Roman" w:hAnsi="Times New Roman" w:cs="Times New Roman"/>
                <w:color w:val="auto"/>
                <w:sz w:val="21"/>
                <w:szCs w:val="21"/>
                <w:highlight w:val="none"/>
                <w:lang w:val="en-US" w:eastAsia="zh-CN"/>
              </w:rPr>
              <w:t>900-214-08车辆、轮船及其他机械维修过程中产生的废发动机油、制动器油、自动变速器油、齿轮油等废润滑油</w:t>
            </w:r>
          </w:p>
        </w:tc>
        <w:tc>
          <w:tcPr>
            <w:tcW w:w="357" w:type="pct"/>
            <w:tcBorders>
              <w:tl2br w:val="nil"/>
              <w:tr2bl w:val="nil"/>
            </w:tcBorders>
            <w:vAlign w:val="center"/>
          </w:tcPr>
          <w:p w14:paraId="33CF0D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0.2</w:t>
            </w:r>
          </w:p>
        </w:tc>
        <w:tc>
          <w:tcPr>
            <w:tcW w:w="424" w:type="pct"/>
            <w:tcBorders>
              <w:tl2br w:val="nil"/>
              <w:tr2bl w:val="nil"/>
            </w:tcBorders>
            <w:vAlign w:val="center"/>
          </w:tcPr>
          <w:p w14:paraId="071387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车辆、机械维修过程</w:t>
            </w:r>
          </w:p>
        </w:tc>
        <w:tc>
          <w:tcPr>
            <w:tcW w:w="344" w:type="pct"/>
            <w:tcBorders>
              <w:tl2br w:val="nil"/>
              <w:tr2bl w:val="nil"/>
            </w:tcBorders>
            <w:vAlign w:val="center"/>
          </w:tcPr>
          <w:p w14:paraId="4DE67D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液态</w:t>
            </w:r>
          </w:p>
        </w:tc>
        <w:tc>
          <w:tcPr>
            <w:tcW w:w="412" w:type="pct"/>
            <w:tcBorders>
              <w:tl2br w:val="nil"/>
              <w:tr2bl w:val="nil"/>
            </w:tcBorders>
            <w:vAlign w:val="center"/>
          </w:tcPr>
          <w:p w14:paraId="6B72D9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矿物油</w:t>
            </w:r>
          </w:p>
        </w:tc>
        <w:tc>
          <w:tcPr>
            <w:tcW w:w="334" w:type="pct"/>
            <w:tcBorders>
              <w:tl2br w:val="nil"/>
              <w:tr2bl w:val="nil"/>
            </w:tcBorders>
            <w:vAlign w:val="center"/>
          </w:tcPr>
          <w:p w14:paraId="74D42C8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1a</w:t>
            </w:r>
          </w:p>
        </w:tc>
        <w:tc>
          <w:tcPr>
            <w:tcW w:w="344" w:type="pct"/>
            <w:tcBorders>
              <w:tl2br w:val="nil"/>
              <w:tr2bl w:val="nil"/>
            </w:tcBorders>
            <w:vAlign w:val="center"/>
          </w:tcPr>
          <w:p w14:paraId="38BEF0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毒性</w:t>
            </w:r>
          </w:p>
          <w:p w14:paraId="6F958E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易燃性</w:t>
            </w:r>
          </w:p>
        </w:tc>
        <w:tc>
          <w:tcPr>
            <w:tcW w:w="599" w:type="pct"/>
            <w:tcBorders>
              <w:tl2br w:val="nil"/>
              <w:tr2bl w:val="nil"/>
            </w:tcBorders>
            <w:vAlign w:val="center"/>
          </w:tcPr>
          <w:p w14:paraId="742763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GB" w:eastAsia="zh-CN"/>
              </w:rPr>
              <w:t>危废贮存点</w:t>
            </w:r>
            <w:r>
              <w:rPr>
                <w:rFonts w:hint="eastAsia" w:ascii="Times New Roman" w:hAnsi="Times New Roman" w:cs="Times New Roman"/>
                <w:color w:val="auto"/>
                <w:sz w:val="21"/>
                <w:szCs w:val="21"/>
                <w:highlight w:val="none"/>
                <w:lang w:val="en-US" w:eastAsia="zh-CN"/>
              </w:rPr>
              <w:t>暂存后委托有危废处理资质的单位</w:t>
            </w:r>
            <w:r>
              <w:rPr>
                <w:rFonts w:hint="eastAsia" w:ascii="Times New Roman" w:hAnsi="Times New Roman" w:cs="Times New Roman"/>
                <w:color w:val="auto"/>
                <w:sz w:val="21"/>
                <w:szCs w:val="21"/>
                <w:highlight w:val="none"/>
                <w:lang w:val="en-GB" w:eastAsia="zh-CN"/>
              </w:rPr>
              <w:t>统一处理</w:t>
            </w:r>
          </w:p>
        </w:tc>
      </w:tr>
    </w:tbl>
    <w:p w14:paraId="75792F0F">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eastAsia="zh-CN"/>
        </w:rPr>
        <w:t>表</w:t>
      </w:r>
      <w:r>
        <w:rPr>
          <w:rFonts w:hint="default" w:ascii="Times New Roman" w:hAnsi="Times New Roman" w:eastAsia="宋体" w:cs="Times New Roman"/>
          <w:b/>
          <w:bCs/>
          <w:color w:val="auto"/>
          <w:sz w:val="24"/>
          <w:szCs w:val="24"/>
          <w:lang w:val="en-US" w:eastAsia="zh-CN"/>
        </w:rPr>
        <w:t>6.2-4</w:t>
      </w:r>
      <w:r>
        <w:rPr>
          <w:rFonts w:hint="eastAsia" w:ascii="Times New Roman" w:hAnsi="Times New Roman" w:eastAsia="宋体" w:cs="Times New Roman"/>
          <w:b/>
          <w:bCs/>
          <w:color w:val="auto"/>
          <w:sz w:val="24"/>
          <w:szCs w:val="24"/>
          <w:lang w:val="en-US" w:eastAsia="zh-CN"/>
        </w:rPr>
        <w:t>6</w:t>
      </w:r>
      <w:r>
        <w:rPr>
          <w:rFonts w:hint="eastAsia"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 xml:space="preserve"> 本项目危险废物贮存场所基本情况表</w:t>
      </w:r>
    </w:p>
    <w:tbl>
      <w:tblPr>
        <w:tblStyle w:val="41"/>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7"/>
        <w:gridCol w:w="687"/>
        <w:gridCol w:w="866"/>
        <w:gridCol w:w="2346"/>
        <w:gridCol w:w="736"/>
        <w:gridCol w:w="839"/>
        <w:gridCol w:w="892"/>
        <w:gridCol w:w="796"/>
        <w:gridCol w:w="736"/>
      </w:tblGrid>
      <w:tr w14:paraId="05AEA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62" w:type="pct"/>
            <w:tcBorders>
              <w:tl2br w:val="nil"/>
              <w:tr2bl w:val="nil"/>
            </w:tcBorders>
            <w:noWrap w:val="0"/>
            <w:vAlign w:val="center"/>
          </w:tcPr>
          <w:p w14:paraId="3DD95B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贮存场所</w:t>
            </w:r>
          </w:p>
        </w:tc>
        <w:tc>
          <w:tcPr>
            <w:tcW w:w="403" w:type="pct"/>
            <w:tcBorders>
              <w:tl2br w:val="nil"/>
              <w:tr2bl w:val="nil"/>
            </w:tcBorders>
            <w:noWrap w:val="0"/>
            <w:vAlign w:val="center"/>
          </w:tcPr>
          <w:p w14:paraId="1D6CC8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危险废物名称</w:t>
            </w:r>
          </w:p>
        </w:tc>
        <w:tc>
          <w:tcPr>
            <w:tcW w:w="508" w:type="pct"/>
            <w:tcBorders>
              <w:tl2br w:val="nil"/>
              <w:tr2bl w:val="nil"/>
            </w:tcBorders>
            <w:noWrap w:val="0"/>
            <w:vAlign w:val="center"/>
          </w:tcPr>
          <w:p w14:paraId="7751BA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危险废物类别</w:t>
            </w:r>
          </w:p>
        </w:tc>
        <w:tc>
          <w:tcPr>
            <w:tcW w:w="1376" w:type="pct"/>
            <w:tcBorders>
              <w:tl2br w:val="nil"/>
              <w:tr2bl w:val="nil"/>
            </w:tcBorders>
            <w:noWrap w:val="0"/>
            <w:vAlign w:val="center"/>
          </w:tcPr>
          <w:p w14:paraId="726F81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危险废物代码</w:t>
            </w:r>
          </w:p>
        </w:tc>
        <w:tc>
          <w:tcPr>
            <w:tcW w:w="432" w:type="pct"/>
            <w:tcBorders>
              <w:tl2br w:val="nil"/>
              <w:tr2bl w:val="nil"/>
            </w:tcBorders>
            <w:noWrap w:val="0"/>
            <w:vAlign w:val="center"/>
          </w:tcPr>
          <w:p w14:paraId="78686B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位置</w:t>
            </w:r>
          </w:p>
        </w:tc>
        <w:tc>
          <w:tcPr>
            <w:tcW w:w="492" w:type="pct"/>
            <w:tcBorders>
              <w:tl2br w:val="nil"/>
              <w:tr2bl w:val="nil"/>
            </w:tcBorders>
            <w:noWrap w:val="0"/>
            <w:vAlign w:val="center"/>
          </w:tcPr>
          <w:p w14:paraId="76AE2D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占地面积m</w:t>
            </w:r>
            <w:r>
              <w:rPr>
                <w:rFonts w:hint="default" w:ascii="Times New Roman" w:hAnsi="Times New Roman" w:cs="Times New Roman"/>
                <w:color w:val="auto"/>
                <w:sz w:val="21"/>
                <w:szCs w:val="21"/>
                <w:highlight w:val="none"/>
                <w:vertAlign w:val="superscript"/>
                <w:lang w:val="en-US" w:eastAsia="zh-CN"/>
              </w:rPr>
              <w:t>2</w:t>
            </w:r>
          </w:p>
        </w:tc>
        <w:tc>
          <w:tcPr>
            <w:tcW w:w="523" w:type="pct"/>
            <w:tcBorders>
              <w:tl2br w:val="nil"/>
              <w:tr2bl w:val="nil"/>
            </w:tcBorders>
            <w:noWrap w:val="0"/>
            <w:vAlign w:val="center"/>
          </w:tcPr>
          <w:p w14:paraId="0BD827A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贮存方式</w:t>
            </w:r>
          </w:p>
        </w:tc>
        <w:tc>
          <w:tcPr>
            <w:tcW w:w="467" w:type="pct"/>
            <w:tcBorders>
              <w:tl2br w:val="nil"/>
              <w:tr2bl w:val="nil"/>
            </w:tcBorders>
            <w:noWrap w:val="0"/>
            <w:vAlign w:val="center"/>
          </w:tcPr>
          <w:p w14:paraId="7B867A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贮存能力t/a</w:t>
            </w:r>
          </w:p>
        </w:tc>
        <w:tc>
          <w:tcPr>
            <w:tcW w:w="432" w:type="pct"/>
            <w:tcBorders>
              <w:tl2br w:val="nil"/>
              <w:tr2bl w:val="nil"/>
            </w:tcBorders>
            <w:noWrap w:val="0"/>
            <w:vAlign w:val="center"/>
          </w:tcPr>
          <w:p w14:paraId="348B26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贮存周期</w:t>
            </w:r>
          </w:p>
        </w:tc>
      </w:tr>
      <w:tr w14:paraId="3670B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62" w:type="pct"/>
            <w:tcBorders>
              <w:tl2br w:val="nil"/>
              <w:tr2bl w:val="nil"/>
            </w:tcBorders>
            <w:noWrap w:val="0"/>
            <w:vAlign w:val="center"/>
          </w:tcPr>
          <w:p w14:paraId="4BED49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危废贮存点</w:t>
            </w:r>
          </w:p>
        </w:tc>
        <w:tc>
          <w:tcPr>
            <w:tcW w:w="403" w:type="pct"/>
            <w:tcBorders>
              <w:tl2br w:val="nil"/>
              <w:tr2bl w:val="nil"/>
            </w:tcBorders>
            <w:noWrap w:val="0"/>
            <w:vAlign w:val="center"/>
          </w:tcPr>
          <w:p w14:paraId="0DA5EA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GB" w:eastAsia="zh-CN"/>
              </w:rPr>
              <w:t>废矿物油</w:t>
            </w:r>
          </w:p>
        </w:tc>
        <w:tc>
          <w:tcPr>
            <w:tcW w:w="508" w:type="pct"/>
            <w:tcBorders>
              <w:tl2br w:val="nil"/>
              <w:tr2bl w:val="nil"/>
            </w:tcBorders>
            <w:noWrap w:val="0"/>
            <w:vAlign w:val="center"/>
          </w:tcPr>
          <w:p w14:paraId="30B1D4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HW08</w:t>
            </w:r>
          </w:p>
          <w:p w14:paraId="6DD702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废矿物油与含矿物油废物</w:t>
            </w:r>
          </w:p>
        </w:tc>
        <w:tc>
          <w:tcPr>
            <w:tcW w:w="1376" w:type="pct"/>
            <w:tcBorders>
              <w:tl2br w:val="nil"/>
              <w:tr2bl w:val="nil"/>
            </w:tcBorders>
            <w:noWrap w:val="0"/>
            <w:vAlign w:val="center"/>
          </w:tcPr>
          <w:p w14:paraId="4487BF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非特定行业900-249-08其他生产、销售、使用过程中产生的废矿物油及沾染矿物油的废弃包装物。</w:t>
            </w:r>
          </w:p>
        </w:tc>
        <w:tc>
          <w:tcPr>
            <w:tcW w:w="432" w:type="pct"/>
            <w:tcBorders>
              <w:tl2br w:val="nil"/>
              <w:tr2bl w:val="nil"/>
            </w:tcBorders>
            <w:noWrap w:val="0"/>
            <w:vAlign w:val="center"/>
          </w:tcPr>
          <w:p w14:paraId="08E044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位于</w:t>
            </w:r>
            <w:r>
              <w:rPr>
                <w:rFonts w:hint="eastAsia" w:cs="Times New Roman"/>
                <w:color w:val="auto"/>
                <w:sz w:val="21"/>
                <w:szCs w:val="21"/>
                <w:highlight w:val="none"/>
                <w:lang w:val="en-US" w:eastAsia="zh-CN"/>
              </w:rPr>
              <w:t>厂区西侧危废贮存点</w:t>
            </w:r>
          </w:p>
        </w:tc>
        <w:tc>
          <w:tcPr>
            <w:tcW w:w="492" w:type="pct"/>
            <w:tcBorders>
              <w:tl2br w:val="nil"/>
              <w:tr2bl w:val="nil"/>
            </w:tcBorders>
            <w:noWrap w:val="0"/>
            <w:vAlign w:val="center"/>
          </w:tcPr>
          <w:p w14:paraId="7E9C7D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523" w:type="pct"/>
            <w:tcBorders>
              <w:tl2br w:val="nil"/>
              <w:tr2bl w:val="nil"/>
            </w:tcBorders>
            <w:noWrap w:val="0"/>
            <w:vAlign w:val="center"/>
          </w:tcPr>
          <w:p w14:paraId="73459C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使用符合标准的专用容器盛装，容器内留有足够的空间。</w:t>
            </w:r>
          </w:p>
        </w:tc>
        <w:tc>
          <w:tcPr>
            <w:tcW w:w="467" w:type="pct"/>
            <w:tcBorders>
              <w:tl2br w:val="nil"/>
              <w:tr2bl w:val="nil"/>
            </w:tcBorders>
            <w:noWrap w:val="0"/>
            <w:vAlign w:val="center"/>
          </w:tcPr>
          <w:p w14:paraId="4D6AFFA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432" w:type="pct"/>
            <w:tcBorders>
              <w:tl2br w:val="nil"/>
              <w:tr2bl w:val="nil"/>
            </w:tcBorders>
            <w:noWrap w:val="0"/>
            <w:vAlign w:val="center"/>
          </w:tcPr>
          <w:p w14:paraId="010129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一年</w:t>
            </w:r>
          </w:p>
        </w:tc>
      </w:tr>
      <w:bookmarkEnd w:id="438"/>
      <w:bookmarkEnd w:id="439"/>
      <w:bookmarkEnd w:id="440"/>
    </w:tbl>
    <w:p w14:paraId="118E8C9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6.2.5 运输路线沿途影响分析</w:t>
      </w:r>
    </w:p>
    <w:p w14:paraId="31FBAAE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一、运输路线方案</w:t>
      </w:r>
    </w:p>
    <w:p w14:paraId="68CCB9A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lang w:val="en-US" w:eastAsia="zh-CN"/>
        </w:rPr>
        <w:t>锅炉所用燃煤于宝清县采购，燃料煤运输距离</w:t>
      </w:r>
      <w:r>
        <w:rPr>
          <w:rFonts w:hint="eastAsia" w:ascii="Times New Roman" w:hAnsi="Times New Roman" w:eastAsia="宋体" w:cs="Times New Roman"/>
          <w:color w:val="auto"/>
          <w:sz w:val="24"/>
          <w:szCs w:val="24"/>
          <w:highlight w:val="none"/>
          <w:lang w:val="en-US" w:eastAsia="zh-CN"/>
        </w:rPr>
        <w:t>约60</w:t>
      </w:r>
      <w:r>
        <w:rPr>
          <w:rFonts w:hint="default" w:ascii="Times New Roman" w:hAnsi="Times New Roman" w:eastAsia="宋体" w:cs="Times New Roman"/>
          <w:color w:val="auto"/>
          <w:sz w:val="24"/>
          <w:szCs w:val="24"/>
          <w:highlight w:val="none"/>
          <w:lang w:val="en-US" w:eastAsia="zh-CN"/>
        </w:rPr>
        <w:t>公里，</w:t>
      </w:r>
      <w:r>
        <w:rPr>
          <w:rFonts w:hint="eastAsia" w:ascii="Times New Roman" w:hAnsi="Times New Roman" w:eastAsia="宋体" w:cs="Times New Roman"/>
          <w:color w:val="auto"/>
          <w:sz w:val="24"/>
          <w:szCs w:val="24"/>
          <w:highlight w:val="none"/>
          <w:lang w:val="en-US" w:eastAsia="zh-CN"/>
        </w:rPr>
        <w:t>均采用封闭式运输车辆或对运输车辆采取苫盖措施运送到储煤场。路径为：宝清县—G229国道—X122县道—完北路—锅炉房。</w:t>
      </w:r>
    </w:p>
    <w:p w14:paraId="1092ACD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二、运输路线的可行性分析及沿途的主要敏感目标</w:t>
      </w:r>
    </w:p>
    <w:p w14:paraId="1B69B31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本项目运输路线中，G229国道途径红光村、八五二农场五分场、四分场等；X122县道和完北路主要途径八五二农场场部。其他路段两边主要是工业用地、农田。</w:t>
      </w:r>
    </w:p>
    <w:p w14:paraId="6718CE2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经现场踏勘，由于部分路段附近有环境敏感目标，本项目要求运输单位必须保证运输车辆的密封性能，拟采用封闭式运输车辆或对运输车辆采取苫盖措施防止沿途灰渣遗撒。并应注意检查、维护运输车辆，对有撒漏的车辆必须强制淘汰，以保护市容卫生环境和周围群众的出行安全。</w:t>
      </w:r>
    </w:p>
    <w:p w14:paraId="06EC233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三、沿线敏感点的影响分析及措施建议</w:t>
      </w:r>
    </w:p>
    <w:p w14:paraId="7E75D0D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1、噪声影响</w:t>
      </w:r>
    </w:p>
    <w:p w14:paraId="2A569D5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运输车噪声源约为85dB(A)，经计算在道路两侧无任何障碍的情况下，道路两则6m以外的地方等效连续声级为69dB(A)，即在进场道路两侧6m以外的地方，交通噪声符合昼间交通干线两侧等效连续声级低于70dB(A)的要求；在距公路30m的地方，等效连续声级为53.5dB(A)，本项目运输路线道路均为已建正规公路，噪声影响在公路建设选线过程应已充分考虑，项目要求在途径周边敏感目标时减速慢行，限制鸣笛，运输车辆噪声对周围环境影响较小。</w:t>
      </w:r>
    </w:p>
    <w:p w14:paraId="5021E41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2、运输扬尘影响</w:t>
      </w:r>
    </w:p>
    <w:p w14:paraId="75A3A80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运输为燃料煤，无恶臭气体产生，通过采取封闭式运输车辆或对运输车辆采取苫盖措施，运输过程中基本可控制污染物洒漏问题。本项目运输过程中产生运输扬尘对周围大气环境产生一定的影响。为减少运输扬尘对周围大气环境的影响，本次环评要求：加强运输车的保养，定期清洗，确保运输车的密封良好等，经采取相应的措施后可有效减少运输扬尘对周围大气环境的影响。</w:t>
      </w:r>
    </w:p>
    <w:p w14:paraId="2C07321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3、遗撒影响</w:t>
      </w:r>
    </w:p>
    <w:p w14:paraId="20ED24A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在车辆密封良好的情况下，运输过程中可有效控制运输车的撒落问题，对运输车所经过的道路附近水体水质影响不大。但是若运输车出现各物质沿路撒落，则会由雨水冲涮路面而对附近水体造成污染。本项目对运输车辆采取密闭遮盖进行运输，减小物质洒落几率。</w:t>
      </w:r>
    </w:p>
    <w:p w14:paraId="64C45EF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4、防止运输沿线环境污染的措施</w:t>
      </w:r>
    </w:p>
    <w:p w14:paraId="64993E9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为了减少运输对沿途的影响，建议采取以下措施：</w:t>
      </w:r>
    </w:p>
    <w:p w14:paraId="2F17990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①对车辆加强维修保养，并及时更新运输车辆，确保运输车的密封性能良好。</w:t>
      </w:r>
    </w:p>
    <w:p w14:paraId="0B8FC08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②定期清洗运输车，做好道路及其两侧的保洁工作。</w:t>
      </w:r>
    </w:p>
    <w:p w14:paraId="2878631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③尽可能缩短运输车在敏感点附近滞留的时间。</w:t>
      </w:r>
    </w:p>
    <w:p w14:paraId="2DC9275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④每辆运输车都配备必要的通讯工具，供应急联络用，当运输过程中发生事故，运输人员必须尽快通知有关管理部门进行妥善处理。</w:t>
      </w:r>
    </w:p>
    <w:p w14:paraId="52FA484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⑤加强对运输司机的思想教育和技术培训，避免交通事故的发生。</w:t>
      </w:r>
    </w:p>
    <w:p w14:paraId="330E013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⑥对运输车辆注入信息化管理手段；加强运输车辆的跟踪监管；建立运输车辆的信息管理库，实现计量管理和运输的信息反馈制度。</w:t>
      </w:r>
      <w:bookmarkStart w:id="441" w:name="_bookmark43"/>
      <w:bookmarkEnd w:id="441"/>
      <w:r>
        <w:rPr>
          <w:rFonts w:hint="default" w:ascii="Times New Roman" w:hAnsi="Times New Roman" w:eastAsia="宋体" w:cs="Times New Roman"/>
          <w:color w:val="auto"/>
          <w:sz w:val="24"/>
          <w:szCs w:val="24"/>
          <w:highlight w:val="none"/>
          <w:lang w:val="en-US" w:eastAsia="zh-CN"/>
        </w:rPr>
        <w:t>可能产生的环境风险并提出相应的防范、应急和减缓措施。</w:t>
      </w:r>
    </w:p>
    <w:p w14:paraId="0C86EC47">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42" w:name="_Toc4304"/>
      <w:bookmarkStart w:id="443" w:name="_Toc29212"/>
      <w:bookmarkStart w:id="444" w:name="_Toc29465"/>
      <w:r>
        <w:rPr>
          <w:rFonts w:hint="eastAsia" w:ascii="Times New Roman" w:hAnsi="Times New Roman" w:eastAsia="宋体" w:cs="Times New Roman"/>
          <w:b/>
          <w:bCs/>
          <w:color w:val="auto"/>
          <w:sz w:val="28"/>
          <w:szCs w:val="28"/>
          <w:lang w:val="en-US" w:eastAsia="zh-CN"/>
        </w:rPr>
        <w:t>6.2.6 生态环境影响分析</w:t>
      </w:r>
      <w:bookmarkEnd w:id="442"/>
      <w:bookmarkEnd w:id="443"/>
      <w:bookmarkEnd w:id="444"/>
    </w:p>
    <w:p w14:paraId="08A666B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本项目选址位于</w:t>
      </w:r>
      <w:r>
        <w:rPr>
          <w:rFonts w:hint="default" w:ascii="Times New Roman" w:hAnsi="Times New Roman" w:eastAsia="宋体" w:cs="Times New Roman"/>
          <w:color w:val="auto"/>
          <w:sz w:val="24"/>
          <w:szCs w:val="24"/>
          <w:highlight w:val="none"/>
          <w:lang w:val="zh-CN" w:eastAsia="zh-CN"/>
        </w:rPr>
        <w:t>黑龙江省宝清县红兴隆管理局八五二农场场部</w:t>
      </w:r>
      <w:r>
        <w:rPr>
          <w:rFonts w:hint="default" w:ascii="Times New Roman" w:hAnsi="Times New Roman" w:eastAsia="宋体" w:cs="Times New Roman"/>
          <w:color w:val="auto"/>
          <w:sz w:val="24"/>
          <w:szCs w:val="24"/>
          <w:highlight w:val="none"/>
          <w:lang w:val="en-US" w:eastAsia="zh-CN"/>
        </w:rPr>
        <w:t>，其中锅炉改造工程位于北大荒集团黑龙江八五二农场有限公司热源厂现有厂区内，用地性质为</w:t>
      </w:r>
      <w:r>
        <w:rPr>
          <w:rFonts w:hint="eastAsia" w:ascii="Times New Roman" w:hAnsi="Times New Roman" w:eastAsia="宋体" w:cs="Times New Roman"/>
          <w:color w:val="auto"/>
          <w:sz w:val="24"/>
          <w:szCs w:val="24"/>
          <w:highlight w:val="none"/>
          <w:lang w:val="en-US" w:eastAsia="zh-CN"/>
        </w:rPr>
        <w:t>公共设施</w:t>
      </w:r>
      <w:r>
        <w:rPr>
          <w:rFonts w:hint="default" w:ascii="Times New Roman" w:hAnsi="Times New Roman" w:eastAsia="宋体" w:cs="Times New Roman"/>
          <w:color w:val="auto"/>
          <w:sz w:val="24"/>
          <w:szCs w:val="24"/>
          <w:highlight w:val="none"/>
          <w:lang w:val="en-US" w:eastAsia="zh-CN"/>
        </w:rPr>
        <w:t>用地，厂址所在区域多为居住用地，自然生态已被人工生态所代替。占地内无古稀树木和保护树种，树木、草丛中已无大型哺乳动物，仅有鸟类、鼠类及昆虫类小型动物，因此本项目建设对生态环境影响甚微。</w:t>
      </w:r>
    </w:p>
    <w:p w14:paraId="663BAB1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45" w:name="_Toc1511"/>
      <w:bookmarkStart w:id="446" w:name="_Toc4089"/>
      <w:bookmarkStart w:id="447" w:name="_Toc8349"/>
      <w:r>
        <w:rPr>
          <w:rFonts w:hint="eastAsia" w:ascii="Times New Roman" w:hAnsi="Times New Roman" w:eastAsia="宋体" w:cs="Times New Roman"/>
          <w:b/>
          <w:bCs/>
          <w:color w:val="auto"/>
          <w:sz w:val="28"/>
          <w:szCs w:val="28"/>
          <w:lang w:val="en-US" w:eastAsia="zh-CN"/>
        </w:rPr>
        <w:t>6.2.7 土壤环境影响预测分析</w:t>
      </w:r>
      <w:bookmarkEnd w:id="445"/>
      <w:bookmarkEnd w:id="446"/>
      <w:bookmarkEnd w:id="447"/>
    </w:p>
    <w:p w14:paraId="0816FB3E">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6.2.7.1 预测因子</w:t>
      </w:r>
    </w:p>
    <w:p w14:paraId="3E29C74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本项目为热力生产项目，对于土壤环境属于污染影响型项目，根据本项目特点，造成土壤污染的途径主要是废气中污染物汞及其化合物随大气沉降渗入土壤环境中，本项目选择汞作为土壤预测因子。</w:t>
      </w:r>
    </w:p>
    <w:p w14:paraId="49994B0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6.2.7.2 评价方法</w:t>
      </w:r>
    </w:p>
    <w:p w14:paraId="638FFC1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szCs w:val="24"/>
        </w:rPr>
        <w:t>根据本项目锅炉运行排放的废气通过大气沉降进入土壤，</w:t>
      </w:r>
      <w:r>
        <w:rPr>
          <w:rFonts w:ascii="Times New Roman" w:hAnsi="Times New Roman" w:eastAsia="宋体" w:cs="Times New Roman"/>
          <w:color w:val="auto"/>
        </w:rPr>
        <w:t>干沉降通量除以该质量即为单位质量土壤的汞干沉降累积量，年累积沉降量采用大气环境影响预测章节预测点的年累积沉降量最大增值。评价因子同大气环境影响评价，即评价汞沉降对土壤的累积影响。本项目采用《环境影响评价技术导则 土壤环境（试行）》（HJ964-2018）附录E土壤环境影响预测方法。预测方法如下：</w:t>
      </w:r>
    </w:p>
    <w:p w14:paraId="6CD304E6">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a）单位质量土壤中某种物质的增量可用下式计算：</w:t>
      </w:r>
    </w:p>
    <w:p w14:paraId="2BD5C30D">
      <w:pPr>
        <w:ind w:firstLine="0" w:firstLineChars="0"/>
        <w:jc w:val="center"/>
        <w:rPr>
          <w:rFonts w:ascii="Times New Roman" w:hAnsi="Times New Roman" w:eastAsia="宋体" w:cs="Times New Roman"/>
          <w:color w:val="auto"/>
        </w:rPr>
      </w:pPr>
      <w:r>
        <w:rPr>
          <w:rFonts w:ascii="Times New Roman" w:hAnsi="Times New Roman" w:eastAsia="宋体" w:cs="Times New Roman"/>
          <w:color w:val="auto"/>
          <w:position w:val="-12"/>
        </w:rPr>
        <w:object>
          <v:shape id="_x0000_i1033" o:spt="75" type="#_x0000_t75" style="height:17pt;width:169pt;" o:ole="t" filled="f" o:preferrelative="t" stroked="f" coordsize="21600,21600">
            <v:path/>
            <v:fill on="f" focussize="0,0"/>
            <v:stroke on="f" joinstyle="miter"/>
            <v:imagedata r:id="rId114" o:title=""/>
            <o:lock v:ext="edit" aspectratio="t"/>
            <w10:wrap type="none"/>
            <w10:anchorlock/>
          </v:shape>
          <o:OLEObject Type="Embed" ProgID="Equation.3" ShapeID="_x0000_i1033" DrawAspect="Content" ObjectID="_1468075733" r:id="rId113">
            <o:LockedField>false</o:LockedField>
          </o:OLEObject>
        </w:object>
      </w:r>
    </w:p>
    <w:p w14:paraId="2DE4B75C">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式中：△S--单位质量表层土壤中某种物质的增量，g/kg；</w:t>
      </w:r>
    </w:p>
    <w:p w14:paraId="6BA9FA40">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I</w:t>
      </w:r>
      <w:r>
        <w:rPr>
          <w:rFonts w:ascii="Times New Roman" w:hAnsi="Times New Roman" w:eastAsia="宋体" w:cs="Times New Roman"/>
          <w:color w:val="auto"/>
          <w:vertAlign w:val="subscript"/>
        </w:rPr>
        <w:t>S</w:t>
      </w:r>
      <w:r>
        <w:rPr>
          <w:rFonts w:ascii="Times New Roman" w:hAnsi="Times New Roman" w:eastAsia="宋体" w:cs="Times New Roman"/>
          <w:color w:val="auto"/>
        </w:rPr>
        <w:t>--预测评价范围内单位年份表层土壤中某种物质的输入量，g；本项目采用大气环境影响预测章节预测点的年累积沉降量最大增值。</w:t>
      </w:r>
    </w:p>
    <w:p w14:paraId="4AF65FC0">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L</w:t>
      </w:r>
      <w:r>
        <w:rPr>
          <w:rFonts w:ascii="Times New Roman" w:hAnsi="Times New Roman" w:eastAsia="宋体" w:cs="Times New Roman"/>
          <w:color w:val="auto"/>
          <w:vertAlign w:val="subscript"/>
        </w:rPr>
        <w:t>S</w:t>
      </w:r>
      <w:r>
        <w:rPr>
          <w:rFonts w:ascii="Times New Roman" w:hAnsi="Times New Roman" w:eastAsia="宋体" w:cs="Times New Roman"/>
          <w:color w:val="auto"/>
        </w:rPr>
        <w:t>--预测评价范围内单位年份表层土壤中某种物质经淋溶排出的量，g；涉及大气沉降影响的可以不考虑输出量，L</w:t>
      </w:r>
      <w:r>
        <w:rPr>
          <w:rFonts w:ascii="Times New Roman" w:hAnsi="Times New Roman" w:eastAsia="宋体" w:cs="Times New Roman"/>
          <w:color w:val="auto"/>
          <w:vertAlign w:val="subscript"/>
        </w:rPr>
        <w:t>S</w:t>
      </w:r>
      <w:r>
        <w:rPr>
          <w:rFonts w:ascii="Times New Roman" w:hAnsi="Times New Roman" w:eastAsia="宋体" w:cs="Times New Roman"/>
          <w:color w:val="auto"/>
        </w:rPr>
        <w:t>取0；</w:t>
      </w:r>
    </w:p>
    <w:p w14:paraId="42C0486B">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Rs--预测评价范围内单位年份表层土壤中某种物质经径流排出的量，g；涉及大气沉降影响的可以不考虑输出量，R</w:t>
      </w:r>
      <w:r>
        <w:rPr>
          <w:rFonts w:ascii="Times New Roman" w:hAnsi="Times New Roman" w:eastAsia="宋体" w:cs="Times New Roman"/>
          <w:color w:val="auto"/>
          <w:vertAlign w:val="subscript"/>
        </w:rPr>
        <w:t>S</w:t>
      </w:r>
      <w:r>
        <w:rPr>
          <w:rFonts w:ascii="Times New Roman" w:hAnsi="Times New Roman" w:eastAsia="宋体" w:cs="Times New Roman"/>
          <w:color w:val="auto"/>
        </w:rPr>
        <w:t>取0；</w:t>
      </w:r>
    </w:p>
    <w:p w14:paraId="199EDC56">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ρ</w:t>
      </w:r>
      <w:r>
        <w:rPr>
          <w:rFonts w:ascii="Times New Roman" w:hAnsi="Times New Roman" w:eastAsia="宋体" w:cs="Times New Roman"/>
          <w:color w:val="auto"/>
          <w:vertAlign w:val="subscript"/>
        </w:rPr>
        <w:t>b</w:t>
      </w:r>
      <w:r>
        <w:rPr>
          <w:rFonts w:ascii="Times New Roman" w:hAnsi="Times New Roman" w:eastAsia="宋体" w:cs="Times New Roman"/>
          <w:color w:val="auto"/>
        </w:rPr>
        <w:t>--表层土壤容重，kg/m</w:t>
      </w:r>
      <w:r>
        <w:rPr>
          <w:rFonts w:ascii="Times New Roman" w:hAnsi="Times New Roman" w:eastAsia="宋体" w:cs="Times New Roman"/>
          <w:color w:val="auto"/>
          <w:vertAlign w:val="superscript"/>
        </w:rPr>
        <w:t>3</w:t>
      </w:r>
      <w:r>
        <w:rPr>
          <w:rFonts w:ascii="Times New Roman" w:hAnsi="Times New Roman" w:eastAsia="宋体" w:cs="Times New Roman"/>
          <w:color w:val="auto"/>
        </w:rPr>
        <w:t>，取</w:t>
      </w:r>
      <w:r>
        <w:rPr>
          <w:rFonts w:hint="eastAsia" w:ascii="Times New Roman" w:hAnsi="Times New Roman" w:eastAsia="宋体" w:cs="Times New Roman"/>
          <w:color w:val="auto"/>
          <w:lang w:val="en-US" w:eastAsia="zh-CN"/>
        </w:rPr>
        <w:t>1540</w:t>
      </w:r>
      <w:r>
        <w:rPr>
          <w:rFonts w:ascii="Times New Roman" w:hAnsi="Times New Roman" w:eastAsia="宋体" w:cs="Times New Roman"/>
          <w:color w:val="auto"/>
        </w:rPr>
        <w:t>kg/m</w:t>
      </w:r>
      <w:r>
        <w:rPr>
          <w:rFonts w:ascii="Times New Roman" w:hAnsi="Times New Roman" w:eastAsia="宋体" w:cs="Times New Roman"/>
          <w:color w:val="auto"/>
          <w:vertAlign w:val="superscript"/>
        </w:rPr>
        <w:t>3</w:t>
      </w:r>
    </w:p>
    <w:p w14:paraId="19F3B52F">
      <w:pPr>
        <w:keepNext w:val="0"/>
        <w:keepLines w:val="0"/>
        <w:pageBreakBefore w:val="0"/>
        <w:widowControl w:val="0"/>
        <w:numPr>
          <w:ilvl w:val="0"/>
          <w:numId w:val="4"/>
        </w:numPr>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-预测评价范围，m</w:t>
      </w:r>
      <w:r>
        <w:rPr>
          <w:rFonts w:ascii="Times New Roman" w:hAnsi="Times New Roman" w:eastAsia="宋体" w:cs="Times New Roman"/>
          <w:color w:val="auto"/>
          <w:vertAlign w:val="superscript"/>
        </w:rPr>
        <w:t>2</w:t>
      </w:r>
      <w:r>
        <w:rPr>
          <w:rFonts w:ascii="Times New Roman" w:hAnsi="Times New Roman" w:eastAsia="宋体" w:cs="Times New Roman"/>
          <w:color w:val="auto"/>
        </w:rPr>
        <w:t>；取单位面积1m</w:t>
      </w:r>
      <w:r>
        <w:rPr>
          <w:rFonts w:ascii="Times New Roman" w:hAnsi="Times New Roman" w:eastAsia="宋体" w:cs="Times New Roman"/>
          <w:color w:val="auto"/>
          <w:vertAlign w:val="superscript"/>
        </w:rPr>
        <w:t>2</w:t>
      </w:r>
      <w:r>
        <w:rPr>
          <w:rFonts w:ascii="Times New Roman" w:hAnsi="Times New Roman" w:eastAsia="宋体" w:cs="Times New Roman"/>
          <w:color w:val="auto"/>
        </w:rPr>
        <w:t>；</w:t>
      </w:r>
    </w:p>
    <w:p w14:paraId="16375D5A">
      <w:pPr>
        <w:keepNext w:val="0"/>
        <w:keepLines w:val="0"/>
        <w:pageBreakBefore w:val="0"/>
        <w:widowControl w:val="0"/>
        <w:numPr>
          <w:ilvl w:val="0"/>
          <w:numId w:val="5"/>
        </w:numPr>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-表层土壤深度，一般取0.2m；</w:t>
      </w:r>
    </w:p>
    <w:p w14:paraId="5F5572B6">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n--持续年份，a，分别计算5a，10a和20a；</w:t>
      </w:r>
    </w:p>
    <w:p w14:paraId="1FE061A8">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b）单位质量土壤中某种物质的预测值可根据其增量叠加现状值进行计算，如式：S=Sb+△S</w:t>
      </w:r>
    </w:p>
    <w:p w14:paraId="12F9926D">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式中：Sb--单位质量土壤中某种物质的现状值，g/kg；</w:t>
      </w:r>
    </w:p>
    <w:p w14:paraId="0FAB5ABA">
      <w:pPr>
        <w:keepNext w:val="0"/>
        <w:keepLines w:val="0"/>
        <w:pageBreakBefore w:val="0"/>
        <w:widowControl w:val="0"/>
        <w:kinsoku/>
        <w:wordWrap/>
        <w:overflowPunct/>
        <w:topLinePunct w:val="0"/>
        <w:autoSpaceDE/>
        <w:autoSpaceDN/>
        <w:bidi w:val="0"/>
        <w:adjustRightInd/>
        <w:snapToGrid/>
        <w:spacing w:line="500" w:lineRule="exact"/>
        <w:ind w:firstLine="1200" w:firstLineChars="500"/>
        <w:textAlignment w:val="auto"/>
        <w:rPr>
          <w:rFonts w:ascii="Times New Roman" w:hAnsi="Times New Roman" w:eastAsia="宋体" w:cs="Times New Roman"/>
          <w:color w:val="auto"/>
        </w:rPr>
      </w:pPr>
      <w:r>
        <w:rPr>
          <w:rFonts w:ascii="Times New Roman" w:hAnsi="Times New Roman" w:eastAsia="宋体" w:cs="Times New Roman"/>
          <w:color w:val="auto"/>
        </w:rPr>
        <w:t>S--单位质量土壤中某种物质的预测值，g/kg；</w:t>
      </w:r>
    </w:p>
    <w:p w14:paraId="680587CE">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区域年均干沉积最大值见表</w:t>
      </w:r>
      <w:r>
        <w:rPr>
          <w:rFonts w:hint="eastAsia" w:ascii="Times New Roman" w:hAnsi="Times New Roman" w:eastAsia="宋体" w:cs="Times New Roman"/>
          <w:color w:val="auto"/>
          <w:lang w:val="en-US" w:eastAsia="zh-CN"/>
        </w:rPr>
        <w:t>6.2</w:t>
      </w:r>
      <w:r>
        <w:rPr>
          <w:rFonts w:ascii="Times New Roman" w:hAnsi="Times New Roman" w:eastAsia="宋体" w:cs="Times New Roman"/>
          <w:color w:val="auto"/>
        </w:rPr>
        <w:t>-4</w:t>
      </w:r>
      <w:r>
        <w:rPr>
          <w:rFonts w:hint="eastAsia" w:ascii="Times New Roman" w:hAnsi="Times New Roman" w:eastAsia="宋体" w:cs="Times New Roman"/>
          <w:color w:val="auto"/>
        </w:rPr>
        <w:t>8</w:t>
      </w:r>
      <w:r>
        <w:rPr>
          <w:rFonts w:ascii="Times New Roman" w:hAnsi="Times New Roman" w:eastAsia="宋体" w:cs="Times New Roman"/>
          <w:color w:val="auto"/>
        </w:rPr>
        <w:t>，干沉降对土壤累积影响值见表6-2-4</w:t>
      </w:r>
      <w:r>
        <w:rPr>
          <w:rFonts w:hint="eastAsia" w:ascii="Times New Roman" w:hAnsi="Times New Roman" w:eastAsia="宋体" w:cs="Times New Roman"/>
          <w:color w:val="auto"/>
        </w:rPr>
        <w:t>9</w:t>
      </w:r>
      <w:r>
        <w:rPr>
          <w:rFonts w:ascii="Times New Roman" w:hAnsi="Times New Roman" w:eastAsia="宋体" w:cs="Times New Roman"/>
          <w:color w:val="auto"/>
        </w:rPr>
        <w:t>，干沉降对土壤累积影响叠加值见表</w:t>
      </w:r>
      <w:r>
        <w:rPr>
          <w:rFonts w:hint="eastAsia" w:ascii="Times New Roman" w:hAnsi="Times New Roman" w:eastAsia="宋体" w:cs="Times New Roman"/>
          <w:color w:val="auto"/>
          <w:lang w:val="en-US" w:eastAsia="zh-CN"/>
        </w:rPr>
        <w:t>6.2</w:t>
      </w:r>
      <w:r>
        <w:rPr>
          <w:rFonts w:ascii="Times New Roman" w:hAnsi="Times New Roman" w:eastAsia="宋体" w:cs="Times New Roman"/>
          <w:color w:val="auto"/>
        </w:rPr>
        <w:t>-</w:t>
      </w:r>
      <w:r>
        <w:rPr>
          <w:rFonts w:hint="eastAsia" w:ascii="Times New Roman" w:hAnsi="Times New Roman" w:eastAsia="宋体" w:cs="Times New Roman"/>
          <w:color w:val="auto"/>
        </w:rPr>
        <w:t>50</w:t>
      </w:r>
      <w:r>
        <w:rPr>
          <w:rFonts w:ascii="Times New Roman" w:hAnsi="Times New Roman" w:eastAsia="宋体" w:cs="Times New Roman"/>
          <w:color w:val="auto"/>
        </w:rPr>
        <w:t>。</w:t>
      </w:r>
    </w:p>
    <w:p w14:paraId="25DD5815">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eastAsia="宋体" w:cs="Times New Roman"/>
          <w:b/>
          <w:bCs/>
          <w:color w:val="auto"/>
          <w:sz w:val="24"/>
          <w:szCs w:val="24"/>
          <w:lang w:val="en-US" w:eastAsia="zh-CN"/>
        </w:rPr>
        <w:t>6.2</w:t>
      </w:r>
      <w:r>
        <w:rPr>
          <w:rFonts w:hint="default" w:ascii="Times New Roman" w:hAnsi="Times New Roman" w:eastAsia="宋体" w:cs="Times New Roman"/>
          <w:b/>
          <w:bCs/>
          <w:color w:val="auto"/>
          <w:sz w:val="24"/>
          <w:szCs w:val="24"/>
          <w:lang w:val="en-US" w:eastAsia="zh-CN"/>
        </w:rPr>
        <w:t>-4</w:t>
      </w:r>
      <w:r>
        <w:rPr>
          <w:rFonts w:hint="eastAsia" w:ascii="Times New Roman" w:hAnsi="Times New Roman" w:eastAsia="宋体" w:cs="Times New Roman"/>
          <w:b/>
          <w:bCs/>
          <w:color w:val="auto"/>
          <w:sz w:val="24"/>
          <w:szCs w:val="24"/>
          <w:lang w:val="en-US" w:eastAsia="zh-CN"/>
        </w:rPr>
        <w:t>8</w:t>
      </w:r>
      <w:r>
        <w:rPr>
          <w:rFonts w:hint="default" w:ascii="Times New Roman" w:hAnsi="Times New Roman" w:eastAsia="宋体" w:cs="Times New Roman"/>
          <w:b/>
          <w:bCs/>
          <w:color w:val="auto"/>
          <w:sz w:val="24"/>
          <w:szCs w:val="24"/>
          <w:lang w:val="en-US" w:eastAsia="zh-CN"/>
        </w:rPr>
        <w:t xml:space="preserve">  区域年均干沉积最大值</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8"/>
        <w:gridCol w:w="3782"/>
        <w:gridCol w:w="3782"/>
      </w:tblGrid>
      <w:tr w14:paraId="3475C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62" w:type="pct"/>
            <w:tcBorders>
              <w:tl2br w:val="nil"/>
              <w:tr2bl w:val="nil"/>
            </w:tcBorders>
            <w:vAlign w:val="center"/>
          </w:tcPr>
          <w:p w14:paraId="44555926">
            <w:pPr>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序号</w:t>
            </w:r>
          </w:p>
        </w:tc>
        <w:tc>
          <w:tcPr>
            <w:tcW w:w="2218" w:type="pct"/>
            <w:tcBorders>
              <w:tl2br w:val="nil"/>
              <w:tr2bl w:val="nil"/>
            </w:tcBorders>
            <w:vAlign w:val="center"/>
          </w:tcPr>
          <w:p w14:paraId="2CCD3585">
            <w:pPr>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预测因子</w:t>
            </w:r>
          </w:p>
        </w:tc>
        <w:tc>
          <w:tcPr>
            <w:tcW w:w="2218" w:type="pct"/>
            <w:tcBorders>
              <w:tl2br w:val="nil"/>
              <w:tr2bl w:val="nil"/>
            </w:tcBorders>
            <w:vAlign w:val="center"/>
          </w:tcPr>
          <w:p w14:paraId="709C324A">
            <w:pPr>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最大值（g/m</w:t>
            </w:r>
            <w:r>
              <w:rPr>
                <w:rFonts w:ascii="Times New Roman" w:hAnsi="Times New Roman" w:eastAsia="宋体" w:cs="Times New Roman"/>
                <w:color w:val="auto"/>
                <w:sz w:val="21"/>
                <w:szCs w:val="21"/>
                <w:vertAlign w:val="superscript"/>
              </w:rPr>
              <w:t>2</w:t>
            </w:r>
            <w:r>
              <w:rPr>
                <w:rFonts w:ascii="Times New Roman" w:hAnsi="Times New Roman" w:eastAsia="宋体" w:cs="Times New Roman"/>
                <w:color w:val="auto"/>
                <w:sz w:val="21"/>
                <w:szCs w:val="21"/>
              </w:rPr>
              <w:t>）</w:t>
            </w:r>
          </w:p>
        </w:tc>
      </w:tr>
      <w:tr w14:paraId="1D3A6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62" w:type="pct"/>
            <w:tcBorders>
              <w:tl2br w:val="nil"/>
              <w:tr2bl w:val="nil"/>
            </w:tcBorders>
            <w:vAlign w:val="center"/>
          </w:tcPr>
          <w:p w14:paraId="52CDA585">
            <w:pPr>
              <w:keepNext w:val="0"/>
              <w:keepLines w:val="0"/>
              <w:pageBreakBefore w:val="0"/>
              <w:widowControl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w:t>
            </w:r>
          </w:p>
        </w:tc>
        <w:tc>
          <w:tcPr>
            <w:tcW w:w="2218" w:type="pct"/>
            <w:tcBorders>
              <w:tl2br w:val="nil"/>
              <w:tr2bl w:val="nil"/>
            </w:tcBorders>
            <w:vAlign w:val="center"/>
          </w:tcPr>
          <w:p w14:paraId="782A350D">
            <w:pPr>
              <w:pStyle w:val="126"/>
              <w:keepNext w:val="0"/>
              <w:keepLines w:val="0"/>
              <w:pageBreakBefore w:val="0"/>
              <w:widowControl w:val="0"/>
              <w:kinsoku/>
              <w:wordWrap/>
              <w:overflowPunct/>
              <w:topLinePunct w:val="0"/>
              <w:autoSpaceDE w:val="0"/>
              <w:autoSpaceDN w:val="0"/>
              <w:bidi w:val="0"/>
              <w:snapToGrid w:val="0"/>
              <w:spacing w:line="320" w:lineRule="exact"/>
              <w:jc w:val="center"/>
              <w:textAlignment w:val="bottom"/>
              <w:rPr>
                <w:rFonts w:ascii="Times New Roman" w:hAnsi="Times New Roman"/>
                <w:color w:val="auto"/>
                <w:sz w:val="21"/>
                <w:szCs w:val="21"/>
              </w:rPr>
            </w:pPr>
            <w:r>
              <w:rPr>
                <w:rFonts w:ascii="Times New Roman" w:hAnsi="Times New Roman"/>
                <w:color w:val="auto"/>
                <w:sz w:val="21"/>
                <w:szCs w:val="21"/>
              </w:rPr>
              <w:t>Hg</w:t>
            </w:r>
          </w:p>
        </w:tc>
        <w:tc>
          <w:tcPr>
            <w:tcW w:w="2218" w:type="pct"/>
            <w:tcBorders>
              <w:tl2br w:val="nil"/>
              <w:tr2bl w:val="nil"/>
            </w:tcBorders>
            <w:vAlign w:val="center"/>
          </w:tcPr>
          <w:p w14:paraId="48C566B0">
            <w:pPr>
              <w:keepNext w:val="0"/>
              <w:keepLines w:val="0"/>
              <w:pageBreakBefore w:val="0"/>
              <w:widowControl w:val="0"/>
              <w:kinsoku/>
              <w:wordWrap/>
              <w:overflowPunct/>
              <w:topLinePunct w:val="0"/>
              <w:bidi w:val="0"/>
              <w:snapToGrid w:val="0"/>
              <w:spacing w:line="320" w:lineRule="exact"/>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0.00</w:t>
            </w:r>
            <w:r>
              <w:rPr>
                <w:rFonts w:hint="eastAsia" w:ascii="Times New Roman" w:hAnsi="Times New Roman" w:eastAsia="宋体" w:cs="Times New Roman"/>
                <w:color w:val="auto"/>
                <w:sz w:val="21"/>
                <w:szCs w:val="21"/>
                <w:lang w:val="en-US" w:eastAsia="zh-CN"/>
              </w:rPr>
              <w:t>335</w:t>
            </w:r>
          </w:p>
        </w:tc>
      </w:tr>
    </w:tbl>
    <w:p w14:paraId="4521AF4B">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eastAsia="宋体" w:cs="Times New Roman"/>
          <w:b/>
          <w:bCs/>
          <w:color w:val="auto"/>
          <w:sz w:val="24"/>
          <w:szCs w:val="24"/>
          <w:lang w:val="en-US" w:eastAsia="zh-CN"/>
        </w:rPr>
        <w:t>6.2</w:t>
      </w:r>
      <w:r>
        <w:rPr>
          <w:rFonts w:hint="default" w:ascii="Times New Roman" w:hAnsi="Times New Roman" w:eastAsia="宋体" w:cs="Times New Roman"/>
          <w:b/>
          <w:bCs/>
          <w:color w:val="auto"/>
          <w:sz w:val="24"/>
          <w:szCs w:val="24"/>
          <w:lang w:val="en-US" w:eastAsia="zh-CN"/>
        </w:rPr>
        <w:t>-4</w:t>
      </w:r>
      <w:r>
        <w:rPr>
          <w:rFonts w:hint="eastAsia" w:ascii="Times New Roman" w:hAnsi="Times New Roman" w:eastAsia="宋体" w:cs="Times New Roman"/>
          <w:b/>
          <w:bCs/>
          <w:color w:val="auto"/>
          <w:sz w:val="24"/>
          <w:szCs w:val="24"/>
          <w:lang w:val="en-US" w:eastAsia="zh-CN"/>
        </w:rPr>
        <w:t>9</w:t>
      </w:r>
      <w:r>
        <w:rPr>
          <w:rFonts w:hint="default" w:ascii="Times New Roman" w:hAnsi="Times New Roman" w:eastAsia="宋体" w:cs="Times New Roman"/>
          <w:b/>
          <w:bCs/>
          <w:color w:val="auto"/>
          <w:sz w:val="24"/>
          <w:szCs w:val="24"/>
          <w:lang w:val="en-US" w:eastAsia="zh-CN"/>
        </w:rPr>
        <w:t xml:space="preserve">  干沉降对土壤累积影响值</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6"/>
        <w:gridCol w:w="941"/>
        <w:gridCol w:w="2078"/>
        <w:gridCol w:w="1601"/>
        <w:gridCol w:w="1435"/>
        <w:gridCol w:w="1771"/>
      </w:tblGrid>
      <w:tr w14:paraId="0ECEC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8" w:type="pct"/>
            <w:vMerge w:val="restart"/>
            <w:tcBorders>
              <w:tl2br w:val="nil"/>
              <w:tr2bl w:val="nil"/>
            </w:tcBorders>
            <w:vAlign w:val="center"/>
          </w:tcPr>
          <w:p w14:paraId="4AB21C9C">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序号</w:t>
            </w:r>
          </w:p>
        </w:tc>
        <w:tc>
          <w:tcPr>
            <w:tcW w:w="552" w:type="pct"/>
            <w:vMerge w:val="restart"/>
            <w:tcBorders>
              <w:tl2br w:val="nil"/>
              <w:tr2bl w:val="nil"/>
            </w:tcBorders>
            <w:vAlign w:val="center"/>
          </w:tcPr>
          <w:p w14:paraId="19EA1FE1">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因子</w:t>
            </w:r>
          </w:p>
        </w:tc>
        <w:tc>
          <w:tcPr>
            <w:tcW w:w="1219" w:type="pct"/>
            <w:vMerge w:val="restart"/>
            <w:tcBorders>
              <w:tl2br w:val="nil"/>
              <w:tr2bl w:val="nil"/>
            </w:tcBorders>
            <w:vAlign w:val="center"/>
          </w:tcPr>
          <w:p w14:paraId="5DF0575D">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年输入量（mg/kg）</w:t>
            </w:r>
          </w:p>
        </w:tc>
        <w:tc>
          <w:tcPr>
            <w:tcW w:w="2820" w:type="pct"/>
            <w:gridSpan w:val="3"/>
            <w:tcBorders>
              <w:tl2br w:val="nil"/>
              <w:tr2bl w:val="nil"/>
            </w:tcBorders>
            <w:vAlign w:val="center"/>
          </w:tcPr>
          <w:p w14:paraId="29EA2673">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累积预测值（mg/kg）</w:t>
            </w:r>
          </w:p>
        </w:tc>
      </w:tr>
      <w:tr w14:paraId="12D29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8" w:type="pct"/>
            <w:vMerge w:val="continue"/>
            <w:tcBorders>
              <w:tl2br w:val="nil"/>
              <w:tr2bl w:val="nil"/>
            </w:tcBorders>
            <w:vAlign w:val="center"/>
          </w:tcPr>
          <w:p w14:paraId="7EB417A3">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p>
        </w:tc>
        <w:tc>
          <w:tcPr>
            <w:tcW w:w="552" w:type="pct"/>
            <w:vMerge w:val="continue"/>
            <w:tcBorders>
              <w:tl2br w:val="nil"/>
              <w:tr2bl w:val="nil"/>
            </w:tcBorders>
            <w:vAlign w:val="center"/>
          </w:tcPr>
          <w:p w14:paraId="4C859EC3">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p>
        </w:tc>
        <w:tc>
          <w:tcPr>
            <w:tcW w:w="1219" w:type="pct"/>
            <w:vMerge w:val="continue"/>
            <w:tcBorders>
              <w:tl2br w:val="nil"/>
              <w:tr2bl w:val="nil"/>
            </w:tcBorders>
            <w:vAlign w:val="center"/>
          </w:tcPr>
          <w:p w14:paraId="3351BAD2">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p>
        </w:tc>
        <w:tc>
          <w:tcPr>
            <w:tcW w:w="939" w:type="pct"/>
            <w:tcBorders>
              <w:tl2br w:val="nil"/>
              <w:tr2bl w:val="nil"/>
            </w:tcBorders>
            <w:vAlign w:val="center"/>
          </w:tcPr>
          <w:p w14:paraId="72730D40">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5年</w:t>
            </w:r>
          </w:p>
        </w:tc>
        <w:tc>
          <w:tcPr>
            <w:tcW w:w="842" w:type="pct"/>
            <w:tcBorders>
              <w:tl2br w:val="nil"/>
              <w:tr2bl w:val="nil"/>
            </w:tcBorders>
            <w:vAlign w:val="center"/>
          </w:tcPr>
          <w:p w14:paraId="1EF1EA00">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10年</w:t>
            </w:r>
          </w:p>
        </w:tc>
        <w:tc>
          <w:tcPr>
            <w:tcW w:w="1038" w:type="pct"/>
            <w:tcBorders>
              <w:tl2br w:val="nil"/>
              <w:tr2bl w:val="nil"/>
            </w:tcBorders>
            <w:vAlign w:val="center"/>
          </w:tcPr>
          <w:p w14:paraId="70D966A5">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20年</w:t>
            </w:r>
          </w:p>
        </w:tc>
      </w:tr>
      <w:tr w14:paraId="79B7F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8" w:type="pct"/>
            <w:tcBorders>
              <w:tl2br w:val="nil"/>
              <w:tr2bl w:val="nil"/>
            </w:tcBorders>
            <w:vAlign w:val="center"/>
          </w:tcPr>
          <w:p w14:paraId="38BE6773">
            <w:pPr>
              <w:keepNext w:val="0"/>
              <w:keepLines w:val="0"/>
              <w:pageBreakBefore w:val="0"/>
              <w:kinsoku/>
              <w:wordWrap/>
              <w:overflowPunct/>
              <w:topLinePunct w:val="0"/>
              <w:bidi w:val="0"/>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w:t>
            </w:r>
          </w:p>
        </w:tc>
        <w:tc>
          <w:tcPr>
            <w:tcW w:w="552" w:type="pct"/>
            <w:tcBorders>
              <w:tl2br w:val="nil"/>
              <w:tr2bl w:val="nil"/>
            </w:tcBorders>
            <w:vAlign w:val="center"/>
          </w:tcPr>
          <w:p w14:paraId="79669937">
            <w:pPr>
              <w:pStyle w:val="126"/>
              <w:keepNext w:val="0"/>
              <w:keepLines w:val="0"/>
              <w:pageBreakBefore w:val="0"/>
              <w:kinsoku/>
              <w:wordWrap/>
              <w:overflowPunct/>
              <w:topLinePunct w:val="0"/>
              <w:autoSpaceDE w:val="0"/>
              <w:autoSpaceDN w:val="0"/>
              <w:bidi w:val="0"/>
              <w:snapToGrid w:val="0"/>
              <w:spacing w:line="320" w:lineRule="exact"/>
              <w:jc w:val="center"/>
              <w:textAlignment w:val="bottom"/>
              <w:rPr>
                <w:rFonts w:ascii="Times New Roman" w:hAnsi="Times New Roman"/>
                <w:color w:val="auto"/>
                <w:sz w:val="21"/>
                <w:szCs w:val="21"/>
              </w:rPr>
            </w:pPr>
            <w:r>
              <w:rPr>
                <w:rFonts w:ascii="Times New Roman" w:hAnsi="Times New Roman"/>
                <w:color w:val="auto"/>
                <w:sz w:val="21"/>
                <w:szCs w:val="21"/>
              </w:rPr>
              <w:t>Hg</w:t>
            </w:r>
          </w:p>
        </w:tc>
        <w:tc>
          <w:tcPr>
            <w:tcW w:w="1219" w:type="pct"/>
            <w:tcBorders>
              <w:tl2br w:val="nil"/>
              <w:tr2bl w:val="nil"/>
            </w:tcBorders>
            <w:vAlign w:val="center"/>
          </w:tcPr>
          <w:p w14:paraId="33C1D9D5">
            <w:pPr>
              <w:keepNext w:val="0"/>
              <w:keepLines w:val="0"/>
              <w:pageBreakBefore w:val="0"/>
              <w:widowControl/>
              <w:kinsoku/>
              <w:wordWrap/>
              <w:overflowPunct/>
              <w:topLinePunct w:val="0"/>
              <w:bidi w:val="0"/>
              <w:spacing w:line="320" w:lineRule="exact"/>
              <w:ind w:firstLine="0" w:firstLineChars="0"/>
              <w:jc w:val="center"/>
              <w:textAlignment w:val="center"/>
              <w:rPr>
                <w:rFonts w:hint="eastAsia"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1.09</w:t>
            </w:r>
            <w:r>
              <w:rPr>
                <w:rFonts w:ascii="Times New Roman" w:hAnsi="Times New Roman" w:eastAsia="宋体" w:cs="Times New Roman"/>
                <w:color w:val="auto"/>
                <w:sz w:val="21"/>
                <w:szCs w:val="21"/>
              </w:rPr>
              <w:t>×10</w:t>
            </w:r>
            <w:r>
              <w:rPr>
                <w:rFonts w:ascii="Times New Roman" w:hAnsi="Times New Roman" w:eastAsia="宋体" w:cs="Times New Roman"/>
                <w:color w:val="auto"/>
                <w:sz w:val="21"/>
                <w:szCs w:val="21"/>
                <w:vertAlign w:val="superscript"/>
              </w:rPr>
              <w:t>-</w:t>
            </w:r>
            <w:r>
              <w:rPr>
                <w:rFonts w:hint="eastAsia" w:ascii="Times New Roman" w:hAnsi="Times New Roman" w:eastAsia="宋体" w:cs="Times New Roman"/>
                <w:color w:val="auto"/>
                <w:sz w:val="21"/>
                <w:szCs w:val="21"/>
                <w:vertAlign w:val="superscript"/>
                <w:lang w:val="en-US" w:eastAsia="zh-CN"/>
              </w:rPr>
              <w:t>5</w:t>
            </w:r>
          </w:p>
        </w:tc>
        <w:tc>
          <w:tcPr>
            <w:tcW w:w="939" w:type="pct"/>
            <w:tcBorders>
              <w:tl2br w:val="nil"/>
              <w:tr2bl w:val="nil"/>
            </w:tcBorders>
            <w:vAlign w:val="center"/>
          </w:tcPr>
          <w:p w14:paraId="799FB087">
            <w:pPr>
              <w:keepNext w:val="0"/>
              <w:keepLines w:val="0"/>
              <w:pageBreakBefore w:val="0"/>
              <w:widowControl/>
              <w:kinsoku/>
              <w:wordWrap/>
              <w:overflowPunct/>
              <w:topLinePunct w:val="0"/>
              <w:bidi w:val="0"/>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val="en-US" w:eastAsia="zh-CN" w:bidi="ar"/>
              </w:rPr>
              <w:t>5.4</w:t>
            </w:r>
            <w:r>
              <w:rPr>
                <w:rFonts w:ascii="Times New Roman" w:hAnsi="Times New Roman" w:eastAsia="宋体" w:cs="Times New Roman"/>
                <w:color w:val="auto"/>
                <w:sz w:val="21"/>
                <w:szCs w:val="21"/>
              </w:rPr>
              <w:t>×10</w:t>
            </w:r>
            <w:r>
              <w:rPr>
                <w:rFonts w:ascii="Times New Roman" w:hAnsi="Times New Roman" w:eastAsia="宋体" w:cs="Times New Roman"/>
                <w:color w:val="auto"/>
                <w:sz w:val="21"/>
                <w:szCs w:val="21"/>
                <w:vertAlign w:val="superscript"/>
              </w:rPr>
              <w:t>-5</w:t>
            </w:r>
          </w:p>
        </w:tc>
        <w:tc>
          <w:tcPr>
            <w:tcW w:w="842" w:type="pct"/>
            <w:tcBorders>
              <w:tl2br w:val="nil"/>
              <w:tr2bl w:val="nil"/>
            </w:tcBorders>
            <w:vAlign w:val="center"/>
          </w:tcPr>
          <w:p w14:paraId="3FF0F9D9">
            <w:pPr>
              <w:keepNext w:val="0"/>
              <w:keepLines w:val="0"/>
              <w:pageBreakBefore w:val="0"/>
              <w:widowControl/>
              <w:kinsoku/>
              <w:wordWrap/>
              <w:overflowPunct/>
              <w:topLinePunct w:val="0"/>
              <w:bidi w:val="0"/>
              <w:spacing w:line="320" w:lineRule="exact"/>
              <w:ind w:firstLine="0" w:firstLineChars="0"/>
              <w:jc w:val="center"/>
              <w:textAlignment w:val="center"/>
              <w:rPr>
                <w:rFonts w:hint="eastAsia"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sz w:val="21"/>
                <w:szCs w:val="21"/>
                <w:lang w:val="en-US" w:eastAsia="zh-CN"/>
              </w:rPr>
              <w:t>1.09</w:t>
            </w:r>
            <w:r>
              <w:rPr>
                <w:rFonts w:ascii="Times New Roman" w:hAnsi="Times New Roman" w:eastAsia="宋体" w:cs="Times New Roman"/>
                <w:color w:val="auto"/>
                <w:sz w:val="21"/>
                <w:szCs w:val="21"/>
              </w:rPr>
              <w:t>×10</w:t>
            </w:r>
            <w:r>
              <w:rPr>
                <w:rFonts w:ascii="Times New Roman" w:hAnsi="Times New Roman" w:eastAsia="宋体" w:cs="Times New Roman"/>
                <w:color w:val="auto"/>
                <w:sz w:val="21"/>
                <w:szCs w:val="21"/>
                <w:vertAlign w:val="superscript"/>
              </w:rPr>
              <w:t>-</w:t>
            </w:r>
            <w:r>
              <w:rPr>
                <w:rFonts w:hint="eastAsia" w:ascii="Times New Roman" w:hAnsi="Times New Roman" w:eastAsia="宋体" w:cs="Times New Roman"/>
                <w:color w:val="auto"/>
                <w:sz w:val="21"/>
                <w:szCs w:val="21"/>
                <w:vertAlign w:val="superscript"/>
                <w:lang w:val="en-US" w:eastAsia="zh-CN"/>
              </w:rPr>
              <w:t>4</w:t>
            </w:r>
          </w:p>
        </w:tc>
        <w:tc>
          <w:tcPr>
            <w:tcW w:w="1038" w:type="pct"/>
            <w:tcBorders>
              <w:tl2br w:val="nil"/>
              <w:tr2bl w:val="nil"/>
            </w:tcBorders>
            <w:vAlign w:val="center"/>
          </w:tcPr>
          <w:p w14:paraId="599EC8A9">
            <w:pPr>
              <w:keepNext w:val="0"/>
              <w:keepLines w:val="0"/>
              <w:pageBreakBefore w:val="0"/>
              <w:widowControl/>
              <w:kinsoku/>
              <w:wordWrap/>
              <w:overflowPunct/>
              <w:topLinePunct w:val="0"/>
              <w:bidi w:val="0"/>
              <w:spacing w:line="320" w:lineRule="exact"/>
              <w:ind w:firstLine="0" w:firstLineChars="0"/>
              <w:jc w:val="center"/>
              <w:textAlignment w:val="center"/>
              <w:rPr>
                <w:rFonts w:hint="eastAsia"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2.18</w:t>
            </w:r>
            <w:r>
              <w:rPr>
                <w:rFonts w:ascii="Times New Roman" w:hAnsi="Times New Roman" w:eastAsia="宋体" w:cs="Times New Roman"/>
                <w:color w:val="auto"/>
                <w:sz w:val="21"/>
                <w:szCs w:val="21"/>
              </w:rPr>
              <w:t>×10</w:t>
            </w:r>
            <w:r>
              <w:rPr>
                <w:rFonts w:ascii="Times New Roman" w:hAnsi="Times New Roman" w:eastAsia="宋体" w:cs="Times New Roman"/>
                <w:color w:val="auto"/>
                <w:sz w:val="21"/>
                <w:szCs w:val="21"/>
                <w:vertAlign w:val="superscript"/>
              </w:rPr>
              <w:t>-</w:t>
            </w:r>
            <w:r>
              <w:rPr>
                <w:rFonts w:hint="eastAsia" w:ascii="Times New Roman" w:hAnsi="Times New Roman" w:eastAsia="宋体" w:cs="Times New Roman"/>
                <w:color w:val="auto"/>
                <w:sz w:val="21"/>
                <w:szCs w:val="21"/>
                <w:vertAlign w:val="superscript"/>
                <w:lang w:val="en-US" w:eastAsia="zh-CN"/>
              </w:rPr>
              <w:t>4</w:t>
            </w:r>
          </w:p>
        </w:tc>
      </w:tr>
    </w:tbl>
    <w:p w14:paraId="7E1CDA6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eastAsia="宋体" w:cs="Times New Roman"/>
          <w:b/>
          <w:bCs/>
          <w:color w:val="auto"/>
          <w:sz w:val="24"/>
          <w:szCs w:val="24"/>
          <w:lang w:val="en-US" w:eastAsia="zh-CN"/>
        </w:rPr>
        <w:t>6.2</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50</w:t>
      </w:r>
      <w:r>
        <w:rPr>
          <w:rFonts w:hint="default" w:ascii="Times New Roman" w:hAnsi="Times New Roman" w:eastAsia="宋体" w:cs="Times New Roman"/>
          <w:b/>
          <w:bCs/>
          <w:color w:val="auto"/>
          <w:sz w:val="24"/>
          <w:szCs w:val="24"/>
          <w:lang w:val="en-US" w:eastAsia="zh-CN"/>
        </w:rPr>
        <w:t xml:space="preserve">  干沉降对土壤累积影响叠加值</w:t>
      </w: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
        <w:gridCol w:w="705"/>
        <w:gridCol w:w="1173"/>
        <w:gridCol w:w="1173"/>
        <w:gridCol w:w="928"/>
        <w:gridCol w:w="1004"/>
        <w:gridCol w:w="2071"/>
        <w:gridCol w:w="848"/>
      </w:tblGrid>
      <w:tr w14:paraId="3E8A9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425" w:type="pct"/>
            <w:tcBorders>
              <w:tl2br w:val="nil"/>
              <w:tr2bl w:val="nil"/>
            </w:tcBorders>
            <w:vAlign w:val="center"/>
          </w:tcPr>
          <w:p w14:paraId="4B8BF813">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序号</w:t>
            </w:r>
          </w:p>
        </w:tc>
        <w:tc>
          <w:tcPr>
            <w:tcW w:w="475" w:type="pct"/>
            <w:tcBorders>
              <w:tl2br w:val="nil"/>
              <w:tr2bl w:val="nil"/>
            </w:tcBorders>
            <w:vAlign w:val="center"/>
          </w:tcPr>
          <w:p w14:paraId="31ECD25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因子</w:t>
            </w:r>
          </w:p>
        </w:tc>
        <w:tc>
          <w:tcPr>
            <w:tcW w:w="488" w:type="pct"/>
            <w:tcBorders>
              <w:tl2br w:val="nil"/>
              <w:tr2bl w:val="nil"/>
            </w:tcBorders>
            <w:vAlign w:val="center"/>
          </w:tcPr>
          <w:p w14:paraId="150D2DB2">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标准值（mg/kg）</w:t>
            </w:r>
          </w:p>
        </w:tc>
        <w:tc>
          <w:tcPr>
            <w:tcW w:w="518" w:type="pct"/>
            <w:tcBorders>
              <w:tl2br w:val="nil"/>
              <w:tr2bl w:val="nil"/>
            </w:tcBorders>
            <w:vAlign w:val="center"/>
          </w:tcPr>
          <w:p w14:paraId="7DEA1542">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现状值（mg/kg）</w:t>
            </w:r>
          </w:p>
        </w:tc>
        <w:tc>
          <w:tcPr>
            <w:tcW w:w="1222" w:type="pct"/>
            <w:gridSpan w:val="2"/>
            <w:tcBorders>
              <w:tl2br w:val="nil"/>
              <w:tr2bl w:val="nil"/>
            </w:tcBorders>
            <w:vAlign w:val="center"/>
          </w:tcPr>
          <w:p w14:paraId="03EE20C4">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累积叠加值（mg/kg）</w:t>
            </w:r>
          </w:p>
        </w:tc>
        <w:tc>
          <w:tcPr>
            <w:tcW w:w="1310" w:type="pct"/>
            <w:tcBorders>
              <w:tl2br w:val="nil"/>
              <w:tr2bl w:val="nil"/>
            </w:tcBorders>
            <w:vAlign w:val="center"/>
          </w:tcPr>
          <w:p w14:paraId="3E9596AB">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《土壤环境质量建设用地土壤污染风险管控标准（试行）》（GB36600-2018）中建设用地土壤污染风险筛选值</w:t>
            </w:r>
          </w:p>
        </w:tc>
        <w:tc>
          <w:tcPr>
            <w:tcW w:w="559" w:type="pct"/>
            <w:tcBorders>
              <w:tl2br w:val="nil"/>
              <w:tr2bl w:val="nil"/>
            </w:tcBorders>
            <w:vAlign w:val="center"/>
          </w:tcPr>
          <w:p w14:paraId="3256A60A">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占标率（%）</w:t>
            </w:r>
          </w:p>
        </w:tc>
      </w:tr>
      <w:tr w14:paraId="2A484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25" w:type="pct"/>
            <w:vMerge w:val="restart"/>
            <w:tcBorders>
              <w:tl2br w:val="nil"/>
              <w:tr2bl w:val="nil"/>
            </w:tcBorders>
            <w:vAlign w:val="center"/>
          </w:tcPr>
          <w:p w14:paraId="7355738E">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w:t>
            </w:r>
          </w:p>
        </w:tc>
        <w:tc>
          <w:tcPr>
            <w:tcW w:w="475" w:type="pct"/>
            <w:vMerge w:val="restart"/>
            <w:tcBorders>
              <w:tl2br w:val="nil"/>
              <w:tr2bl w:val="nil"/>
            </w:tcBorders>
            <w:vAlign w:val="center"/>
          </w:tcPr>
          <w:p w14:paraId="7B168A21">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Hg</w:t>
            </w:r>
          </w:p>
        </w:tc>
        <w:tc>
          <w:tcPr>
            <w:tcW w:w="488" w:type="pct"/>
            <w:vMerge w:val="restart"/>
            <w:tcBorders>
              <w:tl2br w:val="nil"/>
              <w:tr2bl w:val="nil"/>
            </w:tcBorders>
            <w:vAlign w:val="center"/>
          </w:tcPr>
          <w:p w14:paraId="1DD8DA1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kern w:val="0"/>
                <w:sz w:val="21"/>
                <w:szCs w:val="21"/>
                <w:lang w:bidi="ar"/>
              </w:rPr>
              <w:t>8</w:t>
            </w:r>
          </w:p>
        </w:tc>
        <w:tc>
          <w:tcPr>
            <w:tcW w:w="518" w:type="pct"/>
            <w:vMerge w:val="restart"/>
            <w:tcBorders>
              <w:tl2br w:val="nil"/>
              <w:tr2bl w:val="nil"/>
            </w:tcBorders>
            <w:vAlign w:val="center"/>
          </w:tcPr>
          <w:p w14:paraId="58469DF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0.013</w:t>
            </w:r>
          </w:p>
        </w:tc>
        <w:tc>
          <w:tcPr>
            <w:tcW w:w="606" w:type="pct"/>
            <w:tcBorders>
              <w:tl2br w:val="nil"/>
              <w:tr2bl w:val="nil"/>
            </w:tcBorders>
            <w:vAlign w:val="center"/>
          </w:tcPr>
          <w:p w14:paraId="0863C36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5年</w:t>
            </w:r>
          </w:p>
        </w:tc>
        <w:tc>
          <w:tcPr>
            <w:tcW w:w="616" w:type="pct"/>
            <w:tcBorders>
              <w:tl2br w:val="nil"/>
              <w:tr2bl w:val="nil"/>
            </w:tcBorders>
            <w:vAlign w:val="center"/>
          </w:tcPr>
          <w:p w14:paraId="596A2346">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ascii="Times New Roman" w:hAnsi="Times New Roman" w:eastAsia="宋体" w:cs="Times New Roman"/>
                <w:color w:val="auto"/>
                <w:kern w:val="0"/>
                <w:sz w:val="21"/>
                <w:szCs w:val="21"/>
                <w:lang w:bidi="ar"/>
              </w:rPr>
              <w:t>0.</w:t>
            </w:r>
            <w:r>
              <w:rPr>
                <w:rFonts w:hint="eastAsia" w:ascii="Times New Roman" w:hAnsi="Times New Roman" w:eastAsia="宋体" w:cs="Times New Roman"/>
                <w:color w:val="auto"/>
                <w:kern w:val="0"/>
                <w:sz w:val="21"/>
                <w:szCs w:val="21"/>
                <w:lang w:val="en-US" w:eastAsia="zh-CN" w:bidi="ar"/>
              </w:rPr>
              <w:t>013054</w:t>
            </w:r>
          </w:p>
        </w:tc>
        <w:tc>
          <w:tcPr>
            <w:tcW w:w="1310" w:type="pct"/>
            <w:vMerge w:val="restart"/>
            <w:tcBorders>
              <w:tl2br w:val="nil"/>
              <w:tr2bl w:val="nil"/>
            </w:tcBorders>
            <w:vAlign w:val="center"/>
          </w:tcPr>
          <w:p w14:paraId="0B68B32A">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hint="eastAsia" w:ascii="Times New Roman" w:hAnsi="Times New Roman" w:eastAsia="宋体" w:cs="Times New Roman"/>
                <w:color w:val="auto"/>
                <w:kern w:val="0"/>
                <w:sz w:val="21"/>
                <w:szCs w:val="21"/>
                <w:lang w:bidi="ar"/>
              </w:rPr>
              <w:t>38</w:t>
            </w:r>
          </w:p>
        </w:tc>
        <w:tc>
          <w:tcPr>
            <w:tcW w:w="559" w:type="pct"/>
            <w:tcBorders>
              <w:tl2br w:val="nil"/>
              <w:tr2bl w:val="nil"/>
            </w:tcBorders>
            <w:vAlign w:val="center"/>
          </w:tcPr>
          <w:p w14:paraId="62914B49">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0.0344</w:t>
            </w:r>
          </w:p>
        </w:tc>
      </w:tr>
      <w:tr w14:paraId="115C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25" w:type="pct"/>
            <w:vMerge w:val="continue"/>
            <w:tcBorders>
              <w:tl2br w:val="nil"/>
              <w:tr2bl w:val="nil"/>
            </w:tcBorders>
            <w:vAlign w:val="center"/>
          </w:tcPr>
          <w:p w14:paraId="46154A5E">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475" w:type="pct"/>
            <w:vMerge w:val="continue"/>
            <w:tcBorders>
              <w:tl2br w:val="nil"/>
              <w:tr2bl w:val="nil"/>
            </w:tcBorders>
            <w:vAlign w:val="center"/>
          </w:tcPr>
          <w:p w14:paraId="79AAAE0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88" w:type="pct"/>
            <w:vMerge w:val="continue"/>
            <w:tcBorders>
              <w:tl2br w:val="nil"/>
              <w:tr2bl w:val="nil"/>
            </w:tcBorders>
            <w:vAlign w:val="center"/>
          </w:tcPr>
          <w:p w14:paraId="0C1B1F5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518" w:type="pct"/>
            <w:vMerge w:val="continue"/>
            <w:tcBorders>
              <w:tl2br w:val="nil"/>
              <w:tr2bl w:val="nil"/>
            </w:tcBorders>
            <w:vAlign w:val="center"/>
          </w:tcPr>
          <w:p w14:paraId="6CEB7BAC">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6" w:type="pct"/>
            <w:tcBorders>
              <w:tl2br w:val="nil"/>
              <w:tr2bl w:val="nil"/>
            </w:tcBorders>
            <w:vAlign w:val="center"/>
          </w:tcPr>
          <w:p w14:paraId="096028F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10年</w:t>
            </w:r>
          </w:p>
        </w:tc>
        <w:tc>
          <w:tcPr>
            <w:tcW w:w="616" w:type="pct"/>
            <w:tcBorders>
              <w:tl2br w:val="nil"/>
              <w:tr2bl w:val="nil"/>
            </w:tcBorders>
            <w:vAlign w:val="center"/>
          </w:tcPr>
          <w:p w14:paraId="3300107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bidi="ar"/>
              </w:rPr>
              <w:t>0.</w:t>
            </w:r>
            <w:r>
              <w:rPr>
                <w:rFonts w:hint="eastAsia" w:ascii="Times New Roman" w:hAnsi="Times New Roman" w:eastAsia="宋体" w:cs="Times New Roman"/>
                <w:color w:val="auto"/>
                <w:kern w:val="0"/>
                <w:sz w:val="21"/>
                <w:szCs w:val="21"/>
                <w:lang w:val="en-US" w:eastAsia="zh-CN" w:bidi="ar"/>
              </w:rPr>
              <w:t>013109</w:t>
            </w:r>
          </w:p>
        </w:tc>
        <w:tc>
          <w:tcPr>
            <w:tcW w:w="1310" w:type="pct"/>
            <w:vMerge w:val="continue"/>
            <w:tcBorders>
              <w:tl2br w:val="nil"/>
              <w:tr2bl w:val="nil"/>
            </w:tcBorders>
            <w:vAlign w:val="center"/>
          </w:tcPr>
          <w:p w14:paraId="74764EC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559" w:type="pct"/>
            <w:tcBorders>
              <w:tl2br w:val="nil"/>
              <w:tr2bl w:val="nil"/>
            </w:tcBorders>
            <w:vAlign w:val="center"/>
          </w:tcPr>
          <w:p w14:paraId="6AEAE257">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bidi="ar"/>
              </w:rPr>
              <w:t>0.</w:t>
            </w:r>
            <w:r>
              <w:rPr>
                <w:rFonts w:hint="eastAsia" w:ascii="Times New Roman" w:hAnsi="Times New Roman" w:eastAsia="宋体" w:cs="Times New Roman"/>
                <w:color w:val="auto"/>
                <w:kern w:val="0"/>
                <w:sz w:val="21"/>
                <w:szCs w:val="21"/>
                <w:lang w:val="en-US" w:eastAsia="zh-CN" w:bidi="ar"/>
              </w:rPr>
              <w:t>0345</w:t>
            </w:r>
          </w:p>
        </w:tc>
      </w:tr>
      <w:tr w14:paraId="034C6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25" w:type="pct"/>
            <w:vMerge w:val="continue"/>
            <w:tcBorders>
              <w:tl2br w:val="nil"/>
              <w:tr2bl w:val="nil"/>
            </w:tcBorders>
            <w:vAlign w:val="center"/>
          </w:tcPr>
          <w:p w14:paraId="50BCBD61">
            <w:pPr>
              <w:keepNext w:val="0"/>
              <w:keepLines w:val="0"/>
              <w:pageBreakBefore w:val="0"/>
              <w:kinsoku/>
              <w:wordWrap/>
              <w:overflowPunct/>
              <w:topLinePunct w:val="0"/>
              <w:autoSpaceDE/>
              <w:autoSpaceDN/>
              <w:bidi w:val="0"/>
              <w:adjustRightInd/>
              <w:snapToGrid/>
              <w:spacing w:line="320" w:lineRule="exact"/>
              <w:ind w:firstLine="0" w:firstLineChars="0"/>
              <w:jc w:val="center"/>
              <w:rPr>
                <w:rFonts w:ascii="Times New Roman" w:hAnsi="Times New Roman" w:eastAsia="宋体" w:cs="Times New Roman"/>
                <w:color w:val="auto"/>
                <w:sz w:val="21"/>
                <w:szCs w:val="21"/>
              </w:rPr>
            </w:pPr>
          </w:p>
        </w:tc>
        <w:tc>
          <w:tcPr>
            <w:tcW w:w="475" w:type="pct"/>
            <w:vMerge w:val="continue"/>
            <w:tcBorders>
              <w:tl2br w:val="nil"/>
              <w:tr2bl w:val="nil"/>
            </w:tcBorders>
            <w:vAlign w:val="center"/>
          </w:tcPr>
          <w:p w14:paraId="77631E2D">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488" w:type="pct"/>
            <w:vMerge w:val="continue"/>
            <w:tcBorders>
              <w:tl2br w:val="nil"/>
              <w:tr2bl w:val="nil"/>
            </w:tcBorders>
            <w:vAlign w:val="center"/>
          </w:tcPr>
          <w:p w14:paraId="133C899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518" w:type="pct"/>
            <w:vMerge w:val="continue"/>
            <w:tcBorders>
              <w:tl2br w:val="nil"/>
              <w:tr2bl w:val="nil"/>
            </w:tcBorders>
            <w:vAlign w:val="center"/>
          </w:tcPr>
          <w:p w14:paraId="56AE3864">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606" w:type="pct"/>
            <w:tcBorders>
              <w:tl2br w:val="nil"/>
              <w:tr2bl w:val="nil"/>
            </w:tcBorders>
            <w:vAlign w:val="center"/>
          </w:tcPr>
          <w:p w14:paraId="249E11E5">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r>
              <w:rPr>
                <w:rFonts w:ascii="Times New Roman" w:hAnsi="Times New Roman" w:eastAsia="宋体" w:cs="Times New Roman"/>
                <w:color w:val="auto"/>
                <w:sz w:val="21"/>
                <w:szCs w:val="21"/>
              </w:rPr>
              <w:t>20年</w:t>
            </w:r>
          </w:p>
        </w:tc>
        <w:tc>
          <w:tcPr>
            <w:tcW w:w="616" w:type="pct"/>
            <w:tcBorders>
              <w:tl2br w:val="nil"/>
              <w:tr2bl w:val="nil"/>
            </w:tcBorders>
            <w:vAlign w:val="center"/>
          </w:tcPr>
          <w:p w14:paraId="228F4198">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0.013218</w:t>
            </w:r>
          </w:p>
        </w:tc>
        <w:tc>
          <w:tcPr>
            <w:tcW w:w="1310" w:type="pct"/>
            <w:vMerge w:val="continue"/>
            <w:tcBorders>
              <w:tl2br w:val="nil"/>
              <w:tr2bl w:val="nil"/>
            </w:tcBorders>
            <w:vAlign w:val="center"/>
          </w:tcPr>
          <w:p w14:paraId="66D3C0A3">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ascii="Times New Roman" w:hAnsi="Times New Roman" w:eastAsia="宋体" w:cs="Times New Roman"/>
                <w:color w:val="auto"/>
                <w:kern w:val="0"/>
                <w:sz w:val="21"/>
                <w:szCs w:val="21"/>
                <w:lang w:bidi="ar"/>
              </w:rPr>
            </w:pPr>
          </w:p>
        </w:tc>
        <w:tc>
          <w:tcPr>
            <w:tcW w:w="559" w:type="pct"/>
            <w:tcBorders>
              <w:tl2br w:val="nil"/>
              <w:tr2bl w:val="nil"/>
            </w:tcBorders>
            <w:vAlign w:val="center"/>
          </w:tcPr>
          <w:p w14:paraId="102BF32B">
            <w:pPr>
              <w:keepNext w:val="0"/>
              <w:keepLines w:val="0"/>
              <w:pageBreakBefore w:val="0"/>
              <w:widowControl/>
              <w:kinsoku/>
              <w:wordWrap/>
              <w:overflowPunct/>
              <w:topLinePunct w:val="0"/>
              <w:autoSpaceDE/>
              <w:autoSpaceDN/>
              <w:bidi w:val="0"/>
              <w:adjustRightInd/>
              <w:snapToGrid/>
              <w:spacing w:line="320" w:lineRule="exact"/>
              <w:ind w:firstLine="0" w:firstLineChars="0"/>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bidi="ar"/>
              </w:rPr>
              <w:t>0.</w:t>
            </w:r>
            <w:r>
              <w:rPr>
                <w:rFonts w:hint="eastAsia" w:ascii="Times New Roman" w:hAnsi="Times New Roman" w:eastAsia="宋体" w:cs="Times New Roman"/>
                <w:color w:val="auto"/>
                <w:kern w:val="0"/>
                <w:sz w:val="21"/>
                <w:szCs w:val="21"/>
                <w:lang w:val="en-US" w:eastAsia="zh-CN" w:bidi="ar"/>
              </w:rPr>
              <w:t>348</w:t>
            </w:r>
          </w:p>
        </w:tc>
      </w:tr>
    </w:tbl>
    <w:p w14:paraId="0DFDCE27">
      <w:pPr>
        <w:ind w:firstLine="0" w:firstLineChars="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注：累积叠加值=预测值+现状值</w:t>
      </w:r>
    </w:p>
    <w:p w14:paraId="49DA199F">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ascii="Times New Roman" w:hAnsi="Times New Roman" w:eastAsia="宋体" w:cs="Times New Roman"/>
          <w:color w:val="auto"/>
        </w:rPr>
      </w:pPr>
      <w:r>
        <w:rPr>
          <w:rFonts w:ascii="Times New Roman" w:hAnsi="Times New Roman" w:eastAsia="宋体" w:cs="Times New Roman"/>
          <w:color w:val="auto"/>
        </w:rPr>
        <w:t>本项目排放废气中的汞含量很小，经20年沉降累积土壤中Hg增量甚微，不会造成周边土壤影响，土壤累积污染在可接受范围内。本项目烟气排放的Hg经大气沉降后进入土壤中的累积量叠加本底后，在20年内其评价范围内均满足《土壤环境质量 建设用地土壤污染风险管控标准（试行）》(GB36600-2018)表1中第二类用地筛选值。本项目采取相应的防渗措施，有效防止污染物通过入渗途径进入土壤环境造成污染，对于泄漏现象应及时发现并采取有效措施停止泄漏，对土壤环境几乎无影响。因此可认为本项目实施后Hg累</w:t>
      </w:r>
      <w:r>
        <w:rPr>
          <w:rFonts w:hint="eastAsia" w:ascii="Times New Roman" w:hAnsi="Times New Roman" w:eastAsia="宋体" w:cs="Times New Roman"/>
          <w:color w:val="auto"/>
        </w:rPr>
        <w:t>积</w:t>
      </w:r>
      <w:r>
        <w:rPr>
          <w:rFonts w:ascii="Times New Roman" w:hAnsi="Times New Roman" w:eastAsia="宋体" w:cs="Times New Roman"/>
          <w:color w:val="auto"/>
        </w:rPr>
        <w:t>性影响较小。</w:t>
      </w:r>
    </w:p>
    <w:p w14:paraId="07D6C25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6.2.8 环境风险影响评价</w:t>
      </w:r>
    </w:p>
    <w:p w14:paraId="07BB7294">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6.2.</w:t>
      </w:r>
      <w:r>
        <w:rPr>
          <w:rFonts w:hint="eastAsia" w:ascii="Times New Roman" w:hAnsi="Times New Roman" w:eastAsia="宋体" w:cs="Times New Roman"/>
          <w:b/>
          <w:bCs w:val="0"/>
          <w:color w:val="auto"/>
          <w:sz w:val="24"/>
          <w:szCs w:val="24"/>
          <w:lang w:val="en-US" w:eastAsia="zh-CN"/>
        </w:rPr>
        <w:t>8</w:t>
      </w:r>
      <w:r>
        <w:rPr>
          <w:rFonts w:hint="default" w:ascii="Times New Roman" w:hAnsi="Times New Roman" w:eastAsia="宋体" w:cs="Times New Roman"/>
          <w:b/>
          <w:bCs w:val="0"/>
          <w:color w:val="auto"/>
          <w:sz w:val="24"/>
          <w:szCs w:val="24"/>
          <w:lang w:val="en-US" w:eastAsia="zh-CN"/>
        </w:rPr>
        <w:t>.1 环境风险识别</w:t>
      </w:r>
    </w:p>
    <w:p w14:paraId="03F7E6A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（1）物质危险性识别</w:t>
      </w:r>
    </w:p>
    <w:p w14:paraId="67B81CF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根据《建设项目环境风险评价技术导则》（HJ169-2018）“附录B重点关注的危险物质及临界量”可知，本项目采用尿素配置尿素溶液进行脱硝，风险较小。项目涉及的危险物质为</w:t>
      </w:r>
      <w:r>
        <w:rPr>
          <w:rFonts w:hint="eastAsia" w:ascii="Times New Roman" w:hAnsi="Times New Roman" w:eastAsia="宋体" w:cs="Times New Roman"/>
          <w:color w:val="auto"/>
          <w:sz w:val="24"/>
          <w:szCs w:val="24"/>
          <w:highlight w:val="none"/>
          <w:lang w:val="en-US" w:eastAsia="zh-CN"/>
        </w:rPr>
        <w:t>点火用柴油和维修产生的废矿物油</w:t>
      </w:r>
      <w:r>
        <w:rPr>
          <w:rFonts w:hint="default" w:ascii="Times New Roman" w:hAnsi="Times New Roman" w:eastAsia="宋体" w:cs="Times New Roman"/>
          <w:color w:val="auto"/>
          <w:sz w:val="24"/>
          <w:szCs w:val="24"/>
          <w:highlight w:val="none"/>
          <w:lang w:val="en-US" w:eastAsia="zh-CN"/>
        </w:rPr>
        <w:t>。</w:t>
      </w:r>
    </w:p>
    <w:p w14:paraId="03F0021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（2）生产系统危险性识别</w:t>
      </w:r>
    </w:p>
    <w:p w14:paraId="0A17E10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lang w:val="en-US" w:eastAsia="zh-CN"/>
        </w:rPr>
        <w:t>全厂轻柴油点火最大使用量为1</w:t>
      </w:r>
      <w:r>
        <w:rPr>
          <w:rFonts w:hint="eastAsia" w:ascii="Times New Roman" w:hAnsi="Times New Roman" w:eastAsia="宋体" w:cs="Times New Roman"/>
          <w:color w:val="auto"/>
          <w:sz w:val="24"/>
          <w:szCs w:val="24"/>
          <w:highlight w:val="none"/>
          <w:lang w:val="en-US" w:eastAsia="zh-CN"/>
        </w:rPr>
        <w:t>t</w:t>
      </w:r>
      <w:r>
        <w:rPr>
          <w:rFonts w:hint="default" w:ascii="Times New Roman" w:hAnsi="Times New Roman" w:eastAsia="宋体" w:cs="Times New Roman"/>
          <w:color w:val="auto"/>
          <w:sz w:val="24"/>
          <w:szCs w:val="24"/>
          <w:highlight w:val="none"/>
          <w:lang w:val="en-US" w:eastAsia="zh-CN"/>
        </w:rPr>
        <w:t>/次</w:t>
      </w:r>
      <w:r>
        <w:rPr>
          <w:rFonts w:hint="eastAsia" w:ascii="Times New Roman" w:hAnsi="Times New Roman" w:eastAsia="宋体" w:cs="Times New Roman"/>
          <w:color w:val="auto"/>
          <w:sz w:val="24"/>
          <w:szCs w:val="24"/>
          <w:highlight w:val="none"/>
          <w:lang w:val="en-US" w:eastAsia="zh-CN"/>
        </w:rPr>
        <w:t>，废矿物油最大存储量0.2t</w:t>
      </w:r>
      <w:r>
        <w:rPr>
          <w:rFonts w:hint="default" w:ascii="Times New Roman" w:hAnsi="Times New Roman" w:eastAsia="宋体" w:cs="Times New Roman"/>
          <w:color w:val="auto"/>
          <w:sz w:val="24"/>
          <w:szCs w:val="24"/>
          <w:highlight w:val="none"/>
          <w:lang w:val="en-US" w:eastAsia="zh-CN"/>
        </w:rPr>
        <w:t>。本项目环境风险识别汇总情况见表</w:t>
      </w:r>
      <w:r>
        <w:rPr>
          <w:rFonts w:hint="eastAsia" w:ascii="Times New Roman" w:hAnsi="Times New Roman" w:eastAsia="宋体" w:cs="Times New Roman"/>
          <w:color w:val="auto"/>
          <w:sz w:val="24"/>
          <w:szCs w:val="24"/>
          <w:highlight w:val="none"/>
          <w:lang w:val="en-US" w:eastAsia="zh-CN"/>
        </w:rPr>
        <w:t>6.2-49</w:t>
      </w:r>
      <w:r>
        <w:rPr>
          <w:rFonts w:hint="default" w:ascii="Times New Roman" w:hAnsi="Times New Roman" w:eastAsia="宋体" w:cs="Times New Roman"/>
          <w:color w:val="auto"/>
          <w:sz w:val="24"/>
          <w:szCs w:val="24"/>
          <w:highlight w:val="none"/>
          <w:lang w:val="en-US" w:eastAsia="zh-CN"/>
        </w:rPr>
        <w:t>。</w:t>
      </w:r>
    </w:p>
    <w:p w14:paraId="0673B47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6.2-49</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本项目环境风险识别表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100"/>
        <w:gridCol w:w="1058"/>
        <w:gridCol w:w="1100"/>
        <w:gridCol w:w="1450"/>
        <w:gridCol w:w="1547"/>
        <w:gridCol w:w="1631"/>
      </w:tblGrid>
      <w:tr w14:paraId="41681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3" w:type="pct"/>
            <w:tcBorders>
              <w:tl2br w:val="nil"/>
              <w:tr2bl w:val="nil"/>
            </w:tcBorders>
            <w:noWrap w:val="0"/>
            <w:vAlign w:val="center"/>
          </w:tcPr>
          <w:p w14:paraId="1CEEE9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序号</w:t>
            </w:r>
          </w:p>
        </w:tc>
        <w:tc>
          <w:tcPr>
            <w:tcW w:w="645" w:type="pct"/>
            <w:tcBorders>
              <w:tl2br w:val="nil"/>
              <w:tr2bl w:val="nil"/>
            </w:tcBorders>
            <w:noWrap w:val="0"/>
            <w:vAlign w:val="center"/>
          </w:tcPr>
          <w:p w14:paraId="0280F4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危险单元</w:t>
            </w:r>
          </w:p>
        </w:tc>
        <w:tc>
          <w:tcPr>
            <w:tcW w:w="620" w:type="pct"/>
            <w:tcBorders>
              <w:tl2br w:val="nil"/>
              <w:tr2bl w:val="nil"/>
            </w:tcBorders>
            <w:noWrap w:val="0"/>
            <w:vAlign w:val="center"/>
          </w:tcPr>
          <w:p w14:paraId="1C8C08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风险源</w:t>
            </w:r>
          </w:p>
        </w:tc>
        <w:tc>
          <w:tcPr>
            <w:tcW w:w="645" w:type="pct"/>
            <w:tcBorders>
              <w:tl2br w:val="nil"/>
              <w:tr2bl w:val="nil"/>
            </w:tcBorders>
            <w:noWrap w:val="0"/>
            <w:vAlign w:val="center"/>
          </w:tcPr>
          <w:p w14:paraId="1F0A5E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主要危险物质</w:t>
            </w:r>
          </w:p>
        </w:tc>
        <w:tc>
          <w:tcPr>
            <w:tcW w:w="850" w:type="pct"/>
            <w:tcBorders>
              <w:tl2br w:val="nil"/>
              <w:tr2bl w:val="nil"/>
            </w:tcBorders>
            <w:noWrap w:val="0"/>
            <w:vAlign w:val="center"/>
          </w:tcPr>
          <w:p w14:paraId="183B7C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环境风险</w:t>
            </w:r>
          </w:p>
          <w:p w14:paraId="02C99D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类型</w:t>
            </w:r>
          </w:p>
        </w:tc>
        <w:tc>
          <w:tcPr>
            <w:tcW w:w="907" w:type="pct"/>
            <w:tcBorders>
              <w:tl2br w:val="nil"/>
              <w:tr2bl w:val="nil"/>
            </w:tcBorders>
            <w:noWrap w:val="0"/>
            <w:vAlign w:val="center"/>
          </w:tcPr>
          <w:p w14:paraId="6141A9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环境影响途径</w:t>
            </w:r>
          </w:p>
        </w:tc>
        <w:tc>
          <w:tcPr>
            <w:tcW w:w="956" w:type="pct"/>
            <w:tcBorders>
              <w:tl2br w:val="nil"/>
              <w:tr2bl w:val="nil"/>
            </w:tcBorders>
            <w:noWrap w:val="0"/>
            <w:vAlign w:val="center"/>
          </w:tcPr>
          <w:p w14:paraId="7431DA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可能受影响的环境敏感目标</w:t>
            </w:r>
          </w:p>
        </w:tc>
      </w:tr>
      <w:tr w14:paraId="12975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3" w:type="pct"/>
            <w:tcBorders>
              <w:tl2br w:val="nil"/>
              <w:tr2bl w:val="nil"/>
            </w:tcBorders>
            <w:noWrap w:val="0"/>
            <w:vAlign w:val="center"/>
          </w:tcPr>
          <w:p w14:paraId="1C78DE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645" w:type="pct"/>
            <w:tcBorders>
              <w:tl2br w:val="nil"/>
              <w:tr2bl w:val="nil"/>
            </w:tcBorders>
            <w:noWrap w:val="0"/>
            <w:vAlign w:val="center"/>
          </w:tcPr>
          <w:p w14:paraId="511BB7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危险废物贮存点</w:t>
            </w:r>
          </w:p>
        </w:tc>
        <w:tc>
          <w:tcPr>
            <w:tcW w:w="620" w:type="pct"/>
            <w:tcBorders>
              <w:tl2br w:val="nil"/>
              <w:tr2bl w:val="nil"/>
            </w:tcBorders>
            <w:noWrap w:val="0"/>
            <w:vAlign w:val="center"/>
          </w:tcPr>
          <w:p w14:paraId="33E60D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废矿物油存储区</w:t>
            </w:r>
          </w:p>
        </w:tc>
        <w:tc>
          <w:tcPr>
            <w:tcW w:w="645" w:type="pct"/>
            <w:tcBorders>
              <w:tl2br w:val="nil"/>
              <w:tr2bl w:val="nil"/>
            </w:tcBorders>
            <w:noWrap w:val="0"/>
            <w:vAlign w:val="center"/>
          </w:tcPr>
          <w:p w14:paraId="2C4EE2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废矿物油</w:t>
            </w:r>
          </w:p>
        </w:tc>
        <w:tc>
          <w:tcPr>
            <w:tcW w:w="850" w:type="pct"/>
            <w:tcBorders>
              <w:tl2br w:val="nil"/>
              <w:tr2bl w:val="nil"/>
            </w:tcBorders>
            <w:noWrap w:val="0"/>
            <w:vAlign w:val="center"/>
          </w:tcPr>
          <w:p w14:paraId="6FD5BA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火灾、爆炸</w:t>
            </w:r>
          </w:p>
        </w:tc>
        <w:tc>
          <w:tcPr>
            <w:tcW w:w="907" w:type="pct"/>
            <w:tcBorders>
              <w:tl2br w:val="nil"/>
              <w:tr2bl w:val="nil"/>
            </w:tcBorders>
            <w:noWrap w:val="0"/>
            <w:vAlign w:val="center"/>
          </w:tcPr>
          <w:p w14:paraId="5680C5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泄漏</w:t>
            </w:r>
          </w:p>
        </w:tc>
        <w:tc>
          <w:tcPr>
            <w:tcW w:w="956" w:type="pct"/>
            <w:tcBorders>
              <w:tl2br w:val="nil"/>
              <w:tr2bl w:val="nil"/>
            </w:tcBorders>
            <w:noWrap w:val="0"/>
            <w:vAlign w:val="center"/>
          </w:tcPr>
          <w:p w14:paraId="550CA0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周围敏感目标</w:t>
            </w:r>
          </w:p>
        </w:tc>
      </w:tr>
      <w:tr w14:paraId="530AD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3" w:type="pct"/>
            <w:tcBorders>
              <w:tl2br w:val="nil"/>
              <w:tr2bl w:val="nil"/>
            </w:tcBorders>
            <w:noWrap w:val="0"/>
            <w:vAlign w:val="center"/>
          </w:tcPr>
          <w:p w14:paraId="29ADCE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645" w:type="pct"/>
            <w:tcBorders>
              <w:tl2br w:val="nil"/>
              <w:tr2bl w:val="nil"/>
            </w:tcBorders>
            <w:noWrap w:val="0"/>
            <w:vAlign w:val="center"/>
          </w:tcPr>
          <w:p w14:paraId="7E6E4B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点火区</w:t>
            </w:r>
          </w:p>
        </w:tc>
        <w:tc>
          <w:tcPr>
            <w:tcW w:w="620" w:type="pct"/>
            <w:tcBorders>
              <w:tl2br w:val="nil"/>
              <w:tr2bl w:val="nil"/>
            </w:tcBorders>
            <w:noWrap w:val="0"/>
            <w:vAlign w:val="center"/>
          </w:tcPr>
          <w:p w14:paraId="488E8F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油罐车</w:t>
            </w:r>
          </w:p>
        </w:tc>
        <w:tc>
          <w:tcPr>
            <w:tcW w:w="645" w:type="pct"/>
            <w:tcBorders>
              <w:tl2br w:val="nil"/>
              <w:tr2bl w:val="nil"/>
            </w:tcBorders>
            <w:noWrap w:val="0"/>
            <w:vAlign w:val="center"/>
          </w:tcPr>
          <w:p w14:paraId="68E1FF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柴油</w:t>
            </w:r>
          </w:p>
        </w:tc>
        <w:tc>
          <w:tcPr>
            <w:tcW w:w="850" w:type="pct"/>
            <w:tcBorders>
              <w:tl2br w:val="nil"/>
              <w:tr2bl w:val="nil"/>
            </w:tcBorders>
            <w:noWrap w:val="0"/>
            <w:vAlign w:val="center"/>
          </w:tcPr>
          <w:p w14:paraId="09FC69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火灾、爆炸</w:t>
            </w:r>
          </w:p>
        </w:tc>
        <w:tc>
          <w:tcPr>
            <w:tcW w:w="907" w:type="pct"/>
            <w:tcBorders>
              <w:tl2br w:val="nil"/>
              <w:tr2bl w:val="nil"/>
            </w:tcBorders>
            <w:noWrap w:val="0"/>
            <w:vAlign w:val="center"/>
          </w:tcPr>
          <w:p w14:paraId="457CC0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泄漏</w:t>
            </w:r>
          </w:p>
        </w:tc>
        <w:tc>
          <w:tcPr>
            <w:tcW w:w="956" w:type="pct"/>
            <w:tcBorders>
              <w:tl2br w:val="nil"/>
              <w:tr2bl w:val="nil"/>
            </w:tcBorders>
            <w:noWrap w:val="0"/>
            <w:vAlign w:val="center"/>
          </w:tcPr>
          <w:p w14:paraId="335966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周围敏感目标</w:t>
            </w:r>
          </w:p>
        </w:tc>
      </w:tr>
    </w:tbl>
    <w:p w14:paraId="29C2141D">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6.2.</w:t>
      </w:r>
      <w:r>
        <w:rPr>
          <w:rFonts w:hint="eastAsia" w:ascii="Times New Roman" w:hAnsi="Times New Roman" w:eastAsia="宋体" w:cs="Times New Roman"/>
          <w:b/>
          <w:bCs w:val="0"/>
          <w:color w:val="auto"/>
          <w:sz w:val="24"/>
          <w:szCs w:val="24"/>
          <w:lang w:val="en-US" w:eastAsia="zh-CN"/>
        </w:rPr>
        <w:t>8</w:t>
      </w:r>
      <w:r>
        <w:rPr>
          <w:rFonts w:hint="default" w:ascii="Times New Roman" w:hAnsi="Times New Roman" w:eastAsia="宋体" w:cs="Times New Roman"/>
          <w:b/>
          <w:bCs w:val="0"/>
          <w:color w:val="auto"/>
          <w:sz w:val="24"/>
          <w:szCs w:val="24"/>
          <w:lang w:val="en-US" w:eastAsia="zh-CN"/>
        </w:rPr>
        <w:t>.2 风险事故情形影响分析</w:t>
      </w:r>
    </w:p>
    <w:p w14:paraId="25A9837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柴油和废矿物油</w:t>
      </w:r>
      <w:r>
        <w:rPr>
          <w:rFonts w:hint="default" w:ascii="Times New Roman" w:hAnsi="Times New Roman" w:eastAsia="宋体" w:cs="Times New Roman"/>
          <w:color w:val="auto"/>
          <w:sz w:val="24"/>
          <w:szCs w:val="24"/>
          <w:highlight w:val="none"/>
          <w:lang w:val="en-US" w:eastAsia="zh-CN"/>
        </w:rPr>
        <w:t>的主要危险特性有易燃性、易爆性、挥发性等，火灾事故中由于不完全燃烧，可能产生一氧化碳、二氧化硫，大量的一氧化碳与二氧化碳扩散到大气中，会严重影响大气环境的质量。本项目锅炉启炉点火采用炉下油点火系统，本期工程厂区内不设储油罐，由燃油公司的油罐车将柴油直接运至厂内，柴油经燃油泵升压点火即可满足要求</w:t>
      </w:r>
      <w:r>
        <w:rPr>
          <w:rFonts w:hint="eastAsia" w:ascii="Times New Roman" w:hAnsi="Times New Roman" w:eastAsia="宋体" w:cs="Times New Roman"/>
          <w:color w:val="auto"/>
          <w:sz w:val="24"/>
          <w:szCs w:val="24"/>
          <w:highlight w:val="none"/>
          <w:lang w:val="en-US" w:eastAsia="zh-CN"/>
        </w:rPr>
        <w:t>。废矿物油存储于危险废物贮存点，泄漏事故对环境空气影响较小。</w:t>
      </w:r>
      <w:r>
        <w:rPr>
          <w:rFonts w:hint="default" w:ascii="Times New Roman" w:hAnsi="Times New Roman" w:eastAsia="宋体" w:cs="Times New Roman"/>
          <w:color w:val="auto"/>
          <w:sz w:val="24"/>
          <w:szCs w:val="24"/>
          <w:highlight w:val="none"/>
          <w:lang w:val="en-US" w:eastAsia="zh-CN"/>
        </w:rPr>
        <w:t>若泄露发生爆炸和火灾时采用干式灭火器进行灭火，不会发生油类物质进入地表水环境造成河流污染。</w:t>
      </w:r>
    </w:p>
    <w:p w14:paraId="50FD1D6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6.2</w:t>
      </w:r>
      <w:r>
        <w:rPr>
          <w:rFonts w:hint="default" w:ascii="Times New Roman" w:hAnsi="Times New Roman" w:eastAsia="宋体" w:cs="Times New Roman"/>
          <w:b/>
          <w:bCs/>
          <w:color w:val="auto"/>
          <w:sz w:val="24"/>
          <w:szCs w:val="24"/>
          <w:lang w:val="en-US" w:eastAsia="zh-CN"/>
        </w:rPr>
        <w:t>-</w:t>
      </w:r>
      <w:r>
        <w:rPr>
          <w:rFonts w:hint="eastAsia" w:ascii="Times New Roman" w:hAnsi="Times New Roman" w:eastAsia="宋体" w:cs="Times New Roman"/>
          <w:b/>
          <w:bCs/>
          <w:color w:val="auto"/>
          <w:sz w:val="24"/>
          <w:szCs w:val="24"/>
          <w:lang w:val="en-US" w:eastAsia="zh-CN"/>
        </w:rPr>
        <w:t>50</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val="en-US" w:eastAsia="zh-CN"/>
        </w:rPr>
        <w:t>建设项目环境风险简单分析内容表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4"/>
        <w:gridCol w:w="1147"/>
        <w:gridCol w:w="1571"/>
        <w:gridCol w:w="1054"/>
        <w:gridCol w:w="3303"/>
      </w:tblGrid>
      <w:tr w14:paraId="3CB2E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7" w:type="pct"/>
            <w:tcBorders>
              <w:tl2br w:val="nil"/>
              <w:tr2bl w:val="nil"/>
            </w:tcBorders>
            <w:noWrap w:val="0"/>
            <w:vAlign w:val="center"/>
          </w:tcPr>
          <w:p w14:paraId="156E19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建设项目名称</w:t>
            </w:r>
          </w:p>
        </w:tc>
        <w:tc>
          <w:tcPr>
            <w:tcW w:w="4152" w:type="pct"/>
            <w:gridSpan w:val="4"/>
            <w:tcBorders>
              <w:tl2br w:val="nil"/>
              <w:tr2bl w:val="nil"/>
            </w:tcBorders>
            <w:noWrap w:val="0"/>
            <w:vAlign w:val="center"/>
          </w:tcPr>
          <w:p w14:paraId="2B03EE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北大荒集团八五二农场两供两治一业供热改造项目</w:t>
            </w:r>
          </w:p>
        </w:tc>
      </w:tr>
      <w:tr w14:paraId="3D9B7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7" w:type="pct"/>
            <w:tcBorders>
              <w:tl2br w:val="nil"/>
              <w:tr2bl w:val="nil"/>
            </w:tcBorders>
            <w:noWrap w:val="0"/>
            <w:vAlign w:val="center"/>
          </w:tcPr>
          <w:p w14:paraId="71DCB3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建设地点</w:t>
            </w:r>
          </w:p>
        </w:tc>
        <w:tc>
          <w:tcPr>
            <w:tcW w:w="673" w:type="pct"/>
            <w:tcBorders>
              <w:tl2br w:val="nil"/>
              <w:tr2bl w:val="nil"/>
            </w:tcBorders>
            <w:noWrap w:val="0"/>
            <w:vAlign w:val="center"/>
          </w:tcPr>
          <w:p w14:paraId="09ACD2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黑龙江省</w:t>
            </w:r>
          </w:p>
        </w:tc>
        <w:tc>
          <w:tcPr>
            <w:tcW w:w="922" w:type="pct"/>
            <w:tcBorders>
              <w:tl2br w:val="nil"/>
              <w:tr2bl w:val="nil"/>
            </w:tcBorders>
            <w:noWrap w:val="0"/>
            <w:vAlign w:val="center"/>
          </w:tcPr>
          <w:p w14:paraId="2F5E50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双鸭山市</w:t>
            </w:r>
          </w:p>
        </w:tc>
        <w:tc>
          <w:tcPr>
            <w:tcW w:w="618" w:type="pct"/>
            <w:tcBorders>
              <w:tl2br w:val="nil"/>
              <w:tr2bl w:val="nil"/>
            </w:tcBorders>
            <w:noWrap w:val="0"/>
            <w:vAlign w:val="center"/>
          </w:tcPr>
          <w:p w14:paraId="40615B1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宝清县</w:t>
            </w:r>
          </w:p>
        </w:tc>
        <w:tc>
          <w:tcPr>
            <w:tcW w:w="1938" w:type="pct"/>
            <w:tcBorders>
              <w:tl2br w:val="nil"/>
              <w:tr2bl w:val="nil"/>
            </w:tcBorders>
            <w:noWrap w:val="0"/>
            <w:vAlign w:val="center"/>
          </w:tcPr>
          <w:p w14:paraId="2F951A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zh-CN" w:eastAsia="zh-CN"/>
              </w:rPr>
              <w:t>红兴隆管理局八五二农场场部</w:t>
            </w:r>
          </w:p>
        </w:tc>
      </w:tr>
      <w:tr w14:paraId="74068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7" w:type="pct"/>
            <w:tcBorders>
              <w:tl2br w:val="nil"/>
              <w:tr2bl w:val="nil"/>
            </w:tcBorders>
            <w:noWrap w:val="0"/>
            <w:vAlign w:val="center"/>
          </w:tcPr>
          <w:p w14:paraId="7FEE78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地理坐标</w:t>
            </w:r>
          </w:p>
        </w:tc>
        <w:tc>
          <w:tcPr>
            <w:tcW w:w="673" w:type="pct"/>
            <w:tcBorders>
              <w:tl2br w:val="nil"/>
              <w:tr2bl w:val="nil"/>
            </w:tcBorders>
            <w:noWrap w:val="0"/>
            <w:vAlign w:val="center"/>
          </w:tcPr>
          <w:p w14:paraId="5760D4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经度</w:t>
            </w:r>
          </w:p>
        </w:tc>
        <w:tc>
          <w:tcPr>
            <w:tcW w:w="922" w:type="pct"/>
            <w:tcBorders>
              <w:tl2br w:val="nil"/>
              <w:tr2bl w:val="nil"/>
            </w:tcBorders>
            <w:noWrap w:val="0"/>
            <w:vAlign w:val="center"/>
          </w:tcPr>
          <w:p w14:paraId="20A5C2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132.766857°</w:t>
            </w:r>
          </w:p>
        </w:tc>
        <w:tc>
          <w:tcPr>
            <w:tcW w:w="618" w:type="pct"/>
            <w:tcBorders>
              <w:tl2br w:val="nil"/>
              <w:tr2bl w:val="nil"/>
            </w:tcBorders>
            <w:noWrap w:val="0"/>
            <w:vAlign w:val="center"/>
          </w:tcPr>
          <w:p w14:paraId="6AD8BA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纬度</w:t>
            </w:r>
          </w:p>
        </w:tc>
        <w:tc>
          <w:tcPr>
            <w:tcW w:w="1938" w:type="pct"/>
            <w:tcBorders>
              <w:tl2br w:val="nil"/>
              <w:tr2bl w:val="nil"/>
            </w:tcBorders>
            <w:noWrap w:val="0"/>
            <w:vAlign w:val="center"/>
          </w:tcPr>
          <w:p w14:paraId="6E5F52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46.207558</w:t>
            </w:r>
            <w:r>
              <w:rPr>
                <w:rFonts w:hint="eastAsia" w:ascii="Times New Roman" w:hAnsi="Times New Roman" w:cs="Times New Roman"/>
                <w:color w:val="auto"/>
                <w:sz w:val="21"/>
                <w:szCs w:val="21"/>
                <w:highlight w:val="none"/>
                <w:lang w:val="en-US" w:eastAsia="zh-CN"/>
              </w:rPr>
              <w:t>°</w:t>
            </w:r>
          </w:p>
        </w:tc>
      </w:tr>
      <w:tr w14:paraId="72863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7" w:type="pct"/>
            <w:tcBorders>
              <w:tl2br w:val="nil"/>
              <w:tr2bl w:val="nil"/>
            </w:tcBorders>
            <w:noWrap w:val="0"/>
            <w:vAlign w:val="center"/>
          </w:tcPr>
          <w:p w14:paraId="3817499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主要危险物质及分布</w:t>
            </w:r>
          </w:p>
        </w:tc>
        <w:tc>
          <w:tcPr>
            <w:tcW w:w="4152" w:type="pct"/>
            <w:gridSpan w:val="4"/>
            <w:tcBorders>
              <w:tl2br w:val="nil"/>
              <w:tr2bl w:val="nil"/>
            </w:tcBorders>
            <w:noWrap w:val="0"/>
            <w:vAlign w:val="center"/>
          </w:tcPr>
          <w:p w14:paraId="43C501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危废贮存点中的废矿物油，厂内不储存柴油，点火过程随用随运，采用油罐车拉运</w:t>
            </w:r>
          </w:p>
        </w:tc>
      </w:tr>
      <w:tr w14:paraId="65518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7" w:type="pct"/>
            <w:tcBorders>
              <w:tl2br w:val="nil"/>
              <w:tr2bl w:val="nil"/>
            </w:tcBorders>
            <w:noWrap w:val="0"/>
            <w:vAlign w:val="center"/>
          </w:tcPr>
          <w:p w14:paraId="454EA4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环境影响途径及危害后果</w:t>
            </w:r>
          </w:p>
        </w:tc>
        <w:tc>
          <w:tcPr>
            <w:tcW w:w="4152" w:type="pct"/>
            <w:gridSpan w:val="4"/>
            <w:tcBorders>
              <w:tl2br w:val="nil"/>
              <w:tr2bl w:val="nil"/>
            </w:tcBorders>
            <w:noWrap w:val="0"/>
            <w:vAlign w:val="center"/>
          </w:tcPr>
          <w:p w14:paraId="0FC346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柴油和废矿物油</w:t>
            </w:r>
            <w:r>
              <w:rPr>
                <w:rFonts w:hint="default" w:ascii="Times New Roman" w:hAnsi="Times New Roman" w:cs="Times New Roman"/>
                <w:color w:val="auto"/>
                <w:sz w:val="21"/>
                <w:szCs w:val="21"/>
                <w:highlight w:val="none"/>
                <w:lang w:val="en-US" w:eastAsia="zh-CN"/>
              </w:rPr>
              <w:t>发生火灾或爆炸引起的伴生污染物排放，不会对外环境中的人群健康造成不利影响，随着空气流动，污染物对环境空气造成的不利影响亦会及时消除。</w:t>
            </w:r>
          </w:p>
        </w:tc>
      </w:tr>
      <w:tr w14:paraId="5114D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7" w:type="pct"/>
            <w:tcBorders>
              <w:tl2br w:val="nil"/>
              <w:tr2bl w:val="nil"/>
            </w:tcBorders>
            <w:noWrap w:val="0"/>
            <w:vAlign w:val="center"/>
          </w:tcPr>
          <w:p w14:paraId="66601C0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风险防范措施要求</w:t>
            </w:r>
          </w:p>
        </w:tc>
        <w:tc>
          <w:tcPr>
            <w:tcW w:w="4152" w:type="pct"/>
            <w:gridSpan w:val="4"/>
            <w:tcBorders>
              <w:tl2br w:val="nil"/>
              <w:tr2bl w:val="nil"/>
            </w:tcBorders>
            <w:noWrap w:val="0"/>
            <w:vAlign w:val="center"/>
          </w:tcPr>
          <w:p w14:paraId="7FA15B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left"/>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柴油厂内不储存，使用时由油罐车拉运，</w:t>
            </w:r>
            <w:r>
              <w:rPr>
                <w:rFonts w:hint="default" w:ascii="Times New Roman" w:hAnsi="Times New Roman" w:cs="Times New Roman"/>
                <w:color w:val="auto"/>
                <w:sz w:val="21"/>
                <w:szCs w:val="21"/>
                <w:highlight w:val="none"/>
                <w:lang w:val="en-US" w:eastAsia="zh-CN"/>
              </w:rPr>
              <w:t>废矿物油存储于危险废物贮存</w:t>
            </w:r>
            <w:r>
              <w:rPr>
                <w:rFonts w:hint="eastAsia" w:ascii="Times New Roman" w:hAnsi="Times New Roman" w:cs="Times New Roman"/>
                <w:color w:val="auto"/>
                <w:sz w:val="21"/>
                <w:szCs w:val="21"/>
                <w:highlight w:val="none"/>
                <w:lang w:val="en-US" w:eastAsia="zh-CN"/>
              </w:rPr>
              <w:t>点</w:t>
            </w:r>
            <w:r>
              <w:rPr>
                <w:rFonts w:hint="default" w:ascii="Times New Roman" w:hAnsi="Times New Roman" w:cs="Times New Roman"/>
                <w:color w:val="auto"/>
                <w:sz w:val="21"/>
                <w:szCs w:val="21"/>
                <w:highlight w:val="none"/>
                <w:lang w:val="en-US" w:eastAsia="zh-CN"/>
              </w:rPr>
              <w:t>，泄漏事故对环境空气影响较小。若泄露发生爆炸和火灾时采用干式灭火器进行灭火，不会发生油类物质进入地表水环境造成河流污染。</w:t>
            </w:r>
          </w:p>
        </w:tc>
      </w:tr>
      <w:tr w14:paraId="3C8DE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5"/>
            <w:tcBorders>
              <w:tl2br w:val="nil"/>
              <w:tr2bl w:val="nil"/>
            </w:tcBorders>
            <w:noWrap w:val="0"/>
            <w:vAlign w:val="center"/>
          </w:tcPr>
          <w:p w14:paraId="4B3D58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420" w:firstLineChars="20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根据建设项目涉及的物质和工艺系统的危险性及其所在地的环境敏感程度，结合事故情形下环境影响途径，对建设项目潜在环境危害程度进行概化分析，根据建设项目涉及的物质和工艺系统的危险性及其所在地的环境敏感程度，结合事故情形下环境影响途径，确定本项目风险潜势为Ⅰ，按照环境风险评价工作等级划分表判定本项目评价等级为简单分析。因此在评价过程中，对危险物质、环境影响途径、环境危害后果、风险防范措施等方面给出定性的说明，并完成本表。</w:t>
            </w:r>
          </w:p>
        </w:tc>
      </w:tr>
    </w:tbl>
    <w:p w14:paraId="69EDCA1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 xml:space="preserve">6.2.9 </w:t>
      </w:r>
      <w:r>
        <w:rPr>
          <w:rFonts w:hint="eastAsia" w:ascii="Times New Roman" w:hAnsi="Times New Roman" w:eastAsia="宋体" w:cs="Times New Roman"/>
          <w:b/>
          <w:bCs/>
          <w:color w:val="auto"/>
          <w:sz w:val="28"/>
          <w:szCs w:val="28"/>
          <w:lang w:val="en-US" w:eastAsia="zh-CN"/>
        </w:rPr>
        <w:t>碳排放影响评价</w:t>
      </w:r>
    </w:p>
    <w:p w14:paraId="382E327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碳排放核算是有效开展各项碳减排工作、促进经济绿色转型的基本前提，是积极参与应对气候变化国际谈判的重要支撑。碳核算可以直接量化碳排放的数据，还可以通过分析各环节碳排放的数据，找出潜在的减排环节和方式，对碳中和目标的实现、碳交易市场的运行至关重要。根据《省级温室气体清单编制指南（试行）》和《工业其他行业企业温室气体排放核算方法与报告指南（试行）》，结合本建设项目工程特点，本项目温室气体主要为二氧化碳（C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w:t>
      </w:r>
    </w:p>
    <w:p w14:paraId="6CBA4DD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6.2.9.1 核算边界</w:t>
      </w:r>
    </w:p>
    <w:p w14:paraId="2FB8A9E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w:t>
      </w:r>
      <w:r>
        <w:rPr>
          <w:rFonts w:hint="eastAsia" w:ascii="Times New Roman" w:hAnsi="Times New Roman" w:eastAsia="宋体" w:cs="Times New Roman"/>
          <w:color w:val="auto"/>
          <w:sz w:val="24"/>
          <w:szCs w:val="24"/>
          <w:highlight w:val="none"/>
          <w:lang w:val="en-US" w:eastAsia="zh-CN"/>
        </w:rPr>
        <w:t>工业其他行业企业温室气体排放核算方法与报告指南</w:t>
      </w:r>
      <w:r>
        <w:rPr>
          <w:rFonts w:hint="default" w:ascii="Times New Roman" w:hAnsi="Times New Roman" w:eastAsia="宋体" w:cs="Times New Roman"/>
          <w:color w:val="auto"/>
          <w:sz w:val="24"/>
          <w:szCs w:val="24"/>
          <w:highlight w:val="none"/>
          <w:lang w:val="en-US" w:eastAsia="zh-CN"/>
        </w:rPr>
        <w:t>》，本项目核算边界</w:t>
      </w:r>
      <w:r>
        <w:rPr>
          <w:rFonts w:hint="eastAsia" w:ascii="Times New Roman" w:hAnsi="Times New Roman" w:eastAsia="宋体" w:cs="Times New Roman"/>
          <w:color w:val="auto"/>
          <w:sz w:val="24"/>
          <w:szCs w:val="24"/>
          <w:highlight w:val="none"/>
          <w:lang w:val="en-US" w:eastAsia="zh-CN"/>
        </w:rPr>
        <w:t>以法人企业或视同法人的独立核算单位为企业边界，核算和报告处于其运营控制权之下的所有生产场所和生产设施产生的温室气体排放，设施范围包括直接生产系统工艺装置、辅助生产系统和附属生产系统，其中辅助生产系统包括厂区内的动力、供电、供水、采暖、制冷、机修、化验、仪表、仓库（原料场）、运输等，附属生产系统包括生产指挥管理系统（厂部）以及厂区内为生产服务的部门和单位（如职工食堂、车间浴室、保健站等）</w:t>
      </w:r>
      <w:r>
        <w:rPr>
          <w:rFonts w:hint="default" w:ascii="Times New Roman" w:hAnsi="Times New Roman" w:eastAsia="宋体" w:cs="Times New Roman"/>
          <w:color w:val="auto"/>
          <w:sz w:val="24"/>
          <w:szCs w:val="24"/>
          <w:highlight w:val="none"/>
          <w:lang w:val="en-US" w:eastAsia="zh-CN"/>
        </w:rPr>
        <w:t>。</w:t>
      </w:r>
    </w:p>
    <w:p w14:paraId="0F1CBA8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6.2.9.2 排放源和气体种类识别</w:t>
      </w:r>
    </w:p>
    <w:p w14:paraId="61CD160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根据《工业其他行业企业温室气体排放核算方法与报告指南》，本项目主要涉及的排放种类为“1）化石燃料燃烧CO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的排放”。本项目不外购热力，项目主要为设备维护更换，不新增用电量。</w:t>
      </w:r>
    </w:p>
    <w:p w14:paraId="1AB3D26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p>
    <w:p w14:paraId="7D171304">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6.2.9.3 温室气体排放量核算</w:t>
      </w:r>
    </w:p>
    <w:p w14:paraId="5173727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本项目碳排放源为核算边界所有生产设施和系统产生的温室气体排放量，具体核算方法如下：</w:t>
      </w:r>
    </w:p>
    <w:p w14:paraId="3F2B6FC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化石燃料燃烧CO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排放</w:t>
      </w:r>
    </w:p>
    <w:p w14:paraId="70F5F8CF">
      <w:pPr>
        <w:keepNext w:val="0"/>
        <w:keepLines w:val="0"/>
        <w:pageBreakBefore w:val="0"/>
        <w:widowControl w:val="0"/>
        <w:kinsoku/>
        <w:wordWrap/>
        <w:overflowPunct/>
        <w:topLinePunct w:val="0"/>
        <w:autoSpaceDE/>
        <w:autoSpaceDN/>
        <w:bidi w:val="0"/>
        <w:adjustRightInd/>
        <w:snapToGrid/>
        <w:spacing w:line="240" w:lineRule="auto"/>
        <w:ind w:firstLine="0" w:firstLineChars="0"/>
        <w:contextualSpacing/>
        <w:jc w:val="center"/>
        <w:textAlignment w:val="auto"/>
        <w:rPr>
          <w:rFonts w:hint="eastAsia" w:ascii="Times New Roman" w:hAnsi="Times New Roman" w:eastAsia="宋体" w:cs="Times New Roman"/>
          <w:color w:val="auto"/>
          <w:sz w:val="24"/>
          <w:szCs w:val="24"/>
          <w:highlight w:val="none"/>
        </w:rPr>
      </w:pPr>
      <w:r>
        <w:rPr>
          <w:color w:val="auto"/>
        </w:rPr>
        <w:drawing>
          <wp:inline distT="0" distB="0" distL="114300" distR="114300">
            <wp:extent cx="2486025" cy="409575"/>
            <wp:effectExtent l="0" t="0" r="9525" b="8890"/>
            <wp:docPr id="6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4"/>
                    <pic:cNvPicPr>
                      <a:picLocks noChangeAspect="1"/>
                    </pic:cNvPicPr>
                  </pic:nvPicPr>
                  <pic:blipFill>
                    <a:blip r:embed="rId115"/>
                    <a:stretch>
                      <a:fillRect/>
                    </a:stretch>
                  </pic:blipFill>
                  <pic:spPr>
                    <a:xfrm>
                      <a:off x="0" y="0"/>
                      <a:ext cx="2486025" cy="409575"/>
                    </a:xfrm>
                    <a:prstGeom prst="rect">
                      <a:avLst/>
                    </a:prstGeom>
                    <a:noFill/>
                    <a:ln>
                      <a:noFill/>
                    </a:ln>
                  </pic:spPr>
                </pic:pic>
              </a:graphicData>
            </a:graphic>
          </wp:inline>
        </w:drawing>
      </w:r>
    </w:p>
    <w:p w14:paraId="1627173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E</w:t>
      </w:r>
      <w:r>
        <w:rPr>
          <w:rFonts w:hint="eastAsia" w:ascii="Times New Roman" w:hAnsi="Times New Roman" w:eastAsia="宋体" w:cs="Times New Roman"/>
          <w:color w:val="auto"/>
          <w:sz w:val="24"/>
          <w:szCs w:val="24"/>
          <w:highlight w:val="none"/>
          <w:vertAlign w:val="subscript"/>
          <w:lang w:val="en-US" w:eastAsia="zh-CN"/>
        </w:rPr>
        <w:t>CO2燃烧</w:t>
      </w:r>
      <w:r>
        <w:rPr>
          <w:rFonts w:hint="eastAsia" w:ascii="Times New Roman" w:hAnsi="Times New Roman" w:eastAsia="宋体" w:cs="Times New Roman"/>
          <w:color w:val="auto"/>
          <w:sz w:val="24"/>
          <w:szCs w:val="24"/>
          <w:highlight w:val="none"/>
          <w:lang w:val="en-US" w:eastAsia="zh-CN"/>
        </w:rPr>
        <w:t>---------为化石燃料燃烧CO2的排放量，单位为吨；</w:t>
      </w:r>
    </w:p>
    <w:p w14:paraId="6AF8F580">
      <w:pPr>
        <w:pStyle w:val="165"/>
        <w:keepNext w:val="0"/>
        <w:keepLines w:val="0"/>
        <w:pageBreakBefore w:val="0"/>
        <w:widowControl w:val="0"/>
        <w:kinsoku/>
        <w:wordWrap/>
        <w:overflowPunct/>
        <w:topLinePunct w:val="0"/>
        <w:autoSpaceDE/>
        <w:autoSpaceDN/>
        <w:bidi w:val="0"/>
        <w:adjustRightInd w:val="0"/>
        <w:snapToGrid w:val="0"/>
        <w:spacing w:line="500" w:lineRule="exact"/>
        <w:ind w:firstLine="960" w:firstLineChars="4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i ---------为化石燃料的种类；</w:t>
      </w:r>
    </w:p>
    <w:p w14:paraId="66E6BA93">
      <w:pPr>
        <w:pStyle w:val="165"/>
        <w:keepNext w:val="0"/>
        <w:keepLines w:val="0"/>
        <w:pageBreakBefore w:val="0"/>
        <w:widowControl w:val="0"/>
        <w:kinsoku/>
        <w:wordWrap/>
        <w:overflowPunct/>
        <w:topLinePunct w:val="0"/>
        <w:autoSpaceDE/>
        <w:autoSpaceDN/>
        <w:bidi w:val="0"/>
        <w:adjustRightInd w:val="0"/>
        <w:snapToGrid w:val="0"/>
        <w:spacing w:line="500" w:lineRule="exact"/>
        <w:ind w:firstLine="720" w:firstLineChars="3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AD</w:t>
      </w:r>
      <w:r>
        <w:rPr>
          <w:rFonts w:hint="eastAsia" w:ascii="Times New Roman" w:hAnsi="Times New Roman" w:eastAsia="宋体" w:cs="Times New Roman"/>
          <w:color w:val="auto"/>
          <w:sz w:val="24"/>
          <w:szCs w:val="24"/>
          <w:highlight w:val="none"/>
          <w:vertAlign w:val="subscript"/>
          <w:lang w:val="en-US" w:eastAsia="zh-CN"/>
        </w:rPr>
        <w:t>i</w:t>
      </w:r>
      <w:r>
        <w:rPr>
          <w:rFonts w:hint="eastAsia" w:ascii="Times New Roman" w:hAnsi="Times New Roman" w:eastAsia="宋体" w:cs="Times New Roman"/>
          <w:color w:val="auto"/>
          <w:sz w:val="24"/>
          <w:szCs w:val="24"/>
          <w:highlight w:val="none"/>
          <w:lang w:val="en-US" w:eastAsia="zh-CN"/>
        </w:rPr>
        <w:t>---------为化石燃料品种i明确用作燃料燃烧的消费量，对固体或液体燃料以吨为单位，对气体燃料以Nm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为单位；</w:t>
      </w:r>
    </w:p>
    <w:p w14:paraId="7B8CB121">
      <w:pPr>
        <w:pStyle w:val="165"/>
        <w:keepNext w:val="0"/>
        <w:keepLines w:val="0"/>
        <w:pageBreakBefore w:val="0"/>
        <w:widowControl w:val="0"/>
        <w:kinsoku/>
        <w:wordWrap/>
        <w:overflowPunct/>
        <w:topLinePunct w:val="0"/>
        <w:autoSpaceDE/>
        <w:autoSpaceDN/>
        <w:bidi w:val="0"/>
        <w:adjustRightInd w:val="0"/>
        <w:snapToGrid w:val="0"/>
        <w:spacing w:line="500" w:lineRule="exact"/>
        <w:ind w:firstLine="720" w:firstLineChars="3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CC</w:t>
      </w:r>
      <w:r>
        <w:rPr>
          <w:rFonts w:hint="eastAsia" w:ascii="Times New Roman" w:hAnsi="Times New Roman" w:eastAsia="宋体" w:cs="Times New Roman"/>
          <w:color w:val="auto"/>
          <w:sz w:val="24"/>
          <w:szCs w:val="24"/>
          <w:highlight w:val="none"/>
          <w:vertAlign w:val="subscript"/>
          <w:lang w:val="en-US" w:eastAsia="zh-CN"/>
        </w:rPr>
        <w:t>i</w:t>
      </w:r>
      <w:r>
        <w:rPr>
          <w:rFonts w:hint="eastAsia" w:ascii="Times New Roman" w:hAnsi="Times New Roman" w:eastAsia="宋体" w:cs="Times New Roman"/>
          <w:color w:val="auto"/>
          <w:sz w:val="24"/>
          <w:szCs w:val="24"/>
          <w:highlight w:val="none"/>
          <w:lang w:val="en-US" w:eastAsia="zh-CN"/>
        </w:rPr>
        <w:t>---------为化石燃料i的含碳量，对固体或液体燃料以吨碳/吨燃料为单位，对气体燃料以吨碳/万Nm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为单位；</w:t>
      </w:r>
    </w:p>
    <w:p w14:paraId="220B9D5E">
      <w:pPr>
        <w:pStyle w:val="165"/>
        <w:keepNext w:val="0"/>
        <w:keepLines w:val="0"/>
        <w:pageBreakBefore w:val="0"/>
        <w:widowControl w:val="0"/>
        <w:kinsoku/>
        <w:wordWrap/>
        <w:overflowPunct/>
        <w:topLinePunct w:val="0"/>
        <w:autoSpaceDE/>
        <w:autoSpaceDN/>
        <w:bidi w:val="0"/>
        <w:adjustRightInd w:val="0"/>
        <w:snapToGrid w:val="0"/>
        <w:spacing w:line="500" w:lineRule="exact"/>
        <w:ind w:firstLine="720" w:firstLineChars="3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OF</w:t>
      </w:r>
      <w:r>
        <w:rPr>
          <w:rFonts w:hint="eastAsia" w:ascii="Times New Roman" w:hAnsi="Times New Roman" w:eastAsia="宋体" w:cs="Times New Roman"/>
          <w:color w:val="auto"/>
          <w:sz w:val="24"/>
          <w:szCs w:val="24"/>
          <w:highlight w:val="none"/>
          <w:vertAlign w:val="subscript"/>
          <w:lang w:val="en-US" w:eastAsia="zh-CN"/>
        </w:rPr>
        <w:t>i</w:t>
      </w:r>
      <w:r>
        <w:rPr>
          <w:rFonts w:hint="eastAsia" w:ascii="Times New Roman" w:hAnsi="Times New Roman" w:eastAsia="宋体" w:cs="Times New Roman"/>
          <w:color w:val="auto"/>
          <w:sz w:val="24"/>
          <w:szCs w:val="24"/>
          <w:highlight w:val="none"/>
          <w:lang w:val="en-US" w:eastAsia="zh-CN"/>
        </w:rPr>
        <w:t>---------为化石燃料i的碳氧化率，取值参照附录二表2.1</w:t>
      </w:r>
    </w:p>
    <w:p w14:paraId="311A09F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经计算，现有化石燃料燃烧CO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的排放量91550.28t，本项目化石燃料燃烧CO2的排放量90858.89t。</w:t>
      </w:r>
    </w:p>
    <w:p w14:paraId="722EE07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本项目运营后，年能源消费节省合计CO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排放量为91550.28-90858.89=691.39t。项目降低碳排放量主要措施为减少煤炭能源的消费，本项目通过对热源厂内设备更新重建后，减少了煤炭的消费，实现了CO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排放量的降低。在运营过程中，还应严格执行节能报告的节能措施及《建筑节能与可再生能源利用通用规范》有关再生能源的利用。</w:t>
      </w:r>
    </w:p>
    <w:p w14:paraId="048E0E54">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default" w:ascii="Times New Roman" w:hAnsi="Times New Roman" w:eastAsia="宋体" w:cs="Times New Roman"/>
          <w:b/>
          <w:bCs/>
          <w:color w:val="auto"/>
          <w:kern w:val="2"/>
          <w:sz w:val="32"/>
          <w:szCs w:val="32"/>
        </w:rPr>
      </w:pPr>
      <w:bookmarkStart w:id="448" w:name="_Toc23287"/>
      <w:bookmarkStart w:id="449" w:name="_Toc871"/>
      <w:r>
        <w:rPr>
          <w:rStyle w:val="164"/>
          <w:rFonts w:hint="default" w:ascii="Times New Roman" w:hAnsi="Times New Roman" w:eastAsia="宋体" w:cs="Times New Roman"/>
          <w:b/>
          <w:bCs/>
          <w:color w:val="auto"/>
          <w:kern w:val="2"/>
          <w:sz w:val="32"/>
          <w:szCs w:val="32"/>
        </w:rPr>
        <w:t>7</w:t>
      </w:r>
      <w:r>
        <w:rPr>
          <w:rStyle w:val="164"/>
          <w:rFonts w:hint="eastAsia" w:ascii="Times New Roman" w:hAnsi="Times New Roman" w:cs="Times New Roman"/>
          <w:b/>
          <w:bCs/>
          <w:color w:val="auto"/>
          <w:kern w:val="2"/>
          <w:sz w:val="32"/>
          <w:szCs w:val="32"/>
        </w:rPr>
        <w:t>、</w:t>
      </w:r>
      <w:r>
        <w:rPr>
          <w:rStyle w:val="164"/>
          <w:rFonts w:hint="default" w:ascii="Times New Roman" w:hAnsi="Times New Roman" w:eastAsia="宋体" w:cs="Times New Roman"/>
          <w:b/>
          <w:bCs/>
          <w:color w:val="auto"/>
          <w:kern w:val="2"/>
          <w:sz w:val="32"/>
          <w:szCs w:val="32"/>
        </w:rPr>
        <w:t>环境保护措施及其可行性分析</w:t>
      </w:r>
      <w:bookmarkEnd w:id="448"/>
      <w:bookmarkEnd w:id="449"/>
    </w:p>
    <w:p w14:paraId="7334B16E">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450" w:name="_Toc20351"/>
      <w:bookmarkStart w:id="451" w:name="_Toc2867"/>
      <w:r>
        <w:rPr>
          <w:rFonts w:hint="eastAsia" w:ascii="Times New Roman" w:hAnsi="Times New Roman" w:eastAsia="宋体" w:cs="Times New Roman"/>
          <w:b/>
          <w:bCs/>
          <w:color w:val="auto"/>
        </w:rPr>
        <w:t>7.1 施工期环境保护措施</w:t>
      </w:r>
      <w:bookmarkEnd w:id="450"/>
      <w:bookmarkEnd w:id="451"/>
    </w:p>
    <w:p w14:paraId="70E904A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52" w:name="_Toc4032"/>
      <w:bookmarkStart w:id="453" w:name="_Toc3922"/>
      <w:bookmarkStart w:id="454" w:name="_Toc9385"/>
      <w:r>
        <w:rPr>
          <w:rFonts w:hint="eastAsia" w:ascii="Times New Roman" w:hAnsi="Times New Roman" w:eastAsia="宋体" w:cs="Times New Roman"/>
          <w:b/>
          <w:bCs/>
          <w:color w:val="auto"/>
          <w:sz w:val="28"/>
          <w:szCs w:val="28"/>
          <w:lang w:val="en-US" w:eastAsia="zh-CN"/>
        </w:rPr>
        <w:t>7.1.1 施工扬尘污染防治措施</w:t>
      </w:r>
      <w:bookmarkEnd w:id="452"/>
      <w:bookmarkEnd w:id="453"/>
      <w:bookmarkEnd w:id="454"/>
    </w:p>
    <w:p w14:paraId="4BC7490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本项目施工期在建筑施工场地四周建设围挡，围挡高度不低于2</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m；施工场地地面洒水降尘；施工运输时对运输车辆加盖苫布，选择远离人群密集区的行程路线，并在城区内运输时减速慢行；合理安排施工进度，尽量缩短建设工期；对施工管理者和施工人员进行环境保护方面的培训，加强施工操作规范。</w:t>
      </w:r>
    </w:p>
    <w:p w14:paraId="69222E9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通过采取上述废气污染防治措施后，施工扬尘浓度贡献值满足《大气污染物综合排放标准》（GB16297-1996）表2新污染源大气污染物排放限值中颗粒物无组织排放监控浓度限值（周界外浓度最高点1.0mg/m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w:t>
      </w:r>
    </w:p>
    <w:p w14:paraId="3419DD06">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55" w:name="_Toc1552"/>
      <w:bookmarkStart w:id="456" w:name="_Toc15234"/>
      <w:bookmarkStart w:id="457" w:name="_Toc23121"/>
      <w:r>
        <w:rPr>
          <w:rFonts w:hint="eastAsia" w:ascii="Times New Roman" w:hAnsi="Times New Roman" w:eastAsia="宋体" w:cs="Times New Roman"/>
          <w:b/>
          <w:bCs/>
          <w:color w:val="auto"/>
          <w:sz w:val="28"/>
          <w:szCs w:val="28"/>
          <w:lang w:val="en-US" w:eastAsia="zh-CN"/>
        </w:rPr>
        <w:t>7.1.2 施工废水污染防治措施</w:t>
      </w:r>
      <w:bookmarkEnd w:id="455"/>
      <w:bookmarkEnd w:id="456"/>
      <w:bookmarkEnd w:id="457"/>
    </w:p>
    <w:p w14:paraId="6D2B3DF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本项目施工期施工人员产生的生活污水排入</w:t>
      </w:r>
      <w:r>
        <w:rPr>
          <w:rFonts w:hint="eastAsia" w:ascii="Times New Roman" w:hAnsi="Times New Roman" w:eastAsia="宋体" w:cs="Times New Roman"/>
          <w:color w:val="auto"/>
          <w:sz w:val="24"/>
          <w:szCs w:val="24"/>
          <w:highlight w:val="none"/>
          <w:lang w:val="en-US" w:eastAsia="zh-CN"/>
        </w:rPr>
        <w:t>八五二农场污水处理厂</w:t>
      </w:r>
      <w:r>
        <w:rPr>
          <w:rFonts w:hint="default" w:ascii="Times New Roman" w:hAnsi="Times New Roman" w:eastAsia="宋体" w:cs="Times New Roman"/>
          <w:color w:val="auto"/>
          <w:sz w:val="24"/>
          <w:szCs w:val="24"/>
          <w:highlight w:val="none"/>
          <w:lang w:val="en-US" w:eastAsia="zh-CN"/>
        </w:rPr>
        <w:t>；施工生产废水主要特点是悬浮物含量高，混凝土浇筑废水、土石方工程及雨天引起的水土流失、雨污水等悬浮物浓度高的废水，含砂量大，其中SS经沉淀后可以大部分去除。施工废水经过沉淀池处理后用于施工场地降尘，禁止散排。</w:t>
      </w:r>
      <w:r>
        <w:rPr>
          <w:rFonts w:hint="eastAsia" w:ascii="Times New Roman" w:hAnsi="Times New Roman" w:eastAsia="宋体" w:cs="Times New Roman"/>
          <w:color w:val="auto"/>
          <w:sz w:val="24"/>
          <w:szCs w:val="24"/>
          <w:highlight w:val="none"/>
          <w:lang w:val="en-US" w:eastAsia="zh-CN"/>
        </w:rPr>
        <w:t>管道试压试验产生一定量的废水，循环使用，试压完成后排放。废水污染物较少，含有一定的沙砾等杂物。一般通过简易沉降后回用于场地洒水降尘。</w:t>
      </w:r>
    </w:p>
    <w:p w14:paraId="3D91BA00">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58" w:name="_Toc2568"/>
      <w:bookmarkStart w:id="459" w:name="_Toc11731"/>
      <w:bookmarkStart w:id="460" w:name="_Toc29460"/>
      <w:r>
        <w:rPr>
          <w:rFonts w:hint="eastAsia" w:ascii="Times New Roman" w:hAnsi="Times New Roman" w:eastAsia="宋体" w:cs="Times New Roman"/>
          <w:b/>
          <w:bCs/>
          <w:color w:val="auto"/>
          <w:sz w:val="28"/>
          <w:szCs w:val="28"/>
          <w:lang w:val="en-US" w:eastAsia="zh-CN"/>
        </w:rPr>
        <w:t>7.1.3 施工噪声污染防治措施</w:t>
      </w:r>
      <w:bookmarkEnd w:id="458"/>
      <w:bookmarkEnd w:id="459"/>
      <w:bookmarkEnd w:id="460"/>
    </w:p>
    <w:p w14:paraId="3E0A082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（1）在施工机械选型上，应选用正规厂家、噪声较低的环保型机械，确保施工机械正常运行。</w:t>
      </w:r>
    </w:p>
    <w:p w14:paraId="325E836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（2）合理布局使用机械，由于厂区四周为居民区，因此本次评价要求施工机械布置在远离居民的区域。</w:t>
      </w:r>
    </w:p>
    <w:p w14:paraId="2EE122D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（3）合理安排施工时间，严格杜绝夜间施工现象，因此要严格禁止夜间22:00～6:00运输施工材料，避免增加夜间交通噪声贡献值，同时还要避开车流高峰期，以免造成交通阻塞。</w:t>
      </w:r>
    </w:p>
    <w:p w14:paraId="5D7253F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（4）运输车辆在城区内行驶时禁止鸣笛，并限速行驶；</w:t>
      </w:r>
    </w:p>
    <w:p w14:paraId="4D9BEC1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（5）施工过程中要做到文明施工，高噪声施工机械的放置要注意对厂区外环境的影响。</w:t>
      </w:r>
    </w:p>
    <w:p w14:paraId="5B90B69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通过采取上述噪声污染防治措施后，施工期噪声满足《建筑施工场界环境噪声排放标准》（GB12523-2011）表1建筑施工场界环境噪声排放限值要求。</w:t>
      </w:r>
    </w:p>
    <w:p w14:paraId="6913D03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61" w:name="_Toc19082"/>
      <w:bookmarkStart w:id="462" w:name="_Toc30250"/>
      <w:bookmarkStart w:id="463" w:name="_Toc23069"/>
      <w:r>
        <w:rPr>
          <w:rFonts w:hint="eastAsia" w:ascii="Times New Roman" w:hAnsi="Times New Roman" w:eastAsia="宋体" w:cs="Times New Roman"/>
          <w:b/>
          <w:bCs/>
          <w:color w:val="auto"/>
          <w:sz w:val="28"/>
          <w:szCs w:val="28"/>
          <w:lang w:val="en-US" w:eastAsia="zh-CN"/>
        </w:rPr>
        <w:t>7.1.4 施工固体废物污染防治措施</w:t>
      </w:r>
      <w:bookmarkEnd w:id="461"/>
      <w:bookmarkEnd w:id="462"/>
      <w:bookmarkEnd w:id="463"/>
    </w:p>
    <w:p w14:paraId="5B36E1F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施工期固体废物主要为施工弃土、建筑垃圾和施工人员产生的生活垃圾。</w:t>
      </w:r>
    </w:p>
    <w:p w14:paraId="6F9B42B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（1）施工产生的弃土和建筑垃圾应送至政府指定地点、建筑垃圾转运间。</w:t>
      </w:r>
    </w:p>
    <w:p w14:paraId="226DE70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（2）施工人员产生的生活垃圾量较少，可设置固定垃圾箱存放，由市政部门统一清运处理。</w:t>
      </w:r>
    </w:p>
    <w:p w14:paraId="19663D5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本工程所开挖的土方主要为管线维修更换产生，全部回填利用，坚持尽量少扰动地表的原则。</w:t>
      </w:r>
    </w:p>
    <w:p w14:paraId="41158CF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7.1.5</w:t>
      </w:r>
      <w:r>
        <w:rPr>
          <w:rFonts w:hint="eastAsia" w:ascii="Times New Roman" w:hAnsi="Times New Roman" w:cs="Times New Roman"/>
          <w:b/>
          <w:bCs/>
          <w:color w:val="auto"/>
          <w:sz w:val="28"/>
          <w:szCs w:val="28"/>
          <w:lang w:val="en-US" w:eastAsia="zh-CN"/>
        </w:rPr>
        <w:t xml:space="preserve"> </w:t>
      </w:r>
      <w:r>
        <w:rPr>
          <w:rFonts w:hint="eastAsia" w:ascii="Times New Roman" w:hAnsi="Times New Roman" w:eastAsia="宋体" w:cs="Times New Roman"/>
          <w:b/>
          <w:bCs/>
          <w:color w:val="auto"/>
          <w:sz w:val="28"/>
          <w:szCs w:val="28"/>
          <w:lang w:val="en-US" w:eastAsia="zh-CN"/>
        </w:rPr>
        <w:t>施工期生态保护措施</w:t>
      </w:r>
    </w:p>
    <w:p w14:paraId="3CBC3A7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热源厂施工期生态环境保护措施：</w:t>
      </w:r>
    </w:p>
    <w:p w14:paraId="49CA7C8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 xml:space="preserve">严格控制施工范围，不得占用场区外用地；合理安排施工期，土石方作业尽量避开雨季；施工中应执行土方开挖和堆存的操作规范，减少水土流失；施工完成后及时进行绿化硬化，减缓项目建设对周围生态环境的影响。 </w:t>
      </w:r>
    </w:p>
    <w:p w14:paraId="75F94A0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 xml:space="preserve">供热管网施工生态环境保护措施： </w:t>
      </w:r>
    </w:p>
    <w:p w14:paraId="0300A62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 xml:space="preserve">①尽量控制施工作业带宽度，减少临时占地，施工材料沿线堆存，不单独建设物料堆场；分段施工，不建设施工生活营地； </w:t>
      </w:r>
    </w:p>
    <w:p w14:paraId="58E6FEB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②合理安排施工时序，缩短施工期；</w:t>
      </w:r>
    </w:p>
    <w:p w14:paraId="5D23B21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③土方、砂石料堆放时做好前期准备工作，对堆放量和运出量、使用量进行估算，尽量缩短堆放的时间；如果土方不能及时清运或者回填土需要长时间的堆放，土方堆放场周围应建设导流沟，使雨水及时的沿导流沟排出，减少雨水冲刷造成的水土流失；</w:t>
      </w:r>
    </w:p>
    <w:p w14:paraId="01C027E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 xml:space="preserve">④施工期应尽量避开雨季，并及时夯实地面，减少水土流失； </w:t>
      </w:r>
    </w:p>
    <w:p w14:paraId="3EC29DF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⑤施工完成后尽快覆土回填；破坏原有道路路面的及时恢复路面结构，道路绿化用地及荒草地及时进行生态恢复。采取以上措施后，可有效降低项目施工期对周围环境的影响；施工期环境影响是暂时的，随施工期的结束而结束。</w:t>
      </w:r>
    </w:p>
    <w:p w14:paraId="6801C5BF">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464" w:name="_Toc10250"/>
      <w:bookmarkStart w:id="465" w:name="_Toc24446"/>
      <w:bookmarkStart w:id="466" w:name="_Toc27680"/>
      <w:r>
        <w:rPr>
          <w:rFonts w:hint="eastAsia" w:ascii="Times New Roman" w:hAnsi="Times New Roman" w:eastAsia="宋体" w:cs="Times New Roman"/>
          <w:b/>
          <w:bCs/>
          <w:color w:val="auto"/>
        </w:rPr>
        <w:t>7.2 运营期环境保护措施</w:t>
      </w:r>
      <w:bookmarkEnd w:id="464"/>
      <w:bookmarkEnd w:id="465"/>
      <w:bookmarkEnd w:id="466"/>
    </w:p>
    <w:p w14:paraId="15E2CA8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67" w:name="_Toc29837"/>
      <w:bookmarkStart w:id="468" w:name="_Toc32341"/>
      <w:bookmarkStart w:id="469" w:name="_Toc4113"/>
      <w:r>
        <w:rPr>
          <w:rFonts w:hint="eastAsia" w:ascii="Times New Roman" w:hAnsi="Times New Roman" w:eastAsia="宋体" w:cs="Times New Roman"/>
          <w:b/>
          <w:bCs/>
          <w:color w:val="auto"/>
          <w:sz w:val="28"/>
          <w:szCs w:val="28"/>
          <w:lang w:val="en-US" w:eastAsia="zh-CN"/>
        </w:rPr>
        <w:t>7.2.1 废气污染防治措施</w:t>
      </w:r>
      <w:bookmarkEnd w:id="467"/>
      <w:bookmarkEnd w:id="468"/>
      <w:bookmarkEnd w:id="469"/>
    </w:p>
    <w:p w14:paraId="407EEA8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依据《工业锅炉污染防治可行技术指南》（HJ1178-2021）中“6.1烟气污染治理技术”中一般原则规定，燃煤锅炉宜采用袋式除尘、电除尘、电袋复合除尘、机械除尘+袋式除尘等技术实现颗粒物达标排放；燃煤锅炉宜采用石灰石/石灰-石膏湿法、镁法、钠碱法、烟气循环流化床法和炉内喷钙脱硫技术实现S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达标排放。氮氧化物排放控制宜优先采用低氮燃烧技术，若不能实现达标排放，应结合选择性催化还原法（SCR）、选择性非催化还原法（SNCR）和SNCR-SCR联合法脱硝技术实现达标排放。汞及其化合物宜采用协同治理技术实现达标排放。</w:t>
      </w:r>
    </w:p>
    <w:p w14:paraId="490B1B3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锅炉烟气治理措施采用“SNCR-SCR脱硝+布袋除尘器除尘+氧化镁法脱硫”，处理后通过一根100m高烟囱排放，在线监测设备与环保部门联网。采取上述废气污染防治措施后，本项目锅炉烟气污染物排放浓度满足《锅炉大气污染物排放标准》（GB13271-2014）表2标准限值。</w:t>
      </w:r>
      <w:r>
        <w:rPr>
          <w:rFonts w:hint="eastAsia" w:ascii="Times New Roman" w:hAnsi="Times New Roman" w:eastAsia="宋体" w:cs="Times New Roman"/>
          <w:color w:val="FF0000"/>
          <w:sz w:val="24"/>
          <w:szCs w:val="24"/>
          <w:highlight w:val="none"/>
          <w:lang w:val="en-US" w:eastAsia="zh-CN"/>
        </w:rPr>
        <w:t>同时，本项目锅炉烟气现有措施处理能力优越，预留执行超低排放要求的升级空间。</w:t>
      </w:r>
      <w:r>
        <w:rPr>
          <w:rFonts w:hint="eastAsia" w:ascii="Times New Roman" w:hAnsi="Times New Roman" w:eastAsia="宋体" w:cs="Times New Roman"/>
          <w:color w:val="auto"/>
          <w:sz w:val="24"/>
          <w:szCs w:val="24"/>
          <w:highlight w:val="none"/>
          <w:lang w:val="en-US" w:eastAsia="zh-CN"/>
        </w:rPr>
        <w:t>即《关于印发&lt;全面实施燃煤电厂超低排放和节能改造工作方案&gt;的通知》（环发〔2015〕164号）要求，达到超低排放限值</w:t>
      </w:r>
      <w:r>
        <w:rPr>
          <w:rFonts w:hint="eastAsia" w:ascii="Times New Roman" w:hAnsi="Times New Roman" w:eastAsia="宋体" w:cs="Times New Roman"/>
          <w:color w:val="FF0000"/>
          <w:sz w:val="24"/>
          <w:szCs w:val="24"/>
          <w:highlight w:val="none"/>
          <w:lang w:val="en-US" w:eastAsia="zh-CN"/>
        </w:rPr>
        <w:t>（在基准氧含量9%条件下</w:t>
      </w:r>
      <w:r>
        <w:rPr>
          <w:rFonts w:hint="eastAsia" w:ascii="Times New Roman" w:hAnsi="Times New Roman" w:eastAsia="宋体" w:cs="Times New Roman"/>
          <w:color w:val="auto"/>
          <w:sz w:val="24"/>
          <w:szCs w:val="24"/>
          <w:highlight w:val="none"/>
          <w:lang w:val="en-US" w:eastAsia="zh-CN"/>
        </w:rPr>
        <w:t>，烟尘、SO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、NO</w:t>
      </w:r>
      <w:r>
        <w:rPr>
          <w:rFonts w:hint="eastAsia" w:ascii="Times New Roman" w:hAnsi="Times New Roman" w:eastAsia="宋体" w:cs="Times New Roman"/>
          <w:color w:val="auto"/>
          <w:sz w:val="24"/>
          <w:szCs w:val="24"/>
          <w:highlight w:val="none"/>
          <w:vertAlign w:val="subscript"/>
          <w:lang w:val="en-US" w:eastAsia="zh-CN"/>
        </w:rPr>
        <w:t>x</w:t>
      </w:r>
      <w:r>
        <w:rPr>
          <w:rFonts w:hint="eastAsia" w:ascii="Times New Roman" w:hAnsi="Times New Roman" w:eastAsia="宋体" w:cs="Times New Roman"/>
          <w:color w:val="auto"/>
          <w:sz w:val="24"/>
          <w:szCs w:val="24"/>
          <w:highlight w:val="none"/>
          <w:lang w:val="en-US" w:eastAsia="zh-CN"/>
        </w:rPr>
        <w:t>排放浓度分别不高于10mg/m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、35mg/m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、50mg/m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）要求，烟气黑度、汞排放浓度满足《锅炉大气污染物排放标准》(GB13271-2014)表2的限值要求。</w:t>
      </w:r>
    </w:p>
    <w:p w14:paraId="3C16A32F">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7.2.1.1 本项目烟尘污染防治措施</w:t>
      </w:r>
    </w:p>
    <w:p w14:paraId="2CA1779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依据《工业锅炉污染防治可行技术指南》（HJ1178-2021）中“6.1.2颗粒物治理技术”中规定，颗粒物治理技术可采用干式电袋除尘技术、袋式除尘技术、湿式电袋除尘技术和电复合除尘技术，各项除尘技术比选如下：</w:t>
      </w:r>
    </w:p>
    <w:p w14:paraId="263C3CC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（1）干式电袋除尘技术</w:t>
      </w:r>
    </w:p>
    <w:p w14:paraId="1AF77B7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通过合理设计烟气流速、比集尘面积等参数，实现除尘效率96%～99.9%。烟气流速宜取0.8～1.2m/s，当比集尘面积不小于100m</w:t>
      </w:r>
      <w:r>
        <w:rPr>
          <w:rFonts w:hint="eastAsia" w:ascii="Times New Roman" w:hAnsi="Times New Roman" w:eastAsia="宋体" w:cs="Times New Roman"/>
          <w:color w:val="auto"/>
          <w:sz w:val="24"/>
          <w:szCs w:val="24"/>
          <w:highlight w:val="none"/>
          <w:vertAlign w:val="superscript"/>
          <w:lang w:val="en-US" w:eastAsia="zh-CN"/>
        </w:rPr>
        <w:t>2</w:t>
      </w:r>
      <w:r>
        <w:rPr>
          <w:rFonts w:hint="eastAsia" w:ascii="Times New Roman" w:hAnsi="Times New Roman" w:eastAsia="宋体" w:cs="Times New Roman"/>
          <w:color w:val="auto"/>
          <w:sz w:val="24"/>
          <w:szCs w:val="24"/>
          <w:highlight w:val="none"/>
          <w:lang w:val="en-US" w:eastAsia="zh-CN"/>
        </w:rPr>
        <w:t>/（m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/s）时，干式电袋复合式除尘器出口颗粒物浓度可达50mg/m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以下；当比集尘面积不小于110m</w:t>
      </w:r>
      <w:r>
        <w:rPr>
          <w:rFonts w:hint="eastAsia" w:ascii="Times New Roman" w:hAnsi="Times New Roman" w:eastAsia="宋体" w:cs="Times New Roman"/>
          <w:color w:val="auto"/>
          <w:sz w:val="24"/>
          <w:szCs w:val="24"/>
          <w:highlight w:val="none"/>
          <w:vertAlign w:val="superscript"/>
          <w:lang w:val="en-US" w:eastAsia="zh-CN"/>
        </w:rPr>
        <w:t>2</w:t>
      </w:r>
      <w:r>
        <w:rPr>
          <w:rFonts w:hint="eastAsia" w:ascii="Times New Roman" w:hAnsi="Times New Roman" w:eastAsia="宋体" w:cs="Times New Roman"/>
          <w:color w:val="auto"/>
          <w:sz w:val="24"/>
          <w:szCs w:val="24"/>
          <w:highlight w:val="none"/>
          <w:lang w:val="en-US" w:eastAsia="zh-CN"/>
        </w:rPr>
        <w:t>/（m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/s）时，干式电袋复合式除尘器出口颗粒物浓度可达30mg/m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以下。该技术适用于工况比电阻在1×10</w:t>
      </w:r>
      <w:r>
        <w:rPr>
          <w:rFonts w:hint="eastAsia" w:ascii="Times New Roman" w:hAnsi="Times New Roman" w:eastAsia="宋体" w:cs="Times New Roman"/>
          <w:color w:val="auto"/>
          <w:sz w:val="24"/>
          <w:szCs w:val="24"/>
          <w:highlight w:val="none"/>
          <w:vertAlign w:val="superscript"/>
          <w:lang w:val="en-US" w:eastAsia="zh-CN"/>
        </w:rPr>
        <w:t>4</w:t>
      </w:r>
      <w:r>
        <w:rPr>
          <w:rFonts w:hint="eastAsia" w:ascii="Times New Roman" w:hAnsi="Times New Roman" w:eastAsia="宋体" w:cs="Times New Roman"/>
          <w:color w:val="auto"/>
          <w:sz w:val="24"/>
          <w:szCs w:val="24"/>
          <w:highlight w:val="none"/>
          <w:lang w:val="en-US" w:eastAsia="zh-CN"/>
        </w:rPr>
        <w:t>～1×10</w:t>
      </w:r>
      <w:r>
        <w:rPr>
          <w:rFonts w:hint="eastAsia" w:ascii="Times New Roman" w:hAnsi="Times New Roman" w:eastAsia="宋体" w:cs="Times New Roman"/>
          <w:color w:val="auto"/>
          <w:sz w:val="24"/>
          <w:szCs w:val="24"/>
          <w:highlight w:val="none"/>
          <w:vertAlign w:val="superscript"/>
          <w:lang w:val="en-US" w:eastAsia="zh-CN"/>
        </w:rPr>
        <w:t>11</w:t>
      </w:r>
      <w:r>
        <w:rPr>
          <w:rFonts w:hint="eastAsia" w:ascii="Times New Roman" w:hAnsi="Times New Roman" w:eastAsia="宋体" w:cs="Times New Roman"/>
          <w:color w:val="auto"/>
          <w:sz w:val="24"/>
          <w:szCs w:val="24"/>
          <w:highlight w:val="none"/>
          <w:lang w:val="en-US" w:eastAsia="zh-CN"/>
        </w:rPr>
        <w:t>Ω·cm之间的燃煤锅炉颗粒物脱除，对高铝、高硅等高比电阻粉尘以及细颗粒物脱除效果较差；系统阻力小、占地面积相对较大、投资成本相对较高。</w:t>
      </w:r>
    </w:p>
    <w:p w14:paraId="4061F24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（2）袋式除尘技术</w:t>
      </w:r>
    </w:p>
    <w:p w14:paraId="35C7DC9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通过合理选择滤料种类、过滤风速等参数，实现除尘效率99%～99.99%。当采用常规针刺毡滤料，过滤风速不大于1.0m/min时，袋式除尘器出口颗粒物浓度可达30mg/m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以下；当过滤风速不大于0.9m/min时，袋式除尘器出口颗粒物浓度可达20mg/m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以下。当采用高精过滤滤料，过滤风速不大于0.8m/min时，袋式除尘器出口颗粒物浓度可达10mg/m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当处理烟气循环流化床法脱硫后的高粉尘浓度烟气时，过滤风速宜不大于0.7m/min。该技术基本不受燃烧煤种、烟尘比电阻和烟气工况变化等影响，运行温度应高于酸露点15℃以上且≤250℃；燃煤层燃炉和生物质成型燃料锅炉宜设置必要的保护措施，降低滤袋烧毁风险；系统阻力相对较大、占地面积小、投资成本低，滤袋更换成本高。</w:t>
      </w:r>
    </w:p>
    <w:p w14:paraId="13A69F0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（3）湿式电袋除尘技术</w:t>
      </w:r>
    </w:p>
    <w:p w14:paraId="72DD52D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该技术常用于烟气脱硫后，通过合理设计烟气流速、比集尘面积等参数，实现除尘效率60%～90%，湿式电袋复合式除尘器出口颗粒物浓度可达10mg/m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以下。该技术分为板式湿式电袋除尘技术和蜂窝式湿式电袋除尘技术，可有效去除细颗粒物及湿法脱硫后烟气中夹带的液滴，并高效协同脱除三氧化硫（SO</w:t>
      </w:r>
      <w:r>
        <w:rPr>
          <w:rFonts w:hint="eastAsia" w:ascii="Times New Roman" w:hAnsi="Times New Roman" w:eastAsia="宋体" w:cs="Times New Roman"/>
          <w:color w:val="auto"/>
          <w:sz w:val="24"/>
          <w:szCs w:val="24"/>
          <w:highlight w:val="none"/>
          <w:vertAlign w:val="subscript"/>
          <w:lang w:val="en-US" w:eastAsia="zh-CN"/>
        </w:rPr>
        <w:t>3</w:t>
      </w:r>
      <w:r>
        <w:rPr>
          <w:rFonts w:hint="eastAsia" w:ascii="Times New Roman" w:hAnsi="Times New Roman" w:eastAsia="宋体" w:cs="Times New Roman"/>
          <w:color w:val="auto"/>
          <w:sz w:val="24"/>
          <w:szCs w:val="24"/>
          <w:highlight w:val="none"/>
          <w:lang w:val="en-US" w:eastAsia="zh-CN"/>
        </w:rPr>
        <w:t>）、汞及其化合物等；系统阻力小、占地面积小、投资成本较高。</w:t>
      </w:r>
    </w:p>
    <w:p w14:paraId="54E0B74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（4）电复合除尘技术</w:t>
      </w:r>
    </w:p>
    <w:p w14:paraId="07CA755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通过合理选择滤料种类和合理设计过滤风速及电区比集尘面积等参数，实现除尘效率99%～99.99%。当采用常规针刺毡滤料，颗粒物排放浓度可达20mg/m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以下；当采用高精过滤滤料，颗粒物排放浓度可达10mg/m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以下。该技术适用于燃煤锅炉烟气颗粒物的脱除，兼具袋式除尘和干式电袋除尘的优点，滤袋使用寿命长，对难荷电颗粒物、细颗粒物及高比电阻粉尘脱除效果佳；系统阻力大、占地面积大、投资成本高，滤袋更换成本高。</w:t>
      </w:r>
    </w:p>
    <w:p w14:paraId="6343CBF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（5）本项目除尘措施选择</w:t>
      </w:r>
    </w:p>
    <w:p w14:paraId="105A996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根据《排污许可证申请与核发技术规范 锅炉》（HJ953-2018）5.2.1可行技术，以及参照《工业锅炉污染防治可行技术指南》（HJ1178-2021）规定的工业锅炉污染防治可行技术及最佳可行技术，本项目建设的2台42MW热水锅炉烟气除尘措施采用高效布袋除尘器，除尘效率能够达到99.8%以上。采取上述废气污染防治措施后，本项目锅炉烟尘排放浓度满足《锅炉大气污染物排放标准》（GB13271-2014）表2标准限值。</w:t>
      </w:r>
    </w:p>
    <w:p w14:paraId="2F0640F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7.2.1.2 本项目SO</w:t>
      </w:r>
      <w:r>
        <w:rPr>
          <w:rFonts w:hint="default" w:ascii="Times New Roman" w:hAnsi="Times New Roman" w:eastAsia="宋体" w:cs="Times New Roman"/>
          <w:b/>
          <w:bCs w:val="0"/>
          <w:color w:val="auto"/>
          <w:sz w:val="24"/>
          <w:szCs w:val="24"/>
          <w:vertAlign w:val="subscript"/>
          <w:lang w:val="en-US" w:eastAsia="zh-CN"/>
        </w:rPr>
        <w:t>2</w:t>
      </w:r>
      <w:r>
        <w:rPr>
          <w:rFonts w:hint="default" w:ascii="Times New Roman" w:hAnsi="Times New Roman" w:eastAsia="宋体" w:cs="Times New Roman"/>
          <w:b/>
          <w:bCs w:val="0"/>
          <w:color w:val="auto"/>
          <w:sz w:val="24"/>
          <w:szCs w:val="24"/>
          <w:lang w:val="en-US" w:eastAsia="zh-CN"/>
        </w:rPr>
        <w:t>污染防治措施</w:t>
      </w:r>
    </w:p>
    <w:p w14:paraId="3EFC0BC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（1）烟气脱硫工艺的选择</w:t>
      </w:r>
    </w:p>
    <w:p w14:paraId="00A96C0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目前，世界上燃煤锅炉脱硫工艺方法很多，这些方法的应用主要取决于锅炉容量、燃烧设备的类型、燃料的种类含硫量的多少、脱硫率、脱硫剂的供应条件及电厂的地理条件、副产品的利用等因素。</w:t>
      </w:r>
    </w:p>
    <w:p w14:paraId="76201F1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按脱硫工艺在生产中所处的部位不同可采用：</w:t>
      </w:r>
    </w:p>
    <w:p w14:paraId="6D0BEE6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①燃烧前脱硫，如原煤洗选脱硫；</w:t>
      </w:r>
    </w:p>
    <w:p w14:paraId="144EDC8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②燃烧中脱硫，如洁净煤燃烧和炉内喷钙；</w:t>
      </w:r>
    </w:p>
    <w:p w14:paraId="565E3D2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③燃烧后脱硫，如石灰石-石膏湿法、烟气循环流化床脱硫技术、旋转喷雾半干法、海水脱硫、电子束脱硫干法、湿式镁法脱硫等。</w:t>
      </w:r>
    </w:p>
    <w:p w14:paraId="2F7CD63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燃烧后的烟气脱硫是目前国际上广泛采用的控制二氧化硫的成熟技术。近年来，世界各经济发达国家在烟气脱硫方面均取得了很大的进展。国内外已采用的电厂烟气脱硫方法主要有石灰石—石膏湿法、循环半干法、镁法脱硫、双碱法脱硫和氨法脱硫。几种主要烟气脱硫工艺的比较情况见表</w:t>
      </w:r>
      <w:r>
        <w:rPr>
          <w:rFonts w:hint="eastAsia" w:ascii="Times New Roman" w:hAnsi="Times New Roman" w:eastAsia="宋体"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lang w:val="en-US" w:eastAsia="zh-CN"/>
        </w:rPr>
        <w:t>.2-</w:t>
      </w:r>
      <w:r>
        <w:rPr>
          <w:rFonts w:hint="eastAsia"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val="en-US" w:eastAsia="zh-CN"/>
        </w:rPr>
        <w:t>。</w:t>
      </w:r>
    </w:p>
    <w:p w14:paraId="35D3C795">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w:t>
      </w:r>
      <w:r>
        <w:rPr>
          <w:rFonts w:hint="eastAsia" w:eastAsia="宋体" w:cs="Times New Roman"/>
          <w:b/>
          <w:bCs/>
          <w:color w:val="auto"/>
          <w:sz w:val="24"/>
          <w:szCs w:val="24"/>
          <w:lang w:val="en-US" w:eastAsia="zh-CN"/>
        </w:rPr>
        <w:t>7</w:t>
      </w:r>
      <w:r>
        <w:rPr>
          <w:rFonts w:hint="default" w:ascii="Times New Roman" w:hAnsi="Times New Roman" w:eastAsia="宋体" w:cs="Times New Roman"/>
          <w:b/>
          <w:bCs/>
          <w:color w:val="auto"/>
          <w:sz w:val="24"/>
          <w:szCs w:val="24"/>
          <w:lang w:eastAsia="zh-CN"/>
        </w:rPr>
        <w:t>.</w:t>
      </w:r>
      <w:r>
        <w:rPr>
          <w:rFonts w:hint="default" w:ascii="Times New Roman" w:hAnsi="Times New Roman" w:eastAsia="宋体" w:cs="Times New Roman"/>
          <w:b/>
          <w:bCs/>
          <w:color w:val="auto"/>
          <w:sz w:val="24"/>
          <w:szCs w:val="24"/>
          <w:lang w:val="en-US" w:eastAsia="zh-CN"/>
        </w:rPr>
        <w:t>2</w:t>
      </w:r>
      <w:r>
        <w:rPr>
          <w:rFonts w:hint="default" w:ascii="Times New Roman" w:hAnsi="Times New Roman" w:eastAsia="宋体" w:cs="Times New Roman"/>
          <w:b/>
          <w:bCs/>
          <w:color w:val="auto"/>
          <w:sz w:val="24"/>
          <w:szCs w:val="24"/>
          <w:lang w:eastAsia="zh-CN"/>
        </w:rPr>
        <w:t>-</w:t>
      </w:r>
      <w:r>
        <w:rPr>
          <w:rFonts w:hint="eastAsia" w:ascii="Times New Roman" w:hAnsi="Times New Roman" w:eastAsia="宋体" w:cs="Times New Roman"/>
          <w:b/>
          <w:bCs/>
          <w:color w:val="auto"/>
          <w:sz w:val="24"/>
          <w:szCs w:val="24"/>
          <w:lang w:val="en-US" w:eastAsia="zh-CN"/>
        </w:rPr>
        <w:t>1</w:t>
      </w:r>
      <w:r>
        <w:rPr>
          <w:rFonts w:hint="default" w:ascii="Times New Roman" w:hAnsi="Times New Roman" w:eastAsia="宋体" w:cs="Times New Roman"/>
          <w:b/>
          <w:bCs/>
          <w:color w:val="auto"/>
          <w:sz w:val="24"/>
          <w:szCs w:val="24"/>
          <w:lang w:eastAsia="zh-CN"/>
        </w:rPr>
        <w:t xml:space="preserve"> </w:t>
      </w:r>
      <w:r>
        <w:rPr>
          <w:rFonts w:hint="eastAsia" w:ascii="Times New Roman" w:hAnsi="Times New Roman" w:eastAsia="宋体" w:cs="Times New Roman"/>
          <w:b/>
          <w:bCs/>
          <w:color w:val="auto"/>
          <w:sz w:val="24"/>
          <w:szCs w:val="24"/>
          <w:lang w:val="en-US" w:eastAsia="zh-CN"/>
        </w:rPr>
        <w:t xml:space="preserve"> </w:t>
      </w:r>
      <w:r>
        <w:rPr>
          <w:rFonts w:hint="default" w:ascii="Times New Roman" w:hAnsi="Times New Roman" w:eastAsia="宋体" w:cs="Times New Roman"/>
          <w:b/>
          <w:bCs/>
          <w:color w:val="auto"/>
          <w:sz w:val="24"/>
          <w:szCs w:val="24"/>
          <w:lang w:eastAsia="zh-CN"/>
        </w:rPr>
        <w:t>几种主要烟气脱硫工艺的比较表</w:t>
      </w:r>
    </w:p>
    <w:tbl>
      <w:tblPr>
        <w:tblStyle w:val="40"/>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514"/>
        <w:gridCol w:w="1321"/>
        <w:gridCol w:w="1523"/>
        <w:gridCol w:w="1221"/>
        <w:gridCol w:w="1522"/>
        <w:gridCol w:w="1212"/>
      </w:tblGrid>
      <w:tr w14:paraId="39C55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1AF4D8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w:t>
            </w:r>
          </w:p>
        </w:tc>
        <w:tc>
          <w:tcPr>
            <w:tcW w:w="794" w:type="pct"/>
            <w:tcBorders>
              <w:tl2br w:val="nil"/>
              <w:tr2bl w:val="nil"/>
            </w:tcBorders>
            <w:noWrap w:val="0"/>
            <w:vAlign w:val="center"/>
          </w:tcPr>
          <w:p w14:paraId="3CC0CB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石灰-石膏</w:t>
            </w:r>
          </w:p>
        </w:tc>
        <w:tc>
          <w:tcPr>
            <w:tcW w:w="916" w:type="pct"/>
            <w:tcBorders>
              <w:tl2br w:val="nil"/>
              <w:tr2bl w:val="nil"/>
            </w:tcBorders>
            <w:noWrap w:val="0"/>
            <w:vAlign w:val="center"/>
          </w:tcPr>
          <w:p w14:paraId="24414F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循环半干法</w:t>
            </w:r>
          </w:p>
        </w:tc>
        <w:tc>
          <w:tcPr>
            <w:tcW w:w="734" w:type="pct"/>
            <w:tcBorders>
              <w:tl2br w:val="nil"/>
              <w:tr2bl w:val="nil"/>
            </w:tcBorders>
            <w:noWrap w:val="0"/>
            <w:vAlign w:val="center"/>
          </w:tcPr>
          <w:p w14:paraId="1812A7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镁法</w:t>
            </w:r>
          </w:p>
        </w:tc>
        <w:tc>
          <w:tcPr>
            <w:tcW w:w="915" w:type="pct"/>
            <w:tcBorders>
              <w:tl2br w:val="nil"/>
              <w:tr2bl w:val="nil"/>
            </w:tcBorders>
            <w:noWrap w:val="0"/>
            <w:vAlign w:val="center"/>
          </w:tcPr>
          <w:p w14:paraId="721A06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双碱法</w:t>
            </w:r>
          </w:p>
        </w:tc>
        <w:tc>
          <w:tcPr>
            <w:tcW w:w="729" w:type="pct"/>
            <w:tcBorders>
              <w:tl2br w:val="nil"/>
              <w:tr2bl w:val="nil"/>
            </w:tcBorders>
            <w:noWrap w:val="0"/>
            <w:vAlign w:val="center"/>
          </w:tcPr>
          <w:p w14:paraId="06F29D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氨法</w:t>
            </w:r>
          </w:p>
        </w:tc>
      </w:tr>
      <w:tr w14:paraId="2AA754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152DBD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适用煤种</w:t>
            </w:r>
          </w:p>
        </w:tc>
        <w:tc>
          <w:tcPr>
            <w:tcW w:w="794" w:type="pct"/>
            <w:tcBorders>
              <w:tl2br w:val="nil"/>
              <w:tr2bl w:val="nil"/>
            </w:tcBorders>
            <w:noWrap w:val="0"/>
            <w:vAlign w:val="center"/>
          </w:tcPr>
          <w:p w14:paraId="45AFAE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不限</w:t>
            </w:r>
          </w:p>
        </w:tc>
        <w:tc>
          <w:tcPr>
            <w:tcW w:w="916" w:type="pct"/>
            <w:tcBorders>
              <w:tl2br w:val="nil"/>
              <w:tr2bl w:val="nil"/>
            </w:tcBorders>
            <w:noWrap w:val="0"/>
            <w:vAlign w:val="center"/>
          </w:tcPr>
          <w:p w14:paraId="466C9E5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不限</w:t>
            </w:r>
          </w:p>
        </w:tc>
        <w:tc>
          <w:tcPr>
            <w:tcW w:w="734" w:type="pct"/>
            <w:tcBorders>
              <w:tl2br w:val="nil"/>
              <w:tr2bl w:val="nil"/>
            </w:tcBorders>
            <w:noWrap w:val="0"/>
            <w:vAlign w:val="center"/>
          </w:tcPr>
          <w:p w14:paraId="5328B4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中低硫煤</w:t>
            </w:r>
          </w:p>
        </w:tc>
        <w:tc>
          <w:tcPr>
            <w:tcW w:w="915" w:type="pct"/>
            <w:tcBorders>
              <w:tl2br w:val="nil"/>
              <w:tr2bl w:val="nil"/>
            </w:tcBorders>
            <w:noWrap w:val="0"/>
            <w:vAlign w:val="center"/>
          </w:tcPr>
          <w:p w14:paraId="52469F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不限</w:t>
            </w:r>
          </w:p>
        </w:tc>
        <w:tc>
          <w:tcPr>
            <w:tcW w:w="729" w:type="pct"/>
            <w:tcBorders>
              <w:tl2br w:val="nil"/>
              <w:tr2bl w:val="nil"/>
            </w:tcBorders>
            <w:noWrap w:val="0"/>
            <w:vAlign w:val="center"/>
          </w:tcPr>
          <w:p w14:paraId="32F3B2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中低硫煤</w:t>
            </w:r>
          </w:p>
        </w:tc>
      </w:tr>
      <w:tr w14:paraId="0A70DB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6F1C67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脱硫率</w:t>
            </w:r>
          </w:p>
        </w:tc>
        <w:tc>
          <w:tcPr>
            <w:tcW w:w="794" w:type="pct"/>
            <w:tcBorders>
              <w:tl2br w:val="nil"/>
              <w:tr2bl w:val="nil"/>
            </w:tcBorders>
            <w:noWrap w:val="0"/>
            <w:vAlign w:val="center"/>
          </w:tcPr>
          <w:p w14:paraId="5819A6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90%以上</w:t>
            </w:r>
          </w:p>
        </w:tc>
        <w:tc>
          <w:tcPr>
            <w:tcW w:w="916" w:type="pct"/>
            <w:tcBorders>
              <w:tl2br w:val="nil"/>
              <w:tr2bl w:val="nil"/>
            </w:tcBorders>
            <w:noWrap w:val="0"/>
            <w:vAlign w:val="center"/>
          </w:tcPr>
          <w:p w14:paraId="028CEF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85%以上</w:t>
            </w:r>
          </w:p>
        </w:tc>
        <w:tc>
          <w:tcPr>
            <w:tcW w:w="734" w:type="pct"/>
            <w:tcBorders>
              <w:tl2br w:val="nil"/>
              <w:tr2bl w:val="nil"/>
            </w:tcBorders>
            <w:noWrap w:val="0"/>
            <w:vAlign w:val="center"/>
          </w:tcPr>
          <w:p w14:paraId="0C81BA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90%以上</w:t>
            </w:r>
          </w:p>
        </w:tc>
        <w:tc>
          <w:tcPr>
            <w:tcW w:w="915" w:type="pct"/>
            <w:tcBorders>
              <w:tl2br w:val="nil"/>
              <w:tr2bl w:val="nil"/>
            </w:tcBorders>
            <w:noWrap w:val="0"/>
            <w:vAlign w:val="center"/>
          </w:tcPr>
          <w:p w14:paraId="2E93E8F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70%以上</w:t>
            </w:r>
          </w:p>
        </w:tc>
        <w:tc>
          <w:tcPr>
            <w:tcW w:w="729" w:type="pct"/>
            <w:tcBorders>
              <w:tl2br w:val="nil"/>
              <w:tr2bl w:val="nil"/>
            </w:tcBorders>
            <w:noWrap w:val="0"/>
            <w:vAlign w:val="center"/>
          </w:tcPr>
          <w:p w14:paraId="311C9D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95%以上</w:t>
            </w:r>
          </w:p>
        </w:tc>
      </w:tr>
      <w:tr w14:paraId="47C5AF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20CC53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吸收剂</w:t>
            </w:r>
          </w:p>
        </w:tc>
        <w:tc>
          <w:tcPr>
            <w:tcW w:w="794" w:type="pct"/>
            <w:tcBorders>
              <w:tl2br w:val="nil"/>
              <w:tr2bl w:val="nil"/>
            </w:tcBorders>
            <w:noWrap w:val="0"/>
            <w:vAlign w:val="center"/>
          </w:tcPr>
          <w:p w14:paraId="707E40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石灰</w:t>
            </w:r>
          </w:p>
        </w:tc>
        <w:tc>
          <w:tcPr>
            <w:tcW w:w="916" w:type="pct"/>
            <w:tcBorders>
              <w:tl2br w:val="nil"/>
              <w:tr2bl w:val="nil"/>
            </w:tcBorders>
            <w:noWrap w:val="0"/>
            <w:vAlign w:val="center"/>
          </w:tcPr>
          <w:p w14:paraId="05D1C2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石灰、纯碱</w:t>
            </w:r>
          </w:p>
        </w:tc>
        <w:tc>
          <w:tcPr>
            <w:tcW w:w="734" w:type="pct"/>
            <w:tcBorders>
              <w:tl2br w:val="nil"/>
              <w:tr2bl w:val="nil"/>
            </w:tcBorders>
            <w:noWrap w:val="0"/>
            <w:vAlign w:val="center"/>
          </w:tcPr>
          <w:p w14:paraId="4082B5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氧化镁</w:t>
            </w:r>
          </w:p>
        </w:tc>
        <w:tc>
          <w:tcPr>
            <w:tcW w:w="915" w:type="pct"/>
            <w:tcBorders>
              <w:tl2br w:val="nil"/>
              <w:tr2bl w:val="nil"/>
            </w:tcBorders>
            <w:noWrap w:val="0"/>
            <w:vAlign w:val="center"/>
          </w:tcPr>
          <w:p w14:paraId="00D2D4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钠碱、石灰</w:t>
            </w:r>
          </w:p>
        </w:tc>
        <w:tc>
          <w:tcPr>
            <w:tcW w:w="729" w:type="pct"/>
            <w:tcBorders>
              <w:tl2br w:val="nil"/>
              <w:tr2bl w:val="nil"/>
            </w:tcBorders>
            <w:noWrap w:val="0"/>
            <w:vAlign w:val="center"/>
          </w:tcPr>
          <w:p w14:paraId="181C35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氨水</w:t>
            </w:r>
          </w:p>
        </w:tc>
      </w:tr>
      <w:tr w14:paraId="5C3B0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059565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市场占有率</w:t>
            </w:r>
          </w:p>
        </w:tc>
        <w:tc>
          <w:tcPr>
            <w:tcW w:w="794" w:type="pct"/>
            <w:tcBorders>
              <w:tl2br w:val="nil"/>
              <w:tr2bl w:val="nil"/>
            </w:tcBorders>
            <w:noWrap w:val="0"/>
            <w:vAlign w:val="center"/>
          </w:tcPr>
          <w:p w14:paraId="6DF6B9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高</w:t>
            </w:r>
          </w:p>
        </w:tc>
        <w:tc>
          <w:tcPr>
            <w:tcW w:w="916" w:type="pct"/>
            <w:tcBorders>
              <w:tl2br w:val="nil"/>
              <w:tr2bl w:val="nil"/>
            </w:tcBorders>
            <w:noWrap w:val="0"/>
            <w:vAlign w:val="center"/>
          </w:tcPr>
          <w:p w14:paraId="09F2AA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低</w:t>
            </w:r>
          </w:p>
        </w:tc>
        <w:tc>
          <w:tcPr>
            <w:tcW w:w="734" w:type="pct"/>
            <w:tcBorders>
              <w:tl2br w:val="nil"/>
              <w:tr2bl w:val="nil"/>
            </w:tcBorders>
            <w:noWrap w:val="0"/>
            <w:vAlign w:val="center"/>
          </w:tcPr>
          <w:p w14:paraId="78343F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中</w:t>
            </w:r>
          </w:p>
        </w:tc>
        <w:tc>
          <w:tcPr>
            <w:tcW w:w="915" w:type="pct"/>
            <w:tcBorders>
              <w:tl2br w:val="nil"/>
              <w:tr2bl w:val="nil"/>
            </w:tcBorders>
            <w:noWrap w:val="0"/>
            <w:vAlign w:val="center"/>
          </w:tcPr>
          <w:p w14:paraId="50F80E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低</w:t>
            </w:r>
          </w:p>
        </w:tc>
        <w:tc>
          <w:tcPr>
            <w:tcW w:w="729" w:type="pct"/>
            <w:tcBorders>
              <w:tl2br w:val="nil"/>
              <w:tr2bl w:val="nil"/>
            </w:tcBorders>
            <w:noWrap w:val="0"/>
            <w:vAlign w:val="center"/>
          </w:tcPr>
          <w:p w14:paraId="7325B2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低</w:t>
            </w:r>
          </w:p>
        </w:tc>
      </w:tr>
      <w:tr w14:paraId="4F7DCB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74C701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副产物</w:t>
            </w:r>
          </w:p>
        </w:tc>
        <w:tc>
          <w:tcPr>
            <w:tcW w:w="794" w:type="pct"/>
            <w:tcBorders>
              <w:tl2br w:val="nil"/>
              <w:tr2bl w:val="nil"/>
            </w:tcBorders>
            <w:noWrap w:val="0"/>
            <w:vAlign w:val="center"/>
          </w:tcPr>
          <w:p w14:paraId="442818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石膏</w:t>
            </w:r>
          </w:p>
        </w:tc>
        <w:tc>
          <w:tcPr>
            <w:tcW w:w="916" w:type="pct"/>
            <w:tcBorders>
              <w:tl2br w:val="nil"/>
              <w:tr2bl w:val="nil"/>
            </w:tcBorders>
            <w:noWrap w:val="0"/>
            <w:vAlign w:val="center"/>
          </w:tcPr>
          <w:p w14:paraId="41313E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石膏</w:t>
            </w:r>
          </w:p>
        </w:tc>
        <w:tc>
          <w:tcPr>
            <w:tcW w:w="734" w:type="pct"/>
            <w:tcBorders>
              <w:tl2br w:val="nil"/>
              <w:tr2bl w:val="nil"/>
            </w:tcBorders>
            <w:noWrap w:val="0"/>
            <w:vAlign w:val="center"/>
          </w:tcPr>
          <w:p w14:paraId="5DAEDE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硫酸镁</w:t>
            </w:r>
          </w:p>
        </w:tc>
        <w:tc>
          <w:tcPr>
            <w:tcW w:w="915" w:type="pct"/>
            <w:tcBorders>
              <w:tl2br w:val="nil"/>
              <w:tr2bl w:val="nil"/>
            </w:tcBorders>
            <w:noWrap w:val="0"/>
            <w:vAlign w:val="center"/>
          </w:tcPr>
          <w:p w14:paraId="352A5D4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石膏</w:t>
            </w:r>
          </w:p>
        </w:tc>
        <w:tc>
          <w:tcPr>
            <w:tcW w:w="729" w:type="pct"/>
            <w:tcBorders>
              <w:tl2br w:val="nil"/>
              <w:tr2bl w:val="nil"/>
            </w:tcBorders>
            <w:noWrap w:val="0"/>
            <w:vAlign w:val="center"/>
          </w:tcPr>
          <w:p w14:paraId="720903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氨水</w:t>
            </w:r>
          </w:p>
        </w:tc>
      </w:tr>
      <w:tr w14:paraId="62E50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454A4A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副产物处置</w:t>
            </w:r>
          </w:p>
        </w:tc>
        <w:tc>
          <w:tcPr>
            <w:tcW w:w="794" w:type="pct"/>
            <w:tcBorders>
              <w:tl2br w:val="nil"/>
              <w:tr2bl w:val="nil"/>
            </w:tcBorders>
            <w:noWrap w:val="0"/>
            <w:vAlign w:val="center"/>
          </w:tcPr>
          <w:p w14:paraId="77BEEE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利用</w:t>
            </w:r>
          </w:p>
        </w:tc>
        <w:tc>
          <w:tcPr>
            <w:tcW w:w="916" w:type="pct"/>
            <w:tcBorders>
              <w:tl2br w:val="nil"/>
              <w:tr2bl w:val="nil"/>
            </w:tcBorders>
            <w:noWrap w:val="0"/>
            <w:vAlign w:val="center"/>
          </w:tcPr>
          <w:p w14:paraId="7E8392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利用</w:t>
            </w:r>
          </w:p>
        </w:tc>
        <w:tc>
          <w:tcPr>
            <w:tcW w:w="734" w:type="pct"/>
            <w:tcBorders>
              <w:tl2br w:val="nil"/>
              <w:tr2bl w:val="nil"/>
            </w:tcBorders>
            <w:noWrap w:val="0"/>
            <w:vAlign w:val="center"/>
          </w:tcPr>
          <w:p w14:paraId="2572FB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利用</w:t>
            </w:r>
          </w:p>
        </w:tc>
        <w:tc>
          <w:tcPr>
            <w:tcW w:w="915" w:type="pct"/>
            <w:tcBorders>
              <w:tl2br w:val="nil"/>
              <w:tr2bl w:val="nil"/>
            </w:tcBorders>
            <w:noWrap w:val="0"/>
            <w:vAlign w:val="center"/>
          </w:tcPr>
          <w:p w14:paraId="5ABEB6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利用</w:t>
            </w:r>
          </w:p>
        </w:tc>
        <w:tc>
          <w:tcPr>
            <w:tcW w:w="729" w:type="pct"/>
            <w:tcBorders>
              <w:tl2br w:val="nil"/>
              <w:tr2bl w:val="nil"/>
            </w:tcBorders>
            <w:noWrap w:val="0"/>
            <w:vAlign w:val="center"/>
          </w:tcPr>
          <w:p w14:paraId="6895A8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利用</w:t>
            </w:r>
          </w:p>
        </w:tc>
      </w:tr>
      <w:tr w14:paraId="71771B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4028E5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工艺成熟度</w:t>
            </w:r>
          </w:p>
        </w:tc>
        <w:tc>
          <w:tcPr>
            <w:tcW w:w="794" w:type="pct"/>
            <w:tcBorders>
              <w:tl2br w:val="nil"/>
              <w:tr2bl w:val="nil"/>
            </w:tcBorders>
            <w:noWrap w:val="0"/>
            <w:vAlign w:val="center"/>
          </w:tcPr>
          <w:p w14:paraId="363F08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成熟</w:t>
            </w:r>
          </w:p>
        </w:tc>
        <w:tc>
          <w:tcPr>
            <w:tcW w:w="916" w:type="pct"/>
            <w:tcBorders>
              <w:tl2br w:val="nil"/>
              <w:tr2bl w:val="nil"/>
            </w:tcBorders>
            <w:noWrap w:val="0"/>
            <w:vAlign w:val="center"/>
          </w:tcPr>
          <w:p w14:paraId="57CD2B0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成熟</w:t>
            </w:r>
          </w:p>
        </w:tc>
        <w:tc>
          <w:tcPr>
            <w:tcW w:w="734" w:type="pct"/>
            <w:tcBorders>
              <w:tl2br w:val="nil"/>
              <w:tr2bl w:val="nil"/>
            </w:tcBorders>
            <w:noWrap w:val="0"/>
            <w:vAlign w:val="center"/>
          </w:tcPr>
          <w:p w14:paraId="3A817B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成熟</w:t>
            </w:r>
          </w:p>
        </w:tc>
        <w:tc>
          <w:tcPr>
            <w:tcW w:w="915" w:type="pct"/>
            <w:tcBorders>
              <w:tl2br w:val="nil"/>
              <w:tr2bl w:val="nil"/>
            </w:tcBorders>
            <w:noWrap w:val="0"/>
            <w:vAlign w:val="center"/>
          </w:tcPr>
          <w:p w14:paraId="6A21DE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成熟</w:t>
            </w:r>
          </w:p>
        </w:tc>
        <w:tc>
          <w:tcPr>
            <w:tcW w:w="729" w:type="pct"/>
            <w:tcBorders>
              <w:tl2br w:val="nil"/>
              <w:tr2bl w:val="nil"/>
            </w:tcBorders>
            <w:noWrap w:val="0"/>
            <w:vAlign w:val="center"/>
          </w:tcPr>
          <w:p w14:paraId="4677CB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成熟</w:t>
            </w:r>
          </w:p>
        </w:tc>
      </w:tr>
      <w:tr w14:paraId="268CC9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7B77C5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废水</w:t>
            </w:r>
          </w:p>
        </w:tc>
        <w:tc>
          <w:tcPr>
            <w:tcW w:w="794" w:type="pct"/>
            <w:tcBorders>
              <w:tl2br w:val="nil"/>
              <w:tr2bl w:val="nil"/>
            </w:tcBorders>
            <w:noWrap w:val="0"/>
            <w:vAlign w:val="center"/>
          </w:tcPr>
          <w:p w14:paraId="0742CB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少量</w:t>
            </w:r>
          </w:p>
        </w:tc>
        <w:tc>
          <w:tcPr>
            <w:tcW w:w="916" w:type="pct"/>
            <w:tcBorders>
              <w:tl2br w:val="nil"/>
              <w:tr2bl w:val="nil"/>
            </w:tcBorders>
            <w:noWrap w:val="0"/>
            <w:vAlign w:val="center"/>
          </w:tcPr>
          <w:p w14:paraId="3E9978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无</w:t>
            </w:r>
          </w:p>
        </w:tc>
        <w:tc>
          <w:tcPr>
            <w:tcW w:w="734" w:type="pct"/>
            <w:tcBorders>
              <w:tl2br w:val="nil"/>
              <w:tr2bl w:val="nil"/>
            </w:tcBorders>
            <w:noWrap w:val="0"/>
            <w:vAlign w:val="center"/>
          </w:tcPr>
          <w:p w14:paraId="0B8F42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大量</w:t>
            </w:r>
          </w:p>
        </w:tc>
        <w:tc>
          <w:tcPr>
            <w:tcW w:w="915" w:type="pct"/>
            <w:tcBorders>
              <w:tl2br w:val="nil"/>
              <w:tr2bl w:val="nil"/>
            </w:tcBorders>
            <w:noWrap w:val="0"/>
            <w:vAlign w:val="center"/>
          </w:tcPr>
          <w:p w14:paraId="60B6A7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少量</w:t>
            </w:r>
          </w:p>
        </w:tc>
        <w:tc>
          <w:tcPr>
            <w:tcW w:w="729" w:type="pct"/>
            <w:tcBorders>
              <w:tl2br w:val="nil"/>
              <w:tr2bl w:val="nil"/>
            </w:tcBorders>
            <w:noWrap w:val="0"/>
            <w:vAlign w:val="center"/>
          </w:tcPr>
          <w:p w14:paraId="1D6F6D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大量</w:t>
            </w:r>
          </w:p>
        </w:tc>
      </w:tr>
      <w:tr w14:paraId="20F057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10" w:type="pct"/>
            <w:tcBorders>
              <w:tl2br w:val="nil"/>
              <w:tr2bl w:val="nil"/>
            </w:tcBorders>
            <w:noWrap w:val="0"/>
            <w:vAlign w:val="center"/>
          </w:tcPr>
          <w:p w14:paraId="57F2DB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药剂市场</w:t>
            </w:r>
          </w:p>
        </w:tc>
        <w:tc>
          <w:tcPr>
            <w:tcW w:w="794" w:type="pct"/>
            <w:tcBorders>
              <w:tl2br w:val="nil"/>
              <w:tr2bl w:val="nil"/>
            </w:tcBorders>
            <w:noWrap w:val="0"/>
            <w:vAlign w:val="center"/>
          </w:tcPr>
          <w:p w14:paraId="427747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大</w:t>
            </w:r>
          </w:p>
        </w:tc>
        <w:tc>
          <w:tcPr>
            <w:tcW w:w="916" w:type="pct"/>
            <w:tcBorders>
              <w:tl2br w:val="nil"/>
              <w:tr2bl w:val="nil"/>
            </w:tcBorders>
            <w:noWrap w:val="0"/>
            <w:vAlign w:val="center"/>
          </w:tcPr>
          <w:p w14:paraId="3296E5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大</w:t>
            </w:r>
          </w:p>
        </w:tc>
        <w:tc>
          <w:tcPr>
            <w:tcW w:w="734" w:type="pct"/>
            <w:tcBorders>
              <w:tl2br w:val="nil"/>
              <w:tr2bl w:val="nil"/>
            </w:tcBorders>
            <w:noWrap w:val="0"/>
            <w:vAlign w:val="center"/>
          </w:tcPr>
          <w:p w14:paraId="1B0FC8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中</w:t>
            </w:r>
          </w:p>
        </w:tc>
        <w:tc>
          <w:tcPr>
            <w:tcW w:w="915" w:type="pct"/>
            <w:tcBorders>
              <w:tl2br w:val="nil"/>
              <w:tr2bl w:val="nil"/>
            </w:tcBorders>
            <w:noWrap w:val="0"/>
            <w:vAlign w:val="center"/>
          </w:tcPr>
          <w:p w14:paraId="70FAE6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中</w:t>
            </w:r>
          </w:p>
        </w:tc>
        <w:tc>
          <w:tcPr>
            <w:tcW w:w="729" w:type="pct"/>
            <w:tcBorders>
              <w:tl2br w:val="nil"/>
              <w:tr2bl w:val="nil"/>
            </w:tcBorders>
            <w:noWrap w:val="0"/>
            <w:vAlign w:val="center"/>
          </w:tcPr>
          <w:p w14:paraId="412C44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少</w:t>
            </w:r>
          </w:p>
        </w:tc>
      </w:tr>
    </w:tbl>
    <w:p w14:paraId="3A36883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锅炉选型为链条热水锅炉，且本项目燃用燃煤含硫量较低，脱硫压力较小。本项目拟采用湿式镁法脱硫工艺，脱硫吸收塔采用超强湍流发生器+喷淋装置的双模装置。锅炉烟气由引风机送入吸收塔预冷段，冷却至适合的温度后进入吸收塔，往上与逆向流下的吸收浆液反应，湿式镁法脱硫法脱去烟气中的硫份。吸收塔顶部安装有除雾器，用以除去净烟气中携带的细小雾滴。净烟气经过除雾器降低烟气中的水分后排入烟囱。粉尘与脏东西附着在除雾器上，会导致除雾器堵塞、系统压损增大，需由除雾器冲洗水泵提供工业水对除雾器进行喷雾清洗。</w:t>
      </w:r>
    </w:p>
    <w:p w14:paraId="08FDADD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（1）吸收过程</w:t>
      </w:r>
    </w:p>
    <w:p w14:paraId="5D1DC04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吸收过程发生的主要反应如下：</w:t>
      </w:r>
    </w:p>
    <w:p w14:paraId="4046C6A0">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auto"/>
          <w:position w:val="2"/>
        </w:rPr>
      </w:pPr>
      <w:r>
        <w:rPr>
          <w:rFonts w:hint="default" w:ascii="Times New Roman" w:hAnsi="Times New Roman" w:eastAsia="宋体" w:cs="Times New Roman"/>
          <w:color w:val="auto"/>
          <w:position w:val="2"/>
        </w:rPr>
        <w:t>Mg(OH)</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rPr>
        <w:t>+ SO</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rPr>
        <w:t>→ MgSO</w:t>
      </w:r>
      <w:r>
        <w:rPr>
          <w:rFonts w:hint="default" w:ascii="Times New Roman" w:hAnsi="Times New Roman" w:eastAsia="宋体" w:cs="Times New Roman"/>
          <w:color w:val="auto"/>
          <w:sz w:val="15"/>
        </w:rPr>
        <w:t xml:space="preserve">3 </w:t>
      </w:r>
      <w:r>
        <w:rPr>
          <w:rFonts w:hint="default" w:ascii="Times New Roman" w:hAnsi="Times New Roman" w:eastAsia="宋体" w:cs="Times New Roman"/>
          <w:color w:val="auto"/>
          <w:position w:val="2"/>
        </w:rPr>
        <w:t>+ H</w:t>
      </w:r>
      <w:r>
        <w:rPr>
          <w:rFonts w:hint="default" w:ascii="Times New Roman" w:hAnsi="Times New Roman" w:eastAsia="宋体" w:cs="Times New Roman"/>
          <w:color w:val="auto"/>
          <w:sz w:val="15"/>
        </w:rPr>
        <w:t>2</w:t>
      </w:r>
      <w:r>
        <w:rPr>
          <w:rFonts w:hint="default" w:ascii="Times New Roman" w:hAnsi="Times New Roman" w:eastAsia="宋体" w:cs="Times New Roman"/>
          <w:color w:val="auto"/>
          <w:position w:val="2"/>
        </w:rPr>
        <w:t>O</w:t>
      </w:r>
    </w:p>
    <w:p w14:paraId="2F8D38FE">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auto"/>
          <w:sz w:val="15"/>
        </w:rPr>
      </w:pPr>
      <w:r>
        <w:rPr>
          <w:rFonts w:hint="default" w:ascii="Times New Roman" w:hAnsi="Times New Roman" w:eastAsia="宋体" w:cs="Times New Roman"/>
          <w:color w:val="auto"/>
          <w:position w:val="2"/>
        </w:rPr>
        <w:t>MgSO</w:t>
      </w:r>
      <w:r>
        <w:rPr>
          <w:rFonts w:hint="default" w:ascii="Times New Roman" w:hAnsi="Times New Roman" w:eastAsia="宋体" w:cs="Times New Roman"/>
          <w:color w:val="auto"/>
          <w:sz w:val="15"/>
        </w:rPr>
        <w:t>3</w:t>
      </w:r>
      <w:r>
        <w:rPr>
          <w:rFonts w:hint="default" w:ascii="Times New Roman" w:hAnsi="Times New Roman" w:eastAsia="宋体" w:cs="Times New Roman"/>
          <w:color w:val="auto"/>
          <w:position w:val="2"/>
        </w:rPr>
        <w:t>+ SO</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rPr>
        <w:t>+ H</w:t>
      </w:r>
      <w:r>
        <w:rPr>
          <w:rFonts w:hint="default" w:ascii="Times New Roman" w:hAnsi="Times New Roman" w:eastAsia="宋体" w:cs="Times New Roman"/>
          <w:color w:val="auto"/>
          <w:sz w:val="15"/>
        </w:rPr>
        <w:t>2</w:t>
      </w:r>
      <w:r>
        <w:rPr>
          <w:rFonts w:hint="default" w:ascii="Times New Roman" w:hAnsi="Times New Roman" w:eastAsia="宋体" w:cs="Times New Roman"/>
          <w:color w:val="auto"/>
          <w:position w:val="2"/>
        </w:rPr>
        <w:t>O →Mg(HSO</w:t>
      </w:r>
      <w:r>
        <w:rPr>
          <w:rFonts w:hint="default" w:ascii="Times New Roman" w:hAnsi="Times New Roman" w:eastAsia="宋体" w:cs="Times New Roman"/>
          <w:color w:val="auto"/>
          <w:sz w:val="15"/>
        </w:rPr>
        <w:t>3</w:t>
      </w:r>
      <w:r>
        <w:rPr>
          <w:rFonts w:hint="default" w:ascii="Times New Roman" w:hAnsi="Times New Roman" w:eastAsia="宋体" w:cs="Times New Roman"/>
          <w:color w:val="auto"/>
          <w:position w:val="2"/>
        </w:rPr>
        <w:t>)</w:t>
      </w:r>
      <w:r>
        <w:rPr>
          <w:rFonts w:hint="default" w:ascii="Times New Roman" w:hAnsi="Times New Roman" w:eastAsia="宋体" w:cs="Times New Roman"/>
          <w:color w:val="auto"/>
          <w:sz w:val="15"/>
        </w:rPr>
        <w:t>2</w:t>
      </w:r>
    </w:p>
    <w:p w14:paraId="10A00B67">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auto"/>
          <w:position w:val="2"/>
          <w:sz w:val="24"/>
        </w:rPr>
      </w:pPr>
      <w:r>
        <w:rPr>
          <w:rFonts w:hint="default" w:ascii="Times New Roman" w:hAnsi="Times New Roman" w:eastAsia="宋体" w:cs="Times New Roman"/>
          <w:color w:val="auto"/>
          <w:position w:val="2"/>
          <w:sz w:val="24"/>
        </w:rPr>
        <w:t>Mg(HSO</w:t>
      </w:r>
      <w:r>
        <w:rPr>
          <w:rFonts w:hint="default" w:ascii="Times New Roman" w:hAnsi="Times New Roman" w:eastAsia="宋体" w:cs="Times New Roman"/>
          <w:color w:val="auto"/>
          <w:sz w:val="15"/>
        </w:rPr>
        <w:t>3</w:t>
      </w:r>
      <w:r>
        <w:rPr>
          <w:rFonts w:hint="default" w:ascii="Times New Roman" w:hAnsi="Times New Roman" w:eastAsia="宋体" w:cs="Times New Roman"/>
          <w:color w:val="auto"/>
          <w:position w:val="2"/>
          <w:sz w:val="24"/>
        </w:rPr>
        <w:t>)</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sz w:val="24"/>
        </w:rPr>
        <w:t>+ Mg(OH)</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sz w:val="24"/>
        </w:rPr>
        <w:t>→ 2MgSO</w:t>
      </w:r>
      <w:r>
        <w:rPr>
          <w:rFonts w:hint="default" w:ascii="Times New Roman" w:hAnsi="Times New Roman" w:eastAsia="宋体" w:cs="Times New Roman"/>
          <w:color w:val="auto"/>
          <w:sz w:val="15"/>
        </w:rPr>
        <w:t>3</w:t>
      </w:r>
      <w:r>
        <w:rPr>
          <w:rFonts w:hint="default" w:ascii="Times New Roman" w:hAnsi="Times New Roman" w:eastAsia="宋体" w:cs="Times New Roman"/>
          <w:color w:val="auto"/>
          <w:position w:val="2"/>
          <w:sz w:val="24"/>
        </w:rPr>
        <w:t>+2H</w:t>
      </w:r>
      <w:r>
        <w:rPr>
          <w:rFonts w:hint="default" w:ascii="Times New Roman" w:hAnsi="Times New Roman" w:eastAsia="宋体" w:cs="Times New Roman"/>
          <w:color w:val="auto"/>
          <w:sz w:val="15"/>
        </w:rPr>
        <w:t>2</w:t>
      </w:r>
      <w:r>
        <w:rPr>
          <w:rFonts w:hint="default" w:ascii="Times New Roman" w:hAnsi="Times New Roman" w:eastAsia="宋体" w:cs="Times New Roman"/>
          <w:color w:val="auto"/>
          <w:position w:val="2"/>
          <w:sz w:val="24"/>
        </w:rPr>
        <w:t>O</w:t>
      </w:r>
    </w:p>
    <w:p w14:paraId="26A2342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吸收了硫分的吸收液落入吸收塔底，吸收塔底部主要为氧化、循环过程。</w:t>
      </w:r>
    </w:p>
    <w:p w14:paraId="024D1A0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（2）氧化过程</w:t>
      </w:r>
    </w:p>
    <w:p w14:paraId="6661B62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由曝气鼓风机向塔底浆液内强制提供大量压缩空气，使得造成化学需氧量的MgSO</w:t>
      </w:r>
      <w:r>
        <w:rPr>
          <w:rFonts w:hint="default" w:ascii="Times New Roman" w:hAnsi="Times New Roman" w:eastAsia="宋体" w:cs="Times New Roman"/>
          <w:color w:val="auto"/>
          <w:sz w:val="24"/>
          <w:szCs w:val="24"/>
          <w:highlight w:val="none"/>
          <w:vertAlign w:val="subscript"/>
          <w:lang w:val="en-US" w:eastAsia="zh-CN"/>
        </w:rPr>
        <w:t>3</w:t>
      </w:r>
      <w:r>
        <w:rPr>
          <w:rFonts w:hint="default" w:ascii="Times New Roman" w:hAnsi="Times New Roman" w:eastAsia="宋体" w:cs="Times New Roman"/>
          <w:color w:val="auto"/>
          <w:sz w:val="24"/>
          <w:szCs w:val="24"/>
          <w:highlight w:val="none"/>
          <w:lang w:val="en-US" w:eastAsia="zh-CN"/>
        </w:rPr>
        <w:t>氧化成MgSO</w:t>
      </w:r>
      <w:r>
        <w:rPr>
          <w:rFonts w:hint="default" w:ascii="Times New Roman" w:hAnsi="Times New Roman" w:eastAsia="宋体" w:cs="Times New Roman"/>
          <w:color w:val="auto"/>
          <w:sz w:val="24"/>
          <w:szCs w:val="24"/>
          <w:highlight w:val="none"/>
          <w:vertAlign w:val="subscript"/>
          <w:lang w:val="en-US" w:eastAsia="zh-CN"/>
        </w:rPr>
        <w:t>4</w:t>
      </w:r>
      <w:r>
        <w:rPr>
          <w:rFonts w:hint="default" w:ascii="Times New Roman" w:hAnsi="Times New Roman" w:eastAsia="宋体" w:cs="Times New Roman"/>
          <w:color w:val="auto"/>
          <w:sz w:val="24"/>
          <w:szCs w:val="24"/>
          <w:highlight w:val="none"/>
          <w:lang w:val="en-US" w:eastAsia="zh-CN"/>
        </w:rPr>
        <w:t>。这个阶段化学反应如下：</w:t>
      </w:r>
    </w:p>
    <w:p w14:paraId="724A1D8C">
      <w:pPr>
        <w:pStyle w:val="16"/>
        <w:keepNext w:val="0"/>
        <w:keepLines w:val="0"/>
        <w:pageBreakBefore w:val="0"/>
        <w:widowControl w:val="0"/>
        <w:kinsoku/>
        <w:wordWrap/>
        <w:overflowPunct/>
        <w:topLinePunct w:val="0"/>
        <w:autoSpaceDE/>
        <w:autoSpaceDN/>
        <w:bidi w:val="0"/>
        <w:adjustRightInd/>
        <w:snapToGrid/>
        <w:spacing w:after="0" w:line="500" w:lineRule="exact"/>
        <w:ind w:left="0" w:right="0" w:firstLine="480" w:firstLineChars="200"/>
        <w:jc w:val="center"/>
        <w:textAlignment w:val="auto"/>
        <w:rPr>
          <w:rFonts w:hint="default" w:ascii="Times New Roman" w:hAnsi="Times New Roman" w:eastAsia="宋体" w:cs="Times New Roman"/>
          <w:color w:val="auto"/>
          <w:sz w:val="15"/>
        </w:rPr>
      </w:pPr>
      <w:r>
        <w:rPr>
          <w:rFonts w:hint="default" w:ascii="Times New Roman" w:hAnsi="Times New Roman" w:eastAsia="宋体" w:cs="Times New Roman"/>
          <w:color w:val="auto"/>
          <w:position w:val="2"/>
        </w:rPr>
        <w:t>MgSO</w:t>
      </w:r>
      <w:r>
        <w:rPr>
          <w:rFonts w:hint="default" w:ascii="Times New Roman" w:hAnsi="Times New Roman" w:eastAsia="宋体" w:cs="Times New Roman"/>
          <w:color w:val="auto"/>
          <w:sz w:val="15"/>
        </w:rPr>
        <w:t xml:space="preserve">3 </w:t>
      </w:r>
      <w:r>
        <w:rPr>
          <w:rFonts w:hint="default" w:ascii="Times New Roman" w:hAnsi="Times New Roman" w:eastAsia="宋体" w:cs="Times New Roman"/>
          <w:color w:val="auto"/>
          <w:position w:val="2"/>
        </w:rPr>
        <w:t>+ 1/2O</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spacing w:val="-17"/>
          <w:position w:val="2"/>
        </w:rPr>
        <w:t xml:space="preserve">→ </w:t>
      </w:r>
      <w:r>
        <w:rPr>
          <w:rFonts w:hint="default" w:ascii="Times New Roman" w:hAnsi="Times New Roman" w:eastAsia="宋体" w:cs="Times New Roman"/>
          <w:color w:val="auto"/>
          <w:position w:val="2"/>
        </w:rPr>
        <w:t>MgSO</w:t>
      </w:r>
      <w:r>
        <w:rPr>
          <w:rFonts w:hint="default" w:ascii="Times New Roman" w:hAnsi="Times New Roman" w:eastAsia="宋体" w:cs="Times New Roman"/>
          <w:color w:val="auto"/>
          <w:sz w:val="15"/>
        </w:rPr>
        <w:t>4</w:t>
      </w:r>
    </w:p>
    <w:p w14:paraId="77E06E38">
      <w:pPr>
        <w:keepNext w:val="0"/>
        <w:keepLines w:val="0"/>
        <w:pageBreakBefore w:val="0"/>
        <w:widowControl w:val="0"/>
        <w:kinsoku/>
        <w:wordWrap/>
        <w:overflowPunct/>
        <w:topLinePunct w:val="0"/>
        <w:autoSpaceDE/>
        <w:autoSpaceDN/>
        <w:bidi w:val="0"/>
        <w:adjustRightInd/>
        <w:snapToGrid/>
        <w:spacing w:line="500" w:lineRule="exact"/>
        <w:ind w:left="0" w:right="0" w:firstLine="480" w:firstLineChars="200"/>
        <w:jc w:val="center"/>
        <w:textAlignment w:val="auto"/>
        <w:rPr>
          <w:rFonts w:hint="default" w:ascii="Times New Roman" w:hAnsi="Times New Roman" w:eastAsia="宋体" w:cs="Times New Roman"/>
          <w:color w:val="auto"/>
          <w:sz w:val="15"/>
        </w:rPr>
      </w:pPr>
      <w:r>
        <w:rPr>
          <w:rFonts w:hint="default" w:ascii="Times New Roman" w:hAnsi="Times New Roman" w:eastAsia="宋体" w:cs="Times New Roman"/>
          <w:color w:val="auto"/>
          <w:position w:val="2"/>
          <w:sz w:val="24"/>
        </w:rPr>
        <w:t>Mg(HSO</w:t>
      </w:r>
      <w:r>
        <w:rPr>
          <w:rFonts w:hint="default" w:ascii="Times New Roman" w:hAnsi="Times New Roman" w:eastAsia="宋体" w:cs="Times New Roman"/>
          <w:color w:val="auto"/>
          <w:sz w:val="15"/>
        </w:rPr>
        <w:t>3</w:t>
      </w:r>
      <w:r>
        <w:rPr>
          <w:rFonts w:hint="default" w:ascii="Times New Roman" w:hAnsi="Times New Roman" w:eastAsia="宋体" w:cs="Times New Roman"/>
          <w:color w:val="auto"/>
          <w:position w:val="2"/>
          <w:sz w:val="24"/>
        </w:rPr>
        <w:t>)</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sz w:val="24"/>
        </w:rPr>
        <w:t>+ 1/2O</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sz w:val="24"/>
        </w:rPr>
        <w:t>→ MgSO</w:t>
      </w:r>
      <w:r>
        <w:rPr>
          <w:rFonts w:hint="default" w:ascii="Times New Roman" w:hAnsi="Times New Roman" w:eastAsia="宋体" w:cs="Times New Roman"/>
          <w:color w:val="auto"/>
          <w:sz w:val="15"/>
        </w:rPr>
        <w:t xml:space="preserve">4 </w:t>
      </w:r>
      <w:r>
        <w:rPr>
          <w:rFonts w:hint="default" w:ascii="Times New Roman" w:hAnsi="Times New Roman" w:eastAsia="宋体" w:cs="Times New Roman"/>
          <w:color w:val="auto"/>
          <w:position w:val="2"/>
          <w:sz w:val="24"/>
        </w:rPr>
        <w:t>+ H2SO</w:t>
      </w:r>
      <w:r>
        <w:rPr>
          <w:rFonts w:hint="default" w:ascii="Times New Roman" w:hAnsi="Times New Roman" w:eastAsia="宋体" w:cs="Times New Roman"/>
          <w:color w:val="auto"/>
          <w:sz w:val="15"/>
        </w:rPr>
        <w:t>3</w:t>
      </w:r>
    </w:p>
    <w:p w14:paraId="7B3C10D4">
      <w:pPr>
        <w:keepNext w:val="0"/>
        <w:keepLines w:val="0"/>
        <w:pageBreakBefore w:val="0"/>
        <w:widowControl w:val="0"/>
        <w:kinsoku/>
        <w:wordWrap/>
        <w:overflowPunct/>
        <w:topLinePunct w:val="0"/>
        <w:autoSpaceDE/>
        <w:autoSpaceDN/>
        <w:bidi w:val="0"/>
        <w:adjustRightInd/>
        <w:snapToGrid/>
        <w:spacing w:line="500" w:lineRule="exact"/>
        <w:ind w:left="0" w:right="0" w:firstLine="480" w:firstLineChars="200"/>
        <w:jc w:val="center"/>
        <w:textAlignment w:val="auto"/>
        <w:rPr>
          <w:rFonts w:hint="default" w:ascii="Times New Roman" w:hAnsi="Times New Roman" w:eastAsia="宋体" w:cs="Times New Roman"/>
          <w:color w:val="auto"/>
          <w:position w:val="2"/>
          <w:sz w:val="24"/>
        </w:rPr>
      </w:pPr>
      <w:r>
        <w:rPr>
          <w:rFonts w:hint="default" w:ascii="Times New Roman" w:hAnsi="Times New Roman" w:eastAsia="宋体" w:cs="Times New Roman"/>
          <w:color w:val="auto"/>
          <w:position w:val="2"/>
          <w:sz w:val="24"/>
        </w:rPr>
        <w:t>H</w:t>
      </w:r>
      <w:r>
        <w:rPr>
          <w:rFonts w:hint="default" w:ascii="Times New Roman" w:hAnsi="Times New Roman" w:eastAsia="宋体" w:cs="Times New Roman"/>
          <w:color w:val="auto"/>
          <w:sz w:val="15"/>
        </w:rPr>
        <w:t>2</w:t>
      </w:r>
      <w:r>
        <w:rPr>
          <w:rFonts w:hint="default" w:ascii="Times New Roman" w:hAnsi="Times New Roman" w:eastAsia="宋体" w:cs="Times New Roman"/>
          <w:color w:val="auto"/>
          <w:position w:val="2"/>
          <w:sz w:val="24"/>
        </w:rPr>
        <w:t>SO</w:t>
      </w:r>
      <w:r>
        <w:rPr>
          <w:rFonts w:hint="default" w:ascii="Times New Roman" w:hAnsi="Times New Roman" w:eastAsia="宋体" w:cs="Times New Roman"/>
          <w:color w:val="auto"/>
          <w:sz w:val="15"/>
        </w:rPr>
        <w:t xml:space="preserve">3 </w:t>
      </w:r>
      <w:r>
        <w:rPr>
          <w:rFonts w:hint="default" w:ascii="Times New Roman" w:hAnsi="Times New Roman" w:eastAsia="宋体" w:cs="Times New Roman"/>
          <w:color w:val="auto"/>
          <w:position w:val="2"/>
          <w:sz w:val="24"/>
        </w:rPr>
        <w:t>+ Mg(OH)</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sz w:val="24"/>
        </w:rPr>
        <w:t>→ MgSO</w:t>
      </w:r>
      <w:r>
        <w:rPr>
          <w:rFonts w:hint="default" w:ascii="Times New Roman" w:hAnsi="Times New Roman" w:eastAsia="宋体" w:cs="Times New Roman"/>
          <w:color w:val="auto"/>
          <w:sz w:val="15"/>
        </w:rPr>
        <w:t xml:space="preserve">3 </w:t>
      </w:r>
      <w:r>
        <w:rPr>
          <w:rFonts w:hint="default" w:ascii="Times New Roman" w:hAnsi="Times New Roman" w:eastAsia="宋体" w:cs="Times New Roman"/>
          <w:color w:val="auto"/>
          <w:position w:val="2"/>
          <w:sz w:val="24"/>
        </w:rPr>
        <w:t>+ 2H</w:t>
      </w:r>
      <w:r>
        <w:rPr>
          <w:rFonts w:hint="default" w:ascii="Times New Roman" w:hAnsi="Times New Roman" w:eastAsia="宋体" w:cs="Times New Roman"/>
          <w:color w:val="auto"/>
          <w:sz w:val="15"/>
        </w:rPr>
        <w:t>2</w:t>
      </w:r>
      <w:r>
        <w:rPr>
          <w:rFonts w:hint="default" w:ascii="Times New Roman" w:hAnsi="Times New Roman" w:eastAsia="宋体" w:cs="Times New Roman"/>
          <w:color w:val="auto"/>
          <w:position w:val="2"/>
          <w:sz w:val="24"/>
        </w:rPr>
        <w:t>O</w:t>
      </w:r>
    </w:p>
    <w:p w14:paraId="1AED6378">
      <w:pPr>
        <w:keepNext w:val="0"/>
        <w:keepLines w:val="0"/>
        <w:pageBreakBefore w:val="0"/>
        <w:widowControl w:val="0"/>
        <w:kinsoku/>
        <w:wordWrap/>
        <w:overflowPunct/>
        <w:topLinePunct w:val="0"/>
        <w:autoSpaceDE/>
        <w:autoSpaceDN/>
        <w:bidi w:val="0"/>
        <w:adjustRightInd/>
        <w:snapToGrid/>
        <w:spacing w:line="500" w:lineRule="exact"/>
        <w:ind w:left="0" w:right="0" w:firstLine="480" w:firstLineChars="200"/>
        <w:jc w:val="center"/>
        <w:textAlignment w:val="auto"/>
        <w:rPr>
          <w:rFonts w:hint="default" w:ascii="Times New Roman" w:hAnsi="Times New Roman" w:eastAsia="宋体" w:cs="Times New Roman"/>
          <w:color w:val="auto"/>
          <w:sz w:val="15"/>
        </w:rPr>
      </w:pPr>
      <w:r>
        <w:rPr>
          <w:rFonts w:hint="default" w:ascii="Times New Roman" w:hAnsi="Times New Roman" w:eastAsia="宋体" w:cs="Times New Roman"/>
          <w:color w:val="auto"/>
          <w:position w:val="2"/>
          <w:sz w:val="24"/>
        </w:rPr>
        <w:t>MgSO</w:t>
      </w:r>
      <w:r>
        <w:rPr>
          <w:rFonts w:hint="default" w:ascii="Times New Roman" w:hAnsi="Times New Roman" w:eastAsia="宋体" w:cs="Times New Roman"/>
          <w:color w:val="auto"/>
          <w:sz w:val="15"/>
        </w:rPr>
        <w:t xml:space="preserve">3 </w:t>
      </w:r>
      <w:r>
        <w:rPr>
          <w:rFonts w:hint="default" w:ascii="Times New Roman" w:hAnsi="Times New Roman" w:eastAsia="宋体" w:cs="Times New Roman"/>
          <w:color w:val="auto"/>
          <w:position w:val="2"/>
          <w:sz w:val="24"/>
        </w:rPr>
        <w:t>+ 1/2O</w:t>
      </w:r>
      <w:r>
        <w:rPr>
          <w:rFonts w:hint="default" w:ascii="Times New Roman" w:hAnsi="Times New Roman" w:eastAsia="宋体" w:cs="Times New Roman"/>
          <w:color w:val="auto"/>
          <w:sz w:val="15"/>
        </w:rPr>
        <w:t xml:space="preserve">2 </w:t>
      </w:r>
      <w:r>
        <w:rPr>
          <w:rFonts w:hint="default" w:ascii="Times New Roman" w:hAnsi="Times New Roman" w:eastAsia="宋体" w:cs="Times New Roman"/>
          <w:color w:val="auto"/>
          <w:position w:val="2"/>
          <w:sz w:val="24"/>
        </w:rPr>
        <w:t>→</w:t>
      </w:r>
      <w:r>
        <w:rPr>
          <w:rFonts w:hint="default" w:ascii="Times New Roman" w:hAnsi="Times New Roman" w:eastAsia="宋体" w:cs="Times New Roman"/>
          <w:color w:val="auto"/>
          <w:spacing w:val="-33"/>
          <w:position w:val="2"/>
          <w:sz w:val="24"/>
        </w:rPr>
        <w:t xml:space="preserve"> </w:t>
      </w:r>
      <w:r>
        <w:rPr>
          <w:rFonts w:hint="default" w:ascii="Times New Roman" w:hAnsi="Times New Roman" w:eastAsia="宋体" w:cs="Times New Roman"/>
          <w:color w:val="auto"/>
          <w:position w:val="2"/>
          <w:sz w:val="24"/>
        </w:rPr>
        <w:t>MgSO</w:t>
      </w:r>
      <w:r>
        <w:rPr>
          <w:rFonts w:hint="default" w:ascii="Times New Roman" w:hAnsi="Times New Roman" w:eastAsia="宋体" w:cs="Times New Roman"/>
          <w:color w:val="auto"/>
          <w:sz w:val="15"/>
        </w:rPr>
        <w:t>4</w:t>
      </w:r>
    </w:p>
    <w:p w14:paraId="41D5AC5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（3）固液分离</w:t>
      </w:r>
    </w:p>
    <w:p w14:paraId="5DB27E9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脱硫后的吸收液内部会形成大量MgSO</w:t>
      </w:r>
      <w:r>
        <w:rPr>
          <w:rFonts w:hint="default" w:ascii="Times New Roman" w:hAnsi="Times New Roman" w:eastAsia="宋体" w:cs="Times New Roman"/>
          <w:color w:val="auto"/>
          <w:sz w:val="24"/>
          <w:szCs w:val="24"/>
          <w:highlight w:val="none"/>
          <w:vertAlign w:val="subscript"/>
          <w:lang w:val="en-US" w:eastAsia="zh-CN"/>
        </w:rPr>
        <w:t>3</w:t>
      </w:r>
      <w:r>
        <w:rPr>
          <w:rFonts w:hint="default" w:ascii="Times New Roman" w:hAnsi="Times New Roman" w:eastAsia="宋体" w:cs="Times New Roman"/>
          <w:color w:val="auto"/>
          <w:sz w:val="24"/>
          <w:szCs w:val="24"/>
          <w:highlight w:val="none"/>
          <w:lang w:val="en-US" w:eastAsia="zh-CN"/>
        </w:rPr>
        <w:t>结晶体，在曝气鼓风机的作用下，溶液中MgSO</w:t>
      </w:r>
      <w:r>
        <w:rPr>
          <w:rFonts w:hint="default" w:ascii="Times New Roman" w:hAnsi="Times New Roman" w:eastAsia="宋体" w:cs="Times New Roman"/>
          <w:color w:val="auto"/>
          <w:sz w:val="24"/>
          <w:szCs w:val="24"/>
          <w:highlight w:val="none"/>
          <w:vertAlign w:val="subscript"/>
          <w:lang w:val="en-US" w:eastAsia="zh-CN"/>
        </w:rPr>
        <w:t>3</w:t>
      </w:r>
      <w:r>
        <w:rPr>
          <w:rFonts w:hint="default" w:ascii="Times New Roman" w:hAnsi="Times New Roman" w:eastAsia="宋体" w:cs="Times New Roman"/>
          <w:color w:val="auto"/>
          <w:sz w:val="24"/>
          <w:szCs w:val="24"/>
          <w:highlight w:val="none"/>
          <w:lang w:val="en-US" w:eastAsia="zh-CN"/>
        </w:rPr>
        <w:t>氧化成MgSO</w:t>
      </w:r>
      <w:r>
        <w:rPr>
          <w:rFonts w:hint="default" w:ascii="Times New Roman" w:hAnsi="Times New Roman" w:eastAsia="宋体" w:cs="Times New Roman"/>
          <w:color w:val="auto"/>
          <w:sz w:val="24"/>
          <w:szCs w:val="24"/>
          <w:highlight w:val="none"/>
          <w:vertAlign w:val="subscript"/>
          <w:lang w:val="en-US" w:eastAsia="zh-CN"/>
        </w:rPr>
        <w:t>4</w:t>
      </w:r>
      <w:r>
        <w:rPr>
          <w:rFonts w:hint="default" w:ascii="Times New Roman" w:hAnsi="Times New Roman" w:eastAsia="宋体" w:cs="Times New Roman"/>
          <w:color w:val="auto"/>
          <w:sz w:val="24"/>
          <w:szCs w:val="24"/>
          <w:highlight w:val="none"/>
          <w:lang w:val="en-US" w:eastAsia="zh-CN"/>
        </w:rPr>
        <w:t>，逐渐形成MgSO</w:t>
      </w:r>
      <w:r>
        <w:rPr>
          <w:rFonts w:hint="default" w:ascii="Times New Roman" w:hAnsi="Times New Roman" w:eastAsia="宋体" w:cs="Times New Roman"/>
          <w:color w:val="auto"/>
          <w:sz w:val="24"/>
          <w:szCs w:val="24"/>
          <w:highlight w:val="none"/>
          <w:vertAlign w:val="subscript"/>
          <w:lang w:val="en-US" w:eastAsia="zh-CN"/>
        </w:rPr>
        <w:t>4</w:t>
      </w:r>
      <w:r>
        <w:rPr>
          <w:rFonts w:hint="default" w:ascii="Times New Roman" w:hAnsi="Times New Roman" w:eastAsia="宋体" w:cs="Times New Roman"/>
          <w:color w:val="auto"/>
          <w:sz w:val="24"/>
          <w:szCs w:val="24"/>
          <w:highlight w:val="none"/>
          <w:lang w:val="en-US" w:eastAsia="zh-CN"/>
        </w:rPr>
        <w:t>的过饱和溶液，大量的MgSO</w:t>
      </w:r>
      <w:r>
        <w:rPr>
          <w:rFonts w:hint="default" w:ascii="Times New Roman" w:hAnsi="Times New Roman" w:eastAsia="宋体" w:cs="Times New Roman"/>
          <w:color w:val="auto"/>
          <w:sz w:val="24"/>
          <w:szCs w:val="24"/>
          <w:highlight w:val="none"/>
          <w:vertAlign w:val="subscript"/>
          <w:lang w:val="en-US" w:eastAsia="zh-CN"/>
        </w:rPr>
        <w:t>4</w:t>
      </w:r>
      <w:r>
        <w:rPr>
          <w:rFonts w:hint="default" w:ascii="Times New Roman" w:hAnsi="Times New Roman" w:eastAsia="宋体" w:cs="Times New Roman"/>
          <w:color w:val="auto"/>
          <w:sz w:val="24"/>
          <w:szCs w:val="24"/>
          <w:highlight w:val="none"/>
          <w:lang w:val="en-US" w:eastAsia="zh-CN"/>
        </w:rPr>
        <w:t>结晶体从溶液中析出，通过板式压滤机的作用实现固液分离，分离后的废渣外售综合利用。</w:t>
      </w:r>
    </w:p>
    <w:p w14:paraId="5B39F16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（4）循环过程</w:t>
      </w:r>
    </w:p>
    <w:p w14:paraId="17BB066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将落入塔底的吸收液经浆液循环泵重新输送至吸收塔上部吸收区。塔底吸收液pH由自动喷注的20%氢氧化镁浆液调整，而且与酸碱计连锁控制。当塔底浆液pH低于设定值时，氢氧化镁浆液通过输送泵自动补充到吸收塔底，在塔底搅拌器的作用下使浆液混合均匀，至pH达到设定值时停止补充氢氧化镁浆液。20%氢氧化镁溶液由氧化镁粉加热水熟化产生。该工艺适用于任何含硫量的煤种的烟气脱硫，脱硫效率可达90%~98％。脱硫渣外售综合利用。</w:t>
      </w:r>
    </w:p>
    <w:p w14:paraId="1B055A6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根据《排污许可证申请与核发技术规范  锅炉》（HJ953-2018）表7锅炉烟气污染防治可行技术，燃煤锅炉优选燃用低硫煤，并结合脱硫效率达到要求的干法/半干法或者湿法（包括石灰石-石膏法、氧化镁法和钠碱法等）烟气脱硫技术，湿法氧化镁法脱硫属于烟气污染防治可行技术。</w:t>
      </w:r>
    </w:p>
    <w:p w14:paraId="54DBCDD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现有工程采用镁法脱硫工艺，根据现有工程脱硫运行情况可知，镁法脱硫效率较高，</w:t>
      </w:r>
      <w:r>
        <w:rPr>
          <w:rFonts w:hint="default" w:ascii="Times New Roman" w:hAnsi="Times New Roman" w:eastAsia="宋体" w:cs="Times New Roman"/>
          <w:color w:val="auto"/>
          <w:sz w:val="24"/>
          <w:szCs w:val="24"/>
          <w:highlight w:val="none"/>
          <w:lang w:val="en-US" w:eastAsia="zh-CN"/>
        </w:rPr>
        <w:t>脱硫效果分析：设计脱硫效率90%~98%，本项目保守取值90%，可确保本项目SO</w:t>
      </w:r>
      <w:r>
        <w:rPr>
          <w:rFonts w:hint="default" w:ascii="Times New Roman" w:hAnsi="Times New Roman" w:eastAsia="宋体" w:cs="Times New Roman"/>
          <w:color w:val="auto"/>
          <w:sz w:val="24"/>
          <w:szCs w:val="24"/>
          <w:highlight w:val="none"/>
          <w:vertAlign w:val="subscript"/>
          <w:lang w:val="en-US" w:eastAsia="zh-CN"/>
        </w:rPr>
        <w:t>2</w:t>
      </w:r>
      <w:r>
        <w:rPr>
          <w:rFonts w:hint="default" w:ascii="Times New Roman" w:hAnsi="Times New Roman" w:eastAsia="宋体" w:cs="Times New Roman"/>
          <w:color w:val="auto"/>
          <w:sz w:val="24"/>
          <w:szCs w:val="24"/>
          <w:highlight w:val="none"/>
          <w:lang w:val="en-US" w:eastAsia="zh-CN"/>
        </w:rPr>
        <w:t>排放浓度低于《锅炉大气污染物排放标准》（GB13271-2014）表2标准300mg/m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的标准要求。</w:t>
      </w:r>
    </w:p>
    <w:p w14:paraId="74080198">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7.2.1.3 本项目NO</w:t>
      </w:r>
      <w:r>
        <w:rPr>
          <w:rFonts w:hint="default" w:ascii="Times New Roman" w:hAnsi="Times New Roman" w:eastAsia="宋体" w:cs="Times New Roman"/>
          <w:b/>
          <w:bCs w:val="0"/>
          <w:color w:val="auto"/>
          <w:sz w:val="24"/>
          <w:szCs w:val="24"/>
          <w:vertAlign w:val="subscript"/>
          <w:lang w:val="en-US" w:eastAsia="zh-CN"/>
        </w:rPr>
        <w:t>x</w:t>
      </w:r>
      <w:r>
        <w:rPr>
          <w:rFonts w:hint="default" w:ascii="Times New Roman" w:hAnsi="Times New Roman" w:eastAsia="宋体" w:cs="Times New Roman"/>
          <w:b/>
          <w:bCs w:val="0"/>
          <w:color w:val="auto"/>
          <w:sz w:val="24"/>
          <w:szCs w:val="24"/>
          <w:lang w:val="en-US" w:eastAsia="zh-CN"/>
        </w:rPr>
        <w:t>污染防治措施</w:t>
      </w:r>
    </w:p>
    <w:p w14:paraId="26005E2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（1）烟气脱硝工艺的选择</w:t>
      </w:r>
    </w:p>
    <w:p w14:paraId="36E68D1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en-US" w:eastAsia="zh-CN"/>
        </w:rPr>
        <w:t>根据《工业锅炉污染防治可行技术指南》（HJ1178-2021）“6.1.4氮氧化物治理技术”中提到工业锅炉烟气脱硝技术主要有</w:t>
      </w:r>
      <w:r>
        <w:rPr>
          <w:rFonts w:hint="default" w:ascii="Times New Roman" w:hAnsi="Times New Roman" w:eastAsia="宋体" w:cs="Times New Roman"/>
          <w:color w:val="auto"/>
          <w:sz w:val="24"/>
          <w:szCs w:val="24"/>
          <w:highlight w:val="none"/>
          <w:lang w:val="zh-CN" w:eastAsia="zh-CN"/>
        </w:rPr>
        <w:t>选择性催化还原技术（</w:t>
      </w:r>
      <w:r>
        <w:rPr>
          <w:rFonts w:hint="default" w:ascii="Times New Roman" w:hAnsi="Times New Roman" w:eastAsia="宋体" w:cs="Times New Roman"/>
          <w:color w:val="auto"/>
          <w:sz w:val="24"/>
          <w:szCs w:val="24"/>
          <w:highlight w:val="none"/>
          <w:lang w:val="en-US" w:eastAsia="zh-CN"/>
        </w:rPr>
        <w:t>SCR</w:t>
      </w:r>
      <w:r>
        <w:rPr>
          <w:rFonts w:hint="default" w:ascii="Times New Roman" w:hAnsi="Times New Roman" w:eastAsia="宋体" w:cs="Times New Roman"/>
          <w:color w:val="auto"/>
          <w:sz w:val="24"/>
          <w:szCs w:val="24"/>
          <w:highlight w:val="none"/>
          <w:lang w:val="zh-CN" w:eastAsia="zh-CN"/>
        </w:rPr>
        <w:t>）、选择性非催化还原技术（</w:t>
      </w:r>
      <w:r>
        <w:rPr>
          <w:rFonts w:hint="default" w:ascii="Times New Roman" w:hAnsi="Times New Roman" w:eastAsia="宋体" w:cs="Times New Roman"/>
          <w:color w:val="auto"/>
          <w:sz w:val="24"/>
          <w:szCs w:val="24"/>
          <w:highlight w:val="none"/>
          <w:lang w:val="en-US" w:eastAsia="zh-CN"/>
        </w:rPr>
        <w:t>SNCR</w:t>
      </w:r>
      <w:r>
        <w:rPr>
          <w:rFonts w:hint="default" w:ascii="Times New Roman" w:hAnsi="Times New Roman" w:eastAsia="宋体" w:cs="Times New Roman"/>
          <w:color w:val="auto"/>
          <w:sz w:val="24"/>
          <w:szCs w:val="24"/>
          <w:highlight w:val="none"/>
          <w:lang w:val="zh-CN" w:eastAsia="zh-CN"/>
        </w:rPr>
        <w:t>）和</w:t>
      </w:r>
      <w:r>
        <w:rPr>
          <w:rFonts w:hint="default" w:ascii="Times New Roman" w:hAnsi="Times New Roman" w:eastAsia="宋体" w:cs="Times New Roman"/>
          <w:color w:val="auto"/>
          <w:sz w:val="24"/>
          <w:szCs w:val="24"/>
          <w:highlight w:val="none"/>
          <w:lang w:val="en-US" w:eastAsia="zh-CN"/>
        </w:rPr>
        <w:t>SNCR-SCR联合脱硝技术。各个脱硝技术比选见表7.2-</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val="en-US" w:eastAsia="zh-CN"/>
        </w:rPr>
        <w:t>。</w:t>
      </w:r>
    </w:p>
    <w:p w14:paraId="293F91B7">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val="zh-CN" w:eastAsia="zh-CN"/>
        </w:rPr>
        <w:t>表</w:t>
      </w:r>
      <w:r>
        <w:rPr>
          <w:rFonts w:hint="default" w:ascii="Times New Roman" w:hAnsi="Times New Roman" w:eastAsia="宋体" w:cs="Times New Roman"/>
          <w:b/>
          <w:bCs/>
          <w:color w:val="auto"/>
          <w:sz w:val="24"/>
          <w:szCs w:val="24"/>
          <w:lang w:eastAsia="zh-CN"/>
        </w:rPr>
        <w:t>7.2-</w:t>
      </w:r>
      <w:r>
        <w:rPr>
          <w:rFonts w:hint="eastAsia" w:ascii="Times New Roman" w:hAnsi="Times New Roman" w:eastAsia="宋体" w:cs="Times New Roman"/>
          <w:b/>
          <w:bCs/>
          <w:color w:val="auto"/>
          <w:sz w:val="24"/>
          <w:szCs w:val="24"/>
          <w:lang w:val="en-US" w:eastAsia="zh-CN"/>
        </w:rPr>
        <w:t>2</w:t>
      </w:r>
      <w:r>
        <w:rPr>
          <w:rFonts w:hint="default" w:ascii="Times New Roman" w:hAnsi="Times New Roman" w:eastAsia="宋体" w:cs="Times New Roman"/>
          <w:b/>
          <w:bCs/>
          <w:color w:val="auto"/>
          <w:sz w:val="24"/>
          <w:szCs w:val="24"/>
          <w:lang w:eastAsia="zh-CN"/>
        </w:rPr>
        <w:t xml:space="preserve">  SCR、SNCR和SNCR+SCR联合技术经济比较</w:t>
      </w:r>
    </w:p>
    <w:tbl>
      <w:tblPr>
        <w:tblStyle w:val="40"/>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67"/>
        <w:gridCol w:w="2464"/>
        <w:gridCol w:w="2067"/>
        <w:gridCol w:w="2921"/>
      </w:tblGrid>
      <w:tr w14:paraId="5A004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7FA6BF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w:t>
            </w:r>
          </w:p>
        </w:tc>
        <w:tc>
          <w:tcPr>
            <w:tcW w:w="1446" w:type="pct"/>
            <w:tcBorders>
              <w:tl2br w:val="nil"/>
              <w:tr2bl w:val="nil"/>
            </w:tcBorders>
            <w:noWrap w:val="0"/>
            <w:vAlign w:val="center"/>
          </w:tcPr>
          <w:p w14:paraId="1AD442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SCR技术</w:t>
            </w:r>
          </w:p>
        </w:tc>
        <w:tc>
          <w:tcPr>
            <w:tcW w:w="1213" w:type="pct"/>
            <w:tcBorders>
              <w:tl2br w:val="nil"/>
              <w:tr2bl w:val="nil"/>
            </w:tcBorders>
            <w:noWrap w:val="0"/>
            <w:vAlign w:val="center"/>
          </w:tcPr>
          <w:p w14:paraId="798E83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SNCR技术</w:t>
            </w:r>
          </w:p>
        </w:tc>
        <w:tc>
          <w:tcPr>
            <w:tcW w:w="1714" w:type="pct"/>
            <w:tcBorders>
              <w:tl2br w:val="nil"/>
              <w:tr2bl w:val="nil"/>
            </w:tcBorders>
            <w:noWrap w:val="0"/>
            <w:vAlign w:val="center"/>
          </w:tcPr>
          <w:p w14:paraId="0399F9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SNCR-SCR混合技术</w:t>
            </w:r>
          </w:p>
        </w:tc>
      </w:tr>
      <w:tr w14:paraId="565EB6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3D1AA1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反应剂</w:t>
            </w:r>
          </w:p>
        </w:tc>
        <w:tc>
          <w:tcPr>
            <w:tcW w:w="1446" w:type="pct"/>
            <w:tcBorders>
              <w:tl2br w:val="nil"/>
              <w:tr2bl w:val="nil"/>
            </w:tcBorders>
            <w:noWrap w:val="0"/>
            <w:vAlign w:val="center"/>
          </w:tcPr>
          <w:p w14:paraId="164C3B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可使用NH</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或尿素</w:t>
            </w:r>
          </w:p>
        </w:tc>
        <w:tc>
          <w:tcPr>
            <w:tcW w:w="1213" w:type="pct"/>
            <w:tcBorders>
              <w:tl2br w:val="nil"/>
              <w:tr2bl w:val="nil"/>
            </w:tcBorders>
            <w:noWrap w:val="0"/>
            <w:vAlign w:val="center"/>
          </w:tcPr>
          <w:p w14:paraId="223F50C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可使用NH</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或尿素</w:t>
            </w:r>
          </w:p>
        </w:tc>
        <w:tc>
          <w:tcPr>
            <w:tcW w:w="1714" w:type="pct"/>
            <w:tcBorders>
              <w:tl2br w:val="nil"/>
              <w:tr2bl w:val="nil"/>
            </w:tcBorders>
            <w:noWrap w:val="0"/>
            <w:vAlign w:val="center"/>
          </w:tcPr>
          <w:p w14:paraId="2A346C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可使用NH</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或尿素</w:t>
            </w:r>
          </w:p>
        </w:tc>
      </w:tr>
      <w:tr w14:paraId="1AAEF0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184056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反应温度</w:t>
            </w:r>
          </w:p>
        </w:tc>
        <w:tc>
          <w:tcPr>
            <w:tcW w:w="1446" w:type="pct"/>
            <w:tcBorders>
              <w:tl2br w:val="nil"/>
              <w:tr2bl w:val="nil"/>
            </w:tcBorders>
            <w:noWrap w:val="0"/>
            <w:vAlign w:val="center"/>
          </w:tcPr>
          <w:p w14:paraId="44AB7E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300～400℃</w:t>
            </w:r>
          </w:p>
        </w:tc>
        <w:tc>
          <w:tcPr>
            <w:tcW w:w="1213" w:type="pct"/>
            <w:tcBorders>
              <w:tl2br w:val="nil"/>
              <w:tr2bl w:val="nil"/>
            </w:tcBorders>
            <w:noWrap w:val="0"/>
            <w:vAlign w:val="center"/>
          </w:tcPr>
          <w:p w14:paraId="039AB8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800～1250℃</w:t>
            </w:r>
          </w:p>
        </w:tc>
        <w:tc>
          <w:tcPr>
            <w:tcW w:w="1714" w:type="pct"/>
            <w:tcBorders>
              <w:tl2br w:val="nil"/>
              <w:tr2bl w:val="nil"/>
            </w:tcBorders>
            <w:noWrap w:val="0"/>
            <w:vAlign w:val="center"/>
          </w:tcPr>
          <w:p w14:paraId="350C65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前段：800～1250℃，后段300～400℃</w:t>
            </w:r>
          </w:p>
        </w:tc>
      </w:tr>
      <w:tr w14:paraId="30378E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0E8DD8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催化剂</w:t>
            </w:r>
          </w:p>
        </w:tc>
        <w:tc>
          <w:tcPr>
            <w:tcW w:w="1446" w:type="pct"/>
            <w:tcBorders>
              <w:tl2br w:val="nil"/>
              <w:tr2bl w:val="nil"/>
            </w:tcBorders>
            <w:noWrap w:val="0"/>
            <w:vAlign w:val="center"/>
          </w:tcPr>
          <w:p w14:paraId="278127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成份主要为TiO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,V</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O</w:t>
            </w:r>
            <w:r>
              <w:rPr>
                <w:rFonts w:hint="default" w:ascii="Times New Roman" w:hAnsi="Times New Roman" w:eastAsia="宋体" w:cs="Times New Roman"/>
                <w:color w:val="auto"/>
                <w:sz w:val="21"/>
                <w:szCs w:val="21"/>
                <w:vertAlign w:val="subscript"/>
                <w:lang w:val="en-US" w:eastAsia="zh-CN"/>
              </w:rPr>
              <w:t>5</w:t>
            </w:r>
            <w:r>
              <w:rPr>
                <w:rFonts w:hint="default" w:ascii="Times New Roman" w:hAnsi="Times New Roman" w:eastAsia="宋体" w:cs="Times New Roman"/>
                <w:color w:val="auto"/>
                <w:sz w:val="21"/>
                <w:szCs w:val="21"/>
                <w:lang w:val="en-US" w:eastAsia="zh-CN"/>
              </w:rPr>
              <w:t>，WO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的全尺寸催化剂</w:t>
            </w:r>
          </w:p>
        </w:tc>
        <w:tc>
          <w:tcPr>
            <w:tcW w:w="1213" w:type="pct"/>
            <w:tcBorders>
              <w:tl2br w:val="nil"/>
              <w:tr2bl w:val="nil"/>
            </w:tcBorders>
            <w:noWrap w:val="0"/>
            <w:vAlign w:val="center"/>
          </w:tcPr>
          <w:p w14:paraId="7D8624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不使用催化剂</w:t>
            </w:r>
          </w:p>
        </w:tc>
        <w:tc>
          <w:tcPr>
            <w:tcW w:w="1714" w:type="pct"/>
            <w:tcBorders>
              <w:tl2br w:val="nil"/>
              <w:tr2bl w:val="nil"/>
            </w:tcBorders>
            <w:noWrap w:val="0"/>
            <w:vAlign w:val="center"/>
          </w:tcPr>
          <w:p w14:paraId="7D3757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后段加装少量催化剂(成份主要为TiO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,V</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O</w:t>
            </w:r>
            <w:r>
              <w:rPr>
                <w:rFonts w:hint="default" w:ascii="Times New Roman" w:hAnsi="Times New Roman" w:eastAsia="宋体" w:cs="Times New Roman"/>
                <w:color w:val="auto"/>
                <w:sz w:val="21"/>
                <w:szCs w:val="21"/>
                <w:vertAlign w:val="subscript"/>
                <w:lang w:val="en-US" w:eastAsia="zh-CN"/>
              </w:rPr>
              <w:t>5</w:t>
            </w:r>
            <w:r>
              <w:rPr>
                <w:rFonts w:hint="default" w:ascii="Times New Roman" w:hAnsi="Times New Roman" w:eastAsia="宋体" w:cs="Times New Roman"/>
                <w:color w:val="auto"/>
                <w:sz w:val="21"/>
                <w:szCs w:val="21"/>
                <w:lang w:val="en-US" w:eastAsia="zh-CN"/>
              </w:rPr>
              <w:t>，WO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w:t>
            </w:r>
          </w:p>
        </w:tc>
      </w:tr>
      <w:tr w14:paraId="628C45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709EBC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脱硝效率</w:t>
            </w:r>
          </w:p>
        </w:tc>
        <w:tc>
          <w:tcPr>
            <w:tcW w:w="1446" w:type="pct"/>
            <w:tcBorders>
              <w:tl2br w:val="nil"/>
              <w:tr2bl w:val="nil"/>
            </w:tcBorders>
            <w:noWrap w:val="0"/>
            <w:vAlign w:val="center"/>
          </w:tcPr>
          <w:p w14:paraId="21E1400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50～90%</w:t>
            </w:r>
          </w:p>
        </w:tc>
        <w:tc>
          <w:tcPr>
            <w:tcW w:w="1213" w:type="pct"/>
            <w:tcBorders>
              <w:tl2br w:val="nil"/>
              <w:tr2bl w:val="nil"/>
            </w:tcBorders>
            <w:noWrap w:val="0"/>
            <w:vAlign w:val="center"/>
          </w:tcPr>
          <w:p w14:paraId="7BCD67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60～80%</w:t>
            </w:r>
          </w:p>
        </w:tc>
        <w:tc>
          <w:tcPr>
            <w:tcW w:w="1714" w:type="pct"/>
            <w:tcBorders>
              <w:tl2br w:val="nil"/>
              <w:tr2bl w:val="nil"/>
            </w:tcBorders>
            <w:noWrap w:val="0"/>
            <w:vAlign w:val="center"/>
          </w:tcPr>
          <w:p w14:paraId="0B8D397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55～85%</w:t>
            </w:r>
          </w:p>
        </w:tc>
      </w:tr>
      <w:tr w14:paraId="4221BD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3C74AF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还原剂喷射位置</w:t>
            </w:r>
          </w:p>
        </w:tc>
        <w:tc>
          <w:tcPr>
            <w:tcW w:w="1446" w:type="pct"/>
            <w:tcBorders>
              <w:tl2br w:val="nil"/>
              <w:tr2bl w:val="nil"/>
            </w:tcBorders>
            <w:noWrap w:val="0"/>
            <w:vAlign w:val="center"/>
          </w:tcPr>
          <w:p w14:paraId="5173AC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多选择于省煤器与 SCR 反应器间烟道内</w:t>
            </w:r>
          </w:p>
        </w:tc>
        <w:tc>
          <w:tcPr>
            <w:tcW w:w="1213" w:type="pct"/>
            <w:tcBorders>
              <w:tl2br w:val="nil"/>
              <w:tr2bl w:val="nil"/>
            </w:tcBorders>
            <w:noWrap w:val="0"/>
            <w:vAlign w:val="center"/>
          </w:tcPr>
          <w:p w14:paraId="677660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通常在炉膛内喷射</w:t>
            </w:r>
          </w:p>
        </w:tc>
        <w:tc>
          <w:tcPr>
            <w:tcW w:w="1714" w:type="pct"/>
            <w:tcBorders>
              <w:tl2br w:val="nil"/>
              <w:tr2bl w:val="nil"/>
            </w:tcBorders>
            <w:noWrap w:val="0"/>
            <w:vAlign w:val="center"/>
          </w:tcPr>
          <w:p w14:paraId="6EA955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锅炉负荷不同喷射位置也不同，通常位于一次过热器或二次过热器后端</w:t>
            </w:r>
          </w:p>
        </w:tc>
      </w:tr>
      <w:tr w14:paraId="2A32CC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125EA5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氧化</w:t>
            </w:r>
          </w:p>
        </w:tc>
        <w:tc>
          <w:tcPr>
            <w:tcW w:w="1446" w:type="pct"/>
            <w:tcBorders>
              <w:tl2br w:val="nil"/>
              <w:tr2bl w:val="nil"/>
            </w:tcBorders>
            <w:noWrap w:val="0"/>
            <w:vAlign w:val="center"/>
          </w:tcPr>
          <w:p w14:paraId="6F0DCD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会导致SO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氧化，一般要求控制氧化率在1%</w:t>
            </w:r>
          </w:p>
        </w:tc>
        <w:tc>
          <w:tcPr>
            <w:tcW w:w="1213" w:type="pct"/>
            <w:tcBorders>
              <w:tl2br w:val="nil"/>
              <w:tr2bl w:val="nil"/>
            </w:tcBorders>
            <w:noWrap w:val="0"/>
            <w:vAlign w:val="center"/>
          </w:tcPr>
          <w:p w14:paraId="70384A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不导致SO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氧化，SO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浓度不增加</w:t>
            </w:r>
          </w:p>
        </w:tc>
        <w:tc>
          <w:tcPr>
            <w:tcW w:w="1714" w:type="pct"/>
            <w:tcBorders>
              <w:tl2br w:val="nil"/>
              <w:tr2bl w:val="nil"/>
            </w:tcBorders>
            <w:noWrap w:val="0"/>
            <w:vAlign w:val="center"/>
          </w:tcPr>
          <w:p w14:paraId="36D7306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氧化较SCR低，SO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浓度的增加与催化剂体积成正比</w:t>
            </w:r>
          </w:p>
        </w:tc>
      </w:tr>
      <w:tr w14:paraId="04746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4ED0D5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NH3逃逸</w:t>
            </w:r>
          </w:p>
        </w:tc>
        <w:tc>
          <w:tcPr>
            <w:tcW w:w="1446" w:type="pct"/>
            <w:tcBorders>
              <w:tl2br w:val="nil"/>
              <w:tr2bl w:val="nil"/>
            </w:tcBorders>
            <w:noWrap w:val="0"/>
            <w:vAlign w:val="center"/>
          </w:tcPr>
          <w:p w14:paraId="36F205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一般要求控制＜3ppm</w:t>
            </w:r>
          </w:p>
        </w:tc>
        <w:tc>
          <w:tcPr>
            <w:tcW w:w="1213" w:type="pct"/>
            <w:tcBorders>
              <w:tl2br w:val="nil"/>
              <w:tr2bl w:val="nil"/>
            </w:tcBorders>
            <w:noWrap w:val="0"/>
            <w:vAlign w:val="center"/>
          </w:tcPr>
          <w:p w14:paraId="38DC8A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10～15ppm</w:t>
            </w:r>
          </w:p>
        </w:tc>
        <w:tc>
          <w:tcPr>
            <w:tcW w:w="1714" w:type="pct"/>
            <w:tcBorders>
              <w:tl2br w:val="nil"/>
              <w:tr2bl w:val="nil"/>
            </w:tcBorders>
            <w:noWrap w:val="0"/>
            <w:vAlign w:val="center"/>
          </w:tcPr>
          <w:p w14:paraId="1E32D2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＜3ppm</w:t>
            </w:r>
          </w:p>
        </w:tc>
      </w:tr>
      <w:tr w14:paraId="694B6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6FB552D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对空气预热器影响</w:t>
            </w:r>
          </w:p>
        </w:tc>
        <w:tc>
          <w:tcPr>
            <w:tcW w:w="1446" w:type="pct"/>
            <w:tcBorders>
              <w:tl2br w:val="nil"/>
              <w:tr2bl w:val="nil"/>
            </w:tcBorders>
            <w:noWrap w:val="0"/>
            <w:vAlign w:val="center"/>
          </w:tcPr>
          <w:p w14:paraId="46FB3EC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低温时NH</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与SO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易形成NH</w:t>
            </w:r>
            <w:r>
              <w:rPr>
                <w:rFonts w:hint="default" w:ascii="Times New Roman" w:hAnsi="Times New Roman" w:eastAsia="宋体" w:cs="Times New Roman"/>
                <w:color w:val="auto"/>
                <w:sz w:val="21"/>
                <w:szCs w:val="21"/>
                <w:vertAlign w:val="subscript"/>
                <w:lang w:val="en-US" w:eastAsia="zh-CN"/>
              </w:rPr>
              <w:t>4</w:t>
            </w:r>
            <w:r>
              <w:rPr>
                <w:rFonts w:hint="default" w:ascii="Times New Roman" w:hAnsi="Times New Roman" w:eastAsia="宋体" w:cs="Times New Roman"/>
                <w:color w:val="auto"/>
                <w:sz w:val="21"/>
                <w:szCs w:val="21"/>
                <w:lang w:val="en-US" w:eastAsia="zh-CN"/>
              </w:rPr>
              <w:t>HSO</w:t>
            </w:r>
            <w:r>
              <w:rPr>
                <w:rFonts w:hint="default" w:ascii="Times New Roman" w:hAnsi="Times New Roman" w:eastAsia="宋体" w:cs="Times New Roman"/>
                <w:color w:val="auto"/>
                <w:sz w:val="21"/>
                <w:szCs w:val="21"/>
                <w:vertAlign w:val="subscript"/>
                <w:lang w:val="en-US" w:eastAsia="zh-CN"/>
              </w:rPr>
              <w:t>4</w:t>
            </w:r>
            <w:r>
              <w:rPr>
                <w:rFonts w:hint="default" w:ascii="Times New Roman" w:hAnsi="Times New Roman" w:eastAsia="宋体" w:cs="Times New Roman"/>
                <w:color w:val="auto"/>
                <w:sz w:val="21"/>
                <w:szCs w:val="21"/>
                <w:lang w:val="en-US" w:eastAsia="zh-CN"/>
              </w:rPr>
              <w:t>造成堵塞或腐蚀</w:t>
            </w:r>
          </w:p>
        </w:tc>
        <w:tc>
          <w:tcPr>
            <w:tcW w:w="1213" w:type="pct"/>
            <w:tcBorders>
              <w:tl2br w:val="nil"/>
              <w:tr2bl w:val="nil"/>
            </w:tcBorders>
            <w:noWrap w:val="0"/>
            <w:vAlign w:val="center"/>
          </w:tcPr>
          <w:p w14:paraId="716F4A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不导致SO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的氧化，造成堵塞或腐蚀的机会为三者最低</w:t>
            </w:r>
          </w:p>
        </w:tc>
        <w:tc>
          <w:tcPr>
            <w:tcW w:w="1714" w:type="pct"/>
            <w:tcBorders>
              <w:tl2br w:val="nil"/>
              <w:tr2bl w:val="nil"/>
            </w:tcBorders>
            <w:noWrap w:val="0"/>
            <w:vAlign w:val="center"/>
          </w:tcPr>
          <w:p w14:paraId="1E64C8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2</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color w:val="auto"/>
                <w:sz w:val="21"/>
                <w:szCs w:val="21"/>
                <w:lang w:val="en-US" w:eastAsia="zh-CN"/>
              </w:rPr>
              <w:t>氧化率较SCR低，造成堵塞或腐蚀的机会较SCR低。</w:t>
            </w:r>
          </w:p>
        </w:tc>
      </w:tr>
      <w:tr w14:paraId="08D7E2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22155E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系统压力损失</w:t>
            </w:r>
          </w:p>
        </w:tc>
        <w:tc>
          <w:tcPr>
            <w:tcW w:w="1446" w:type="pct"/>
            <w:tcBorders>
              <w:tl2br w:val="nil"/>
              <w:tr2bl w:val="nil"/>
            </w:tcBorders>
            <w:noWrap w:val="0"/>
            <w:vAlign w:val="center"/>
          </w:tcPr>
          <w:p w14:paraId="73B42F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催化剂会造成压力损失</w:t>
            </w:r>
          </w:p>
        </w:tc>
        <w:tc>
          <w:tcPr>
            <w:tcW w:w="1213" w:type="pct"/>
            <w:tcBorders>
              <w:tl2br w:val="nil"/>
              <w:tr2bl w:val="nil"/>
            </w:tcBorders>
            <w:noWrap w:val="0"/>
            <w:vAlign w:val="center"/>
          </w:tcPr>
          <w:p w14:paraId="097263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没有压力损失</w:t>
            </w:r>
          </w:p>
        </w:tc>
        <w:tc>
          <w:tcPr>
            <w:tcW w:w="1714" w:type="pct"/>
            <w:tcBorders>
              <w:tl2br w:val="nil"/>
              <w:tr2bl w:val="nil"/>
            </w:tcBorders>
            <w:noWrap w:val="0"/>
            <w:vAlign w:val="center"/>
          </w:tcPr>
          <w:p w14:paraId="5E464F8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催化剂用量较SCR小，产生 的压力损失相对较低</w:t>
            </w:r>
          </w:p>
        </w:tc>
      </w:tr>
      <w:tr w14:paraId="38FDAF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0F37E8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燃料的影响</w:t>
            </w:r>
          </w:p>
        </w:tc>
        <w:tc>
          <w:tcPr>
            <w:tcW w:w="1446" w:type="pct"/>
            <w:tcBorders>
              <w:tl2br w:val="nil"/>
              <w:tr2bl w:val="nil"/>
            </w:tcBorders>
            <w:noWrap w:val="0"/>
            <w:vAlign w:val="center"/>
          </w:tcPr>
          <w:p w14:paraId="23C771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灰份会磨耗催化剂，碱金属</w:t>
            </w:r>
          </w:p>
          <w:p w14:paraId="456DEE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氧化物会使催化剂钝化。AS,S等会使催化剂失活。煤的灰份越高，催化剂的寿命越短，将显著影响运行费用</w:t>
            </w:r>
          </w:p>
        </w:tc>
        <w:tc>
          <w:tcPr>
            <w:tcW w:w="1213" w:type="pct"/>
            <w:tcBorders>
              <w:tl2br w:val="nil"/>
              <w:tr2bl w:val="nil"/>
            </w:tcBorders>
            <w:noWrap w:val="0"/>
            <w:vAlign w:val="center"/>
          </w:tcPr>
          <w:p w14:paraId="2744D1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无影响</w:t>
            </w:r>
          </w:p>
        </w:tc>
        <w:tc>
          <w:tcPr>
            <w:tcW w:w="1714" w:type="pct"/>
            <w:tcBorders>
              <w:tl2br w:val="nil"/>
              <w:tr2bl w:val="nil"/>
            </w:tcBorders>
            <w:noWrap w:val="0"/>
            <w:vAlign w:val="center"/>
          </w:tcPr>
          <w:p w14:paraId="4ABF25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影响与SCR相同。由于催化剂的体积较小，更换催化剂的总成本较全尺寸 SCR低</w:t>
            </w:r>
          </w:p>
        </w:tc>
      </w:tr>
      <w:tr w14:paraId="5F96DA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1FF194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锅炉的影响</w:t>
            </w:r>
          </w:p>
        </w:tc>
        <w:tc>
          <w:tcPr>
            <w:tcW w:w="1446" w:type="pct"/>
            <w:tcBorders>
              <w:tl2br w:val="nil"/>
              <w:tr2bl w:val="nil"/>
            </w:tcBorders>
            <w:noWrap w:val="0"/>
            <w:vAlign w:val="center"/>
          </w:tcPr>
          <w:p w14:paraId="72466B0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受省煤器出口烟气温度的影响</w:t>
            </w:r>
          </w:p>
        </w:tc>
        <w:tc>
          <w:tcPr>
            <w:tcW w:w="1213" w:type="pct"/>
            <w:tcBorders>
              <w:tl2br w:val="nil"/>
              <w:tr2bl w:val="nil"/>
            </w:tcBorders>
            <w:noWrap w:val="0"/>
            <w:vAlign w:val="center"/>
          </w:tcPr>
          <w:p w14:paraId="77FF14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受炉膛内烟气流速及温度分布的影响</w:t>
            </w:r>
          </w:p>
        </w:tc>
        <w:tc>
          <w:tcPr>
            <w:tcW w:w="1714" w:type="pct"/>
            <w:tcBorders>
              <w:tl2br w:val="nil"/>
              <w:tr2bl w:val="nil"/>
            </w:tcBorders>
            <w:noWrap w:val="0"/>
            <w:vAlign w:val="center"/>
          </w:tcPr>
          <w:p w14:paraId="794CC3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受炉膛内烟气流速及温度分布的影响</w:t>
            </w:r>
          </w:p>
        </w:tc>
      </w:tr>
      <w:tr w14:paraId="14EAC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6D144A4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燃料变化的影响</w:t>
            </w:r>
          </w:p>
        </w:tc>
        <w:tc>
          <w:tcPr>
            <w:tcW w:w="1446" w:type="pct"/>
            <w:tcBorders>
              <w:tl2br w:val="nil"/>
              <w:tr2bl w:val="nil"/>
            </w:tcBorders>
            <w:noWrap w:val="0"/>
            <w:vAlign w:val="center"/>
          </w:tcPr>
          <w:p w14:paraId="399807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对灰份增加和灰份成分变化敏感</w:t>
            </w:r>
          </w:p>
        </w:tc>
        <w:tc>
          <w:tcPr>
            <w:tcW w:w="1213" w:type="pct"/>
            <w:tcBorders>
              <w:tl2br w:val="nil"/>
              <w:tr2bl w:val="nil"/>
            </w:tcBorders>
            <w:noWrap w:val="0"/>
            <w:vAlign w:val="center"/>
          </w:tcPr>
          <w:p w14:paraId="66735C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无影响</w:t>
            </w:r>
          </w:p>
        </w:tc>
        <w:tc>
          <w:tcPr>
            <w:tcW w:w="1714" w:type="pct"/>
            <w:tcBorders>
              <w:tl2br w:val="nil"/>
              <w:tr2bl w:val="nil"/>
            </w:tcBorders>
            <w:noWrap w:val="0"/>
            <w:vAlign w:val="center"/>
          </w:tcPr>
          <w:p w14:paraId="3ACD0E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与SCR一样</w:t>
            </w:r>
          </w:p>
        </w:tc>
      </w:tr>
      <w:tr w14:paraId="3A6DC9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556C0E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投资费用</w:t>
            </w:r>
          </w:p>
        </w:tc>
        <w:tc>
          <w:tcPr>
            <w:tcW w:w="1446" w:type="pct"/>
            <w:tcBorders>
              <w:tl2br w:val="nil"/>
              <w:tr2bl w:val="nil"/>
            </w:tcBorders>
            <w:noWrap w:val="0"/>
            <w:vAlign w:val="center"/>
          </w:tcPr>
          <w:p w14:paraId="7497F7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高</w:t>
            </w:r>
          </w:p>
        </w:tc>
        <w:tc>
          <w:tcPr>
            <w:tcW w:w="1213" w:type="pct"/>
            <w:tcBorders>
              <w:tl2br w:val="nil"/>
              <w:tr2bl w:val="nil"/>
            </w:tcBorders>
            <w:noWrap w:val="0"/>
            <w:vAlign w:val="center"/>
          </w:tcPr>
          <w:p w14:paraId="43C28A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低</w:t>
            </w:r>
          </w:p>
        </w:tc>
        <w:tc>
          <w:tcPr>
            <w:tcW w:w="1714" w:type="pct"/>
            <w:tcBorders>
              <w:tl2br w:val="nil"/>
              <w:tr2bl w:val="nil"/>
            </w:tcBorders>
            <w:noWrap w:val="0"/>
            <w:vAlign w:val="center"/>
          </w:tcPr>
          <w:p w14:paraId="18D6AA8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较高</w:t>
            </w:r>
          </w:p>
        </w:tc>
      </w:tr>
      <w:tr w14:paraId="25D3F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26" w:type="pct"/>
            <w:tcBorders>
              <w:tl2br w:val="nil"/>
              <w:tr2bl w:val="nil"/>
            </w:tcBorders>
            <w:noWrap w:val="0"/>
            <w:vAlign w:val="center"/>
          </w:tcPr>
          <w:p w14:paraId="0E97B8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运行费用</w:t>
            </w:r>
          </w:p>
        </w:tc>
        <w:tc>
          <w:tcPr>
            <w:tcW w:w="1446" w:type="pct"/>
            <w:tcBorders>
              <w:tl2br w:val="nil"/>
              <w:tr2bl w:val="nil"/>
            </w:tcBorders>
            <w:noWrap w:val="0"/>
            <w:vAlign w:val="center"/>
          </w:tcPr>
          <w:p w14:paraId="10386FA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高</w:t>
            </w:r>
          </w:p>
        </w:tc>
        <w:tc>
          <w:tcPr>
            <w:tcW w:w="1213" w:type="pct"/>
            <w:tcBorders>
              <w:tl2br w:val="nil"/>
              <w:tr2bl w:val="nil"/>
            </w:tcBorders>
            <w:noWrap w:val="0"/>
            <w:vAlign w:val="center"/>
          </w:tcPr>
          <w:p w14:paraId="2F201A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低</w:t>
            </w:r>
          </w:p>
        </w:tc>
        <w:tc>
          <w:tcPr>
            <w:tcW w:w="1714" w:type="pct"/>
            <w:tcBorders>
              <w:tl2br w:val="nil"/>
              <w:tr2bl w:val="nil"/>
            </w:tcBorders>
            <w:noWrap w:val="0"/>
            <w:vAlign w:val="center"/>
          </w:tcPr>
          <w:p w14:paraId="11A5B0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较高</w:t>
            </w:r>
          </w:p>
        </w:tc>
      </w:tr>
    </w:tbl>
    <w:p w14:paraId="7D354FA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（2）本项目脱硝措施</w:t>
      </w:r>
    </w:p>
    <w:p w14:paraId="44EA076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本工程拟采取SNCR</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zh-CN" w:eastAsia="zh-CN"/>
        </w:rPr>
        <w:t>SCR脱硝，整体脱硝</w:t>
      </w:r>
      <w:r>
        <w:rPr>
          <w:rFonts w:hint="eastAsia" w:ascii="Times New Roman" w:hAnsi="Times New Roman" w:eastAsia="宋体" w:cs="Times New Roman"/>
          <w:color w:val="auto"/>
          <w:sz w:val="24"/>
          <w:szCs w:val="24"/>
          <w:highlight w:val="none"/>
          <w:lang w:val="zh-CN" w:eastAsia="zh-CN"/>
        </w:rPr>
        <w:t>效率</w:t>
      </w:r>
      <w:r>
        <w:rPr>
          <w:rFonts w:hint="eastAsia" w:ascii="Times New Roman" w:hAnsi="Times New Roman" w:eastAsia="宋体" w:cs="Times New Roman"/>
          <w:color w:val="auto"/>
          <w:sz w:val="24"/>
          <w:szCs w:val="24"/>
          <w:highlight w:val="none"/>
          <w:lang w:val="en-US" w:eastAsia="zh-CN"/>
        </w:rPr>
        <w:t>以65</w:t>
      </w:r>
      <w:r>
        <w:rPr>
          <w:rFonts w:hint="default" w:ascii="Times New Roman" w:hAnsi="Times New Roman" w:eastAsia="宋体" w:cs="Times New Roman"/>
          <w:color w:val="auto"/>
          <w:sz w:val="24"/>
          <w:szCs w:val="24"/>
          <w:highlight w:val="none"/>
          <w:lang w:val="zh-CN" w:eastAsia="zh-CN"/>
        </w:rPr>
        <w:t>%</w:t>
      </w:r>
      <w:r>
        <w:rPr>
          <w:rFonts w:hint="eastAsia" w:ascii="Times New Roman" w:hAnsi="Times New Roman" w:eastAsia="宋体" w:cs="Times New Roman"/>
          <w:color w:val="auto"/>
          <w:sz w:val="24"/>
          <w:szCs w:val="24"/>
          <w:highlight w:val="none"/>
          <w:lang w:val="en-US" w:eastAsia="zh-CN"/>
        </w:rPr>
        <w:t>计</w:t>
      </w:r>
      <w:r>
        <w:rPr>
          <w:rFonts w:hint="default" w:ascii="Times New Roman" w:hAnsi="Times New Roman" w:eastAsia="宋体" w:cs="Times New Roman"/>
          <w:color w:val="auto"/>
          <w:sz w:val="24"/>
          <w:szCs w:val="24"/>
          <w:highlight w:val="none"/>
          <w:lang w:val="zh-CN" w:eastAsia="zh-CN"/>
        </w:rPr>
        <w:t>，目前SNCR</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zh-CN" w:eastAsia="zh-CN"/>
        </w:rPr>
        <w:t>SCR脱硝系统采用的脱硝剂主要为尿素和低浓度氨水。结合周边供货情况及</w:t>
      </w:r>
      <w:r>
        <w:rPr>
          <w:rFonts w:hint="eastAsia" w:ascii="Times New Roman" w:hAnsi="Times New Roman" w:eastAsia="宋体" w:cs="Times New Roman"/>
          <w:color w:val="auto"/>
          <w:sz w:val="24"/>
          <w:szCs w:val="24"/>
          <w:highlight w:val="none"/>
          <w:lang w:val="en-US" w:eastAsia="zh-CN"/>
        </w:rPr>
        <w:t>安全生产</w:t>
      </w:r>
      <w:r>
        <w:rPr>
          <w:rFonts w:hint="default" w:ascii="Times New Roman" w:hAnsi="Times New Roman" w:eastAsia="宋体" w:cs="Times New Roman"/>
          <w:color w:val="auto"/>
          <w:sz w:val="24"/>
          <w:szCs w:val="24"/>
          <w:highlight w:val="none"/>
          <w:lang w:val="zh-CN" w:eastAsia="zh-CN"/>
        </w:rPr>
        <w:t>等情况。综合以上因素故本工程脱硝剂选用</w:t>
      </w:r>
      <w:r>
        <w:rPr>
          <w:rFonts w:hint="eastAsia" w:ascii="Times New Roman" w:hAnsi="Times New Roman" w:eastAsia="宋体" w:cs="Times New Roman"/>
          <w:color w:val="auto"/>
          <w:sz w:val="24"/>
          <w:szCs w:val="24"/>
          <w:highlight w:val="none"/>
          <w:lang w:val="en-US" w:eastAsia="zh-CN"/>
        </w:rPr>
        <w:t>尿素</w:t>
      </w:r>
      <w:r>
        <w:rPr>
          <w:rFonts w:hint="default" w:ascii="Times New Roman" w:hAnsi="Times New Roman" w:eastAsia="宋体" w:cs="Times New Roman"/>
          <w:color w:val="auto"/>
          <w:sz w:val="24"/>
          <w:szCs w:val="24"/>
          <w:highlight w:val="none"/>
          <w:lang w:val="zh-CN" w:eastAsia="zh-CN"/>
        </w:rPr>
        <w:t>。因本工程无蒸汽汽源,尿素溶解加热的热源采用电加热。</w:t>
      </w:r>
    </w:p>
    <w:p w14:paraId="4B713C5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采用上述脱硝措施后，NO</w:t>
      </w:r>
      <w:r>
        <w:rPr>
          <w:rFonts w:hint="default" w:ascii="Times New Roman" w:hAnsi="Times New Roman" w:eastAsia="宋体" w:cs="Times New Roman"/>
          <w:color w:val="auto"/>
          <w:sz w:val="24"/>
          <w:szCs w:val="24"/>
          <w:highlight w:val="none"/>
          <w:vertAlign w:val="subscript"/>
          <w:lang w:val="zh-CN" w:eastAsia="zh-CN"/>
        </w:rPr>
        <w:t>x</w:t>
      </w:r>
      <w:r>
        <w:rPr>
          <w:rFonts w:hint="default" w:ascii="Times New Roman" w:hAnsi="Times New Roman" w:eastAsia="宋体" w:cs="Times New Roman"/>
          <w:color w:val="auto"/>
          <w:sz w:val="24"/>
          <w:szCs w:val="24"/>
          <w:highlight w:val="none"/>
          <w:lang w:val="zh-CN" w:eastAsia="zh-CN"/>
        </w:rPr>
        <w:t>排放浓度满足</w:t>
      </w:r>
      <w:r>
        <w:rPr>
          <w:rFonts w:hint="default" w:ascii="Times New Roman" w:hAnsi="Times New Roman" w:eastAsia="宋体" w:cs="Times New Roman"/>
          <w:color w:val="auto"/>
          <w:sz w:val="24"/>
          <w:szCs w:val="24"/>
          <w:highlight w:val="none"/>
          <w:lang w:val="en-US" w:eastAsia="zh-CN"/>
        </w:rPr>
        <w:t>《锅炉大气污染物排放标准》（GB13271-2014）表2标准300mg/m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的标准要求。</w:t>
      </w:r>
    </w:p>
    <w:p w14:paraId="0B5ED1F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7.2.1.4 本项目汞及其化合物污染防治措施</w:t>
      </w:r>
    </w:p>
    <w:p w14:paraId="6C0645B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燃煤烟气中Hg主要有三种形态：气态单质Hg（为主要形式，占85%以上）、气态二价Hg、固态颗粒Hg。固态颗粒Hg极易被除尘器去除；气态二价Hg极易溶于水，可在脱硫过程协同去除。因此，本项目采取的烟气除尘、脱硫和脱硝系统对汞及其化合物产生协同脱除效率可达</w:t>
      </w:r>
      <w:r>
        <w:rPr>
          <w:rFonts w:hint="eastAsia" w:ascii="Times New Roman" w:hAnsi="Times New Roman" w:eastAsia="宋体" w:cs="Times New Roman"/>
          <w:color w:val="auto"/>
          <w:sz w:val="24"/>
          <w:szCs w:val="24"/>
          <w:highlight w:val="none"/>
          <w:lang w:val="zh-CN" w:eastAsia="zh-CN"/>
        </w:rPr>
        <w:t>7</w:t>
      </w:r>
      <w:r>
        <w:rPr>
          <w:rFonts w:hint="default" w:ascii="Times New Roman" w:hAnsi="Times New Roman" w:eastAsia="宋体" w:cs="Times New Roman"/>
          <w:color w:val="auto"/>
          <w:sz w:val="24"/>
          <w:szCs w:val="24"/>
          <w:highlight w:val="none"/>
          <w:lang w:val="zh-CN" w:eastAsia="zh-CN"/>
        </w:rPr>
        <w:t>0%，汞及其化合物排放浓度满足《锅炉大气污染物排放标准》（GB13271-2014）</w:t>
      </w:r>
      <w:r>
        <w:rPr>
          <w:rFonts w:hint="eastAsia" w:ascii="Times New Roman" w:hAnsi="Times New Roman" w:eastAsia="宋体" w:cs="Times New Roman"/>
          <w:color w:val="auto"/>
          <w:sz w:val="24"/>
          <w:szCs w:val="24"/>
          <w:highlight w:val="none"/>
          <w:lang w:val="zh-CN" w:eastAsia="zh-CN"/>
        </w:rPr>
        <w:t>表2新建锅炉大气污染物排放浓度限值</w:t>
      </w:r>
      <w:r>
        <w:rPr>
          <w:rFonts w:hint="default" w:ascii="Times New Roman" w:hAnsi="Times New Roman" w:eastAsia="宋体" w:cs="Times New Roman"/>
          <w:color w:val="auto"/>
          <w:sz w:val="24"/>
          <w:szCs w:val="24"/>
          <w:highlight w:val="none"/>
          <w:lang w:val="zh-CN" w:eastAsia="zh-CN"/>
        </w:rPr>
        <w:t>中汞及其化合物排放标准要求。</w:t>
      </w:r>
    </w:p>
    <w:p w14:paraId="70D8E15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7.2.1.5 本项目氨逃逸污染防治措施</w:t>
      </w:r>
    </w:p>
    <w:p w14:paraId="4446419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本项目脱硝采用</w:t>
      </w:r>
      <w:r>
        <w:rPr>
          <w:rFonts w:hint="eastAsia" w:ascii="Times New Roman" w:hAnsi="Times New Roman" w:eastAsia="宋体" w:cs="Times New Roman"/>
          <w:color w:val="auto"/>
          <w:sz w:val="24"/>
          <w:szCs w:val="24"/>
          <w:highlight w:val="none"/>
          <w:lang w:val="en-US" w:eastAsia="zh-CN"/>
        </w:rPr>
        <w:t>尿素溶液</w:t>
      </w:r>
      <w:r>
        <w:rPr>
          <w:rFonts w:hint="default" w:ascii="Times New Roman" w:hAnsi="Times New Roman" w:eastAsia="宋体" w:cs="Times New Roman"/>
          <w:color w:val="auto"/>
          <w:sz w:val="24"/>
          <w:szCs w:val="24"/>
          <w:highlight w:val="none"/>
          <w:lang w:val="zh-CN" w:eastAsia="zh-CN"/>
        </w:rPr>
        <w:t>脱硝，与NO</w:t>
      </w:r>
      <w:r>
        <w:rPr>
          <w:rFonts w:hint="default" w:ascii="Times New Roman" w:hAnsi="Times New Roman" w:eastAsia="宋体" w:cs="Times New Roman"/>
          <w:color w:val="auto"/>
          <w:sz w:val="24"/>
          <w:szCs w:val="24"/>
          <w:highlight w:val="none"/>
          <w:vertAlign w:val="subscript"/>
          <w:lang w:val="zh-CN" w:eastAsia="zh-CN"/>
        </w:rPr>
        <w:t>x</w:t>
      </w:r>
      <w:r>
        <w:rPr>
          <w:rFonts w:hint="default" w:ascii="Times New Roman" w:hAnsi="Times New Roman" w:eastAsia="宋体" w:cs="Times New Roman"/>
          <w:color w:val="auto"/>
          <w:sz w:val="24"/>
          <w:szCs w:val="24"/>
          <w:highlight w:val="none"/>
          <w:lang w:val="zh-CN" w:eastAsia="zh-CN"/>
        </w:rPr>
        <w:t>反应过程中将产生无组织排放的NH</w:t>
      </w:r>
      <w:r>
        <w:rPr>
          <w:rFonts w:hint="default" w:ascii="Times New Roman" w:hAnsi="Times New Roman" w:eastAsia="宋体" w:cs="Times New Roman"/>
          <w:color w:val="auto"/>
          <w:sz w:val="24"/>
          <w:szCs w:val="24"/>
          <w:highlight w:val="none"/>
          <w:vertAlign w:val="subscript"/>
          <w:lang w:val="zh-CN" w:eastAsia="zh-CN"/>
        </w:rPr>
        <w:t>3</w:t>
      </w:r>
      <w:r>
        <w:rPr>
          <w:rFonts w:hint="default" w:ascii="Times New Roman" w:hAnsi="Times New Roman" w:eastAsia="宋体" w:cs="Times New Roman"/>
          <w:color w:val="auto"/>
          <w:sz w:val="24"/>
          <w:szCs w:val="24"/>
          <w:highlight w:val="none"/>
          <w:lang w:val="zh-CN" w:eastAsia="zh-CN"/>
        </w:rPr>
        <w:t>，产生逃逸现象。本项目的脱硝</w:t>
      </w:r>
      <w:r>
        <w:rPr>
          <w:rFonts w:hint="eastAsia" w:ascii="Times New Roman" w:hAnsi="Times New Roman" w:eastAsia="宋体" w:cs="Times New Roman"/>
          <w:color w:val="auto"/>
          <w:sz w:val="24"/>
          <w:szCs w:val="24"/>
          <w:highlight w:val="none"/>
          <w:lang w:val="zh-CN" w:eastAsia="zh-CN"/>
        </w:rPr>
        <w:t>过程中向</w:t>
      </w:r>
      <w:r>
        <w:rPr>
          <w:rFonts w:hint="default" w:ascii="Times New Roman" w:hAnsi="Times New Roman" w:eastAsia="宋体" w:cs="Times New Roman"/>
          <w:color w:val="auto"/>
          <w:sz w:val="24"/>
          <w:szCs w:val="24"/>
          <w:highlight w:val="none"/>
          <w:lang w:val="zh-CN" w:eastAsia="zh-CN"/>
        </w:rPr>
        <w:t>炉内喷淋</w:t>
      </w:r>
      <w:r>
        <w:rPr>
          <w:rFonts w:hint="eastAsia" w:ascii="Times New Roman" w:hAnsi="Times New Roman" w:eastAsia="宋体" w:cs="Times New Roman"/>
          <w:color w:val="auto"/>
          <w:sz w:val="24"/>
          <w:szCs w:val="24"/>
          <w:highlight w:val="none"/>
          <w:lang w:val="en-US" w:eastAsia="zh-CN"/>
        </w:rPr>
        <w:t>尿素溶液</w:t>
      </w:r>
      <w:r>
        <w:rPr>
          <w:rFonts w:hint="default" w:ascii="Times New Roman" w:hAnsi="Times New Roman" w:eastAsia="宋体" w:cs="Times New Roman"/>
          <w:color w:val="auto"/>
          <w:sz w:val="24"/>
          <w:szCs w:val="24"/>
          <w:highlight w:val="none"/>
          <w:lang w:val="zh-CN" w:eastAsia="zh-CN"/>
        </w:rPr>
        <w:t>，合理控制喷淋量以及其分布的均匀性，同时采用控制反应区内温度及足够的停留时间等措施，确保氨与烟气中氮氧化物具备良好的接触，降低氨的逃逸量</w:t>
      </w:r>
      <w:r>
        <w:rPr>
          <w:rFonts w:hint="eastAsia" w:ascii="Times New Roman" w:hAnsi="Times New Roman" w:eastAsia="宋体" w:cs="Times New Roman"/>
          <w:color w:val="auto"/>
          <w:sz w:val="24"/>
          <w:szCs w:val="24"/>
          <w:highlight w:val="none"/>
          <w:lang w:val="zh-CN" w:eastAsia="zh-CN"/>
        </w:rPr>
        <w:t>。</w:t>
      </w:r>
      <w:r>
        <w:rPr>
          <w:rFonts w:hint="default" w:ascii="Times New Roman" w:hAnsi="Times New Roman" w:eastAsia="宋体" w:cs="Times New Roman"/>
          <w:color w:val="FF0000"/>
          <w:sz w:val="24"/>
          <w:szCs w:val="24"/>
          <w:highlight w:val="none"/>
          <w:lang w:val="zh-CN" w:eastAsia="zh-CN"/>
        </w:rPr>
        <w:t>采取上述废气污染防治措施后，氨</w:t>
      </w:r>
      <w:r>
        <w:rPr>
          <w:rFonts w:hint="eastAsia" w:ascii="Times New Roman" w:hAnsi="Times New Roman" w:eastAsia="宋体" w:cs="Times New Roman"/>
          <w:color w:val="FF0000"/>
          <w:sz w:val="24"/>
          <w:szCs w:val="24"/>
          <w:highlight w:val="none"/>
          <w:lang w:val="en-US" w:eastAsia="zh-CN"/>
        </w:rPr>
        <w:t>排放</w:t>
      </w:r>
      <w:r>
        <w:rPr>
          <w:rFonts w:hint="default" w:ascii="Times New Roman" w:hAnsi="Times New Roman" w:eastAsia="宋体" w:cs="Times New Roman"/>
          <w:color w:val="FF0000"/>
          <w:sz w:val="24"/>
          <w:szCs w:val="24"/>
          <w:highlight w:val="none"/>
          <w:lang w:val="zh-CN" w:eastAsia="zh-CN"/>
        </w:rPr>
        <w:t>浓度满足《恶臭污染物排放标准》（GB14554-93）表</w:t>
      </w:r>
      <w:r>
        <w:rPr>
          <w:rFonts w:hint="eastAsia" w:ascii="Times New Roman" w:hAnsi="Times New Roman" w:eastAsia="宋体" w:cs="Times New Roman"/>
          <w:color w:val="FF0000"/>
          <w:sz w:val="24"/>
          <w:szCs w:val="24"/>
          <w:highlight w:val="none"/>
          <w:lang w:val="en-US" w:eastAsia="zh-CN"/>
        </w:rPr>
        <w:t>2</w:t>
      </w:r>
      <w:r>
        <w:rPr>
          <w:rFonts w:hint="default" w:ascii="Times New Roman" w:hAnsi="Times New Roman" w:eastAsia="宋体" w:cs="Times New Roman"/>
          <w:color w:val="FF0000"/>
          <w:sz w:val="24"/>
          <w:szCs w:val="24"/>
          <w:highlight w:val="none"/>
          <w:lang w:val="zh-CN" w:eastAsia="zh-CN"/>
        </w:rPr>
        <w:t>恶臭污染物</w:t>
      </w:r>
      <w:r>
        <w:rPr>
          <w:rFonts w:hint="eastAsia" w:ascii="Times New Roman" w:hAnsi="Times New Roman" w:eastAsia="宋体" w:cs="Times New Roman"/>
          <w:color w:val="FF0000"/>
          <w:sz w:val="24"/>
          <w:szCs w:val="24"/>
          <w:highlight w:val="none"/>
          <w:lang w:val="en-US" w:eastAsia="zh-CN"/>
        </w:rPr>
        <w:t>排放限值</w:t>
      </w:r>
      <w:r>
        <w:rPr>
          <w:rFonts w:hint="default" w:ascii="Times New Roman" w:hAnsi="Times New Roman" w:eastAsia="宋体" w:cs="Times New Roman"/>
          <w:color w:val="FF0000"/>
          <w:sz w:val="24"/>
          <w:szCs w:val="24"/>
          <w:highlight w:val="none"/>
          <w:lang w:val="zh-CN" w:eastAsia="zh-CN"/>
        </w:rPr>
        <w:t>要求。</w:t>
      </w:r>
    </w:p>
    <w:p w14:paraId="7D01D4A6">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FF0000"/>
          <w:sz w:val="24"/>
          <w:szCs w:val="24"/>
          <w:lang w:val="en-US" w:eastAsia="zh-CN"/>
        </w:rPr>
      </w:pPr>
      <w:r>
        <w:rPr>
          <w:rFonts w:hint="default" w:ascii="Times New Roman" w:hAnsi="Times New Roman" w:eastAsia="宋体" w:cs="Times New Roman"/>
          <w:b/>
          <w:bCs w:val="0"/>
          <w:color w:val="FF0000"/>
          <w:sz w:val="24"/>
          <w:szCs w:val="24"/>
          <w:lang w:val="en-US" w:eastAsia="zh-CN"/>
        </w:rPr>
        <w:t>7.2.1.6 无组织废气污染防治措施</w:t>
      </w:r>
    </w:p>
    <w:p w14:paraId="618C94C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zh-CN" w:eastAsia="zh-CN"/>
        </w:rPr>
      </w:pPr>
      <w:r>
        <w:rPr>
          <w:rFonts w:hint="default" w:ascii="Times New Roman" w:hAnsi="Times New Roman" w:eastAsia="宋体" w:cs="Times New Roman"/>
          <w:color w:val="FF0000"/>
          <w:sz w:val="24"/>
          <w:szCs w:val="24"/>
          <w:highlight w:val="none"/>
          <w:lang w:val="zh-CN" w:eastAsia="zh-CN"/>
        </w:rPr>
        <w:t>本项目运营期无组织废气主要来自</w:t>
      </w:r>
      <w:r>
        <w:rPr>
          <w:rFonts w:hint="eastAsia" w:ascii="Times New Roman" w:hAnsi="Times New Roman" w:eastAsia="宋体" w:cs="Times New Roman"/>
          <w:color w:val="FF0000"/>
          <w:sz w:val="24"/>
          <w:szCs w:val="24"/>
          <w:highlight w:val="none"/>
          <w:lang w:val="zh-CN" w:eastAsia="zh-CN"/>
        </w:rPr>
        <w:t>输煤系统、</w:t>
      </w:r>
      <w:r>
        <w:rPr>
          <w:rFonts w:hint="eastAsia" w:ascii="Times New Roman" w:hAnsi="Times New Roman" w:eastAsia="宋体" w:cs="Times New Roman"/>
          <w:color w:val="FF0000"/>
          <w:sz w:val="24"/>
          <w:szCs w:val="24"/>
          <w:highlight w:val="none"/>
          <w:lang w:val="en-US" w:eastAsia="zh-CN"/>
        </w:rPr>
        <w:t>煤库、</w:t>
      </w:r>
      <w:r>
        <w:rPr>
          <w:rFonts w:hint="default" w:ascii="Times New Roman" w:hAnsi="Times New Roman" w:eastAsia="宋体" w:cs="Times New Roman"/>
          <w:color w:val="FF0000"/>
          <w:sz w:val="24"/>
          <w:szCs w:val="24"/>
          <w:highlight w:val="none"/>
          <w:lang w:val="zh-CN" w:eastAsia="zh-CN"/>
        </w:rPr>
        <w:t>碎煤机室</w:t>
      </w:r>
      <w:r>
        <w:rPr>
          <w:rFonts w:hint="eastAsia" w:ascii="Times New Roman" w:hAnsi="Times New Roman" w:eastAsia="宋体" w:cs="Times New Roman"/>
          <w:color w:val="FF0000"/>
          <w:sz w:val="24"/>
          <w:szCs w:val="24"/>
          <w:highlight w:val="none"/>
          <w:lang w:val="zh-CN" w:eastAsia="zh-CN"/>
        </w:rPr>
        <w:t>、</w:t>
      </w:r>
      <w:r>
        <w:rPr>
          <w:rFonts w:hint="eastAsia" w:ascii="Times New Roman" w:hAnsi="Times New Roman" w:eastAsia="宋体" w:cs="Times New Roman"/>
          <w:color w:val="FF0000"/>
          <w:sz w:val="24"/>
          <w:szCs w:val="24"/>
          <w:highlight w:val="none"/>
          <w:lang w:val="en-US" w:eastAsia="zh-CN"/>
        </w:rPr>
        <w:t>灰渣仓</w:t>
      </w:r>
      <w:r>
        <w:rPr>
          <w:rFonts w:hint="default" w:ascii="Times New Roman" w:hAnsi="Times New Roman" w:eastAsia="宋体" w:cs="Times New Roman"/>
          <w:color w:val="FF0000"/>
          <w:sz w:val="24"/>
          <w:szCs w:val="24"/>
          <w:highlight w:val="none"/>
          <w:lang w:val="zh-CN" w:eastAsia="zh-CN"/>
        </w:rPr>
        <w:t>等。</w:t>
      </w:r>
    </w:p>
    <w:p w14:paraId="33B007F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sz w:val="24"/>
          <w:szCs w:val="24"/>
          <w:highlight w:val="none"/>
          <w:lang w:val="zh-CN" w:eastAsia="zh-CN"/>
        </w:rPr>
      </w:pPr>
      <w:r>
        <w:rPr>
          <w:rFonts w:hint="eastAsia" w:ascii="Times New Roman" w:hAnsi="Times New Roman" w:eastAsia="宋体" w:cs="Times New Roman"/>
          <w:color w:val="FF0000"/>
          <w:sz w:val="24"/>
          <w:szCs w:val="24"/>
          <w:highlight w:val="none"/>
          <w:lang w:val="zh-CN" w:eastAsia="zh-CN"/>
        </w:rPr>
        <w:t>（</w:t>
      </w:r>
      <w:r>
        <w:rPr>
          <w:rFonts w:hint="eastAsia" w:ascii="Times New Roman" w:hAnsi="Times New Roman" w:eastAsia="宋体" w:cs="Times New Roman"/>
          <w:color w:val="FF0000"/>
          <w:sz w:val="24"/>
          <w:szCs w:val="24"/>
          <w:highlight w:val="none"/>
          <w:lang w:val="en-US" w:eastAsia="zh-CN"/>
        </w:rPr>
        <w:t>1</w:t>
      </w:r>
      <w:r>
        <w:rPr>
          <w:rFonts w:hint="eastAsia" w:ascii="Times New Roman" w:hAnsi="Times New Roman" w:eastAsia="宋体" w:cs="Times New Roman"/>
          <w:color w:val="FF0000"/>
          <w:sz w:val="24"/>
          <w:szCs w:val="24"/>
          <w:highlight w:val="none"/>
          <w:lang w:val="zh-CN" w:eastAsia="zh-CN"/>
        </w:rPr>
        <w:t>）本项目厂区内</w:t>
      </w:r>
      <w:r>
        <w:rPr>
          <w:rFonts w:hint="eastAsia" w:ascii="Times New Roman" w:hAnsi="Times New Roman" w:eastAsia="宋体" w:cs="Times New Roman"/>
          <w:color w:val="FF0000"/>
          <w:sz w:val="24"/>
          <w:szCs w:val="24"/>
          <w:highlight w:val="none"/>
          <w:lang w:val="en-US" w:eastAsia="zh-CN"/>
        </w:rPr>
        <w:t>现</w:t>
      </w:r>
      <w:r>
        <w:rPr>
          <w:rFonts w:hint="eastAsia" w:ascii="Times New Roman" w:hAnsi="Times New Roman" w:eastAsia="宋体" w:cs="Times New Roman"/>
          <w:color w:val="FF0000"/>
          <w:sz w:val="24"/>
          <w:szCs w:val="24"/>
          <w:highlight w:val="none"/>
          <w:lang w:val="zh-CN" w:eastAsia="zh-CN"/>
        </w:rPr>
        <w:t>建有1个封闭式储煤库，设喷水装置，防治煤堆自燃。</w:t>
      </w:r>
    </w:p>
    <w:p w14:paraId="5D8B8BD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zh-CN" w:eastAsia="zh-CN"/>
        </w:rPr>
        <w:t>（</w:t>
      </w:r>
      <w:r>
        <w:rPr>
          <w:rFonts w:hint="eastAsia" w:ascii="Times New Roman" w:hAnsi="Times New Roman" w:eastAsia="宋体" w:cs="Times New Roman"/>
          <w:color w:val="FF0000"/>
          <w:sz w:val="24"/>
          <w:szCs w:val="24"/>
          <w:highlight w:val="none"/>
          <w:lang w:val="en-US" w:eastAsia="zh-CN"/>
        </w:rPr>
        <w:t>2</w:t>
      </w:r>
      <w:r>
        <w:rPr>
          <w:rFonts w:hint="eastAsia" w:ascii="Times New Roman" w:hAnsi="Times New Roman" w:eastAsia="宋体" w:cs="Times New Roman"/>
          <w:color w:val="FF0000"/>
          <w:sz w:val="24"/>
          <w:szCs w:val="24"/>
          <w:highlight w:val="none"/>
          <w:lang w:val="zh-CN" w:eastAsia="zh-CN"/>
        </w:rPr>
        <w:t>）碎煤机室、</w:t>
      </w:r>
      <w:r>
        <w:rPr>
          <w:rFonts w:hint="eastAsia" w:ascii="Times New Roman" w:hAnsi="Times New Roman" w:eastAsia="宋体" w:cs="Times New Roman"/>
          <w:color w:val="FF0000"/>
          <w:sz w:val="24"/>
          <w:szCs w:val="24"/>
          <w:highlight w:val="none"/>
          <w:lang w:val="en-US" w:eastAsia="zh-CN"/>
        </w:rPr>
        <w:t>灰渣仓按要求对破损门窗修复，进行全封闭处理，定期洒水降尘。</w:t>
      </w:r>
    </w:p>
    <w:p w14:paraId="59E3D90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（3）输煤栈桥全封闭，输送皮带上方设喷淋水管用于燃料干燥时的加湿。</w:t>
      </w:r>
    </w:p>
    <w:p w14:paraId="2B9DB39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zh-CN" w:eastAsia="zh-CN"/>
        </w:rPr>
      </w:pPr>
      <w:r>
        <w:rPr>
          <w:rFonts w:hint="default" w:ascii="Times New Roman" w:hAnsi="Times New Roman" w:eastAsia="宋体" w:cs="Times New Roman"/>
          <w:color w:val="FF0000"/>
          <w:sz w:val="24"/>
          <w:szCs w:val="24"/>
          <w:highlight w:val="none"/>
          <w:lang w:val="zh-CN" w:eastAsia="zh-CN"/>
        </w:rPr>
        <w:t>采取上述措施，可保证厂界无组织颗粒物的浓度满足《大气污染物综合排放标准》(GB16297-1996)中无组织排放监控浓度限值（1.0mg/m</w:t>
      </w:r>
      <w:r>
        <w:rPr>
          <w:rFonts w:hint="default" w:ascii="Times New Roman" w:hAnsi="Times New Roman" w:eastAsia="宋体" w:cs="Times New Roman"/>
          <w:color w:val="FF0000"/>
          <w:sz w:val="24"/>
          <w:szCs w:val="24"/>
          <w:highlight w:val="none"/>
          <w:vertAlign w:val="superscript"/>
          <w:lang w:val="zh-CN" w:eastAsia="zh-CN"/>
        </w:rPr>
        <w:t>3</w:t>
      </w:r>
      <w:r>
        <w:rPr>
          <w:rFonts w:hint="default" w:ascii="Times New Roman" w:hAnsi="Times New Roman" w:eastAsia="宋体" w:cs="Times New Roman"/>
          <w:color w:val="FF0000"/>
          <w:sz w:val="24"/>
          <w:szCs w:val="24"/>
          <w:highlight w:val="none"/>
          <w:lang w:val="zh-CN" w:eastAsia="zh-CN"/>
        </w:rPr>
        <w:t>）要求。</w:t>
      </w:r>
    </w:p>
    <w:p w14:paraId="3B3A6E2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7.2.1.7 烟气在线监测设备</w:t>
      </w:r>
    </w:p>
    <w:p w14:paraId="64668D5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为及时了解和监测热源厂烟气污染防治措施运行效果和烟气排放情况，本项目锅炉</w:t>
      </w:r>
      <w:r>
        <w:rPr>
          <w:rFonts w:hint="eastAsia" w:ascii="Times New Roman" w:hAnsi="Times New Roman" w:eastAsia="宋体" w:cs="Times New Roman"/>
          <w:color w:val="auto"/>
          <w:sz w:val="24"/>
          <w:szCs w:val="24"/>
          <w:highlight w:val="none"/>
          <w:lang w:val="zh-CN" w:eastAsia="zh-CN"/>
        </w:rPr>
        <w:t>设置</w:t>
      </w:r>
      <w:r>
        <w:rPr>
          <w:rFonts w:hint="default" w:ascii="Times New Roman" w:hAnsi="Times New Roman" w:eastAsia="宋体" w:cs="Times New Roman"/>
          <w:color w:val="auto"/>
          <w:sz w:val="24"/>
          <w:szCs w:val="24"/>
          <w:highlight w:val="none"/>
          <w:lang w:val="zh-CN" w:eastAsia="zh-CN"/>
        </w:rPr>
        <w:t>烟气在线监测系统，本项目锅炉烟气治理措施采用“SNCR-SCR脱硝+布袋除尘器除尘+</w:t>
      </w:r>
      <w:r>
        <w:rPr>
          <w:rFonts w:hint="eastAsia" w:ascii="Times New Roman" w:hAnsi="Times New Roman" w:eastAsia="宋体" w:cs="Times New Roman"/>
          <w:color w:val="auto"/>
          <w:sz w:val="24"/>
          <w:szCs w:val="24"/>
          <w:highlight w:val="none"/>
          <w:lang w:val="en-US" w:eastAsia="zh-CN"/>
        </w:rPr>
        <w:t>氧化镁</w:t>
      </w:r>
      <w:r>
        <w:rPr>
          <w:rFonts w:hint="default" w:ascii="Times New Roman" w:hAnsi="Times New Roman" w:eastAsia="宋体" w:cs="Times New Roman"/>
          <w:color w:val="auto"/>
          <w:sz w:val="24"/>
          <w:szCs w:val="24"/>
          <w:highlight w:val="none"/>
          <w:lang w:val="zh-CN" w:eastAsia="zh-CN"/>
        </w:rPr>
        <w:t>法脱硫”，处理后通过一根</w:t>
      </w:r>
      <w:r>
        <w:rPr>
          <w:rFonts w:hint="eastAsia" w:ascii="Times New Roman" w:hAnsi="Times New Roman" w:eastAsia="宋体" w:cs="Times New Roman"/>
          <w:color w:val="auto"/>
          <w:sz w:val="24"/>
          <w:szCs w:val="24"/>
          <w:highlight w:val="none"/>
          <w:lang w:val="en-US" w:eastAsia="zh-CN"/>
        </w:rPr>
        <w:t>100</w:t>
      </w:r>
      <w:r>
        <w:rPr>
          <w:rFonts w:hint="default" w:ascii="Times New Roman" w:hAnsi="Times New Roman" w:eastAsia="宋体" w:cs="Times New Roman"/>
          <w:color w:val="auto"/>
          <w:sz w:val="24"/>
          <w:szCs w:val="24"/>
          <w:highlight w:val="none"/>
          <w:lang w:val="zh-CN" w:eastAsia="zh-CN"/>
        </w:rPr>
        <w:t>m高烟囱排放。</w:t>
      </w:r>
      <w:r>
        <w:rPr>
          <w:rFonts w:hint="eastAsia" w:ascii="Times New Roman" w:hAnsi="Times New Roman" w:eastAsia="宋体" w:cs="Times New Roman"/>
          <w:color w:val="auto"/>
          <w:sz w:val="24"/>
          <w:szCs w:val="24"/>
          <w:highlight w:val="none"/>
          <w:lang w:val="zh-CN" w:eastAsia="zh-CN"/>
        </w:rPr>
        <w:t>设置一套</w:t>
      </w:r>
      <w:r>
        <w:rPr>
          <w:rFonts w:hint="eastAsia" w:ascii="Times New Roman" w:hAnsi="Times New Roman" w:eastAsia="宋体" w:cs="Times New Roman"/>
          <w:color w:val="auto"/>
          <w:sz w:val="24"/>
          <w:szCs w:val="24"/>
          <w:highlight w:val="none"/>
          <w:lang w:val="en-US" w:eastAsia="zh-CN"/>
        </w:rPr>
        <w:t>在线监测系统</w:t>
      </w:r>
      <w:r>
        <w:rPr>
          <w:rFonts w:hint="default" w:ascii="Times New Roman" w:hAnsi="Times New Roman" w:eastAsia="宋体" w:cs="Times New Roman"/>
          <w:color w:val="auto"/>
          <w:sz w:val="24"/>
          <w:szCs w:val="24"/>
          <w:highlight w:val="none"/>
          <w:lang w:val="zh-CN" w:eastAsia="zh-CN"/>
        </w:rPr>
        <w:t>监测烟气中的烟尘、SO</w:t>
      </w:r>
      <w:r>
        <w:rPr>
          <w:rFonts w:hint="default" w:ascii="Times New Roman" w:hAnsi="Times New Roman" w:eastAsia="宋体" w:cs="Times New Roman"/>
          <w:color w:val="auto"/>
          <w:sz w:val="24"/>
          <w:szCs w:val="24"/>
          <w:highlight w:val="none"/>
          <w:vertAlign w:val="subscript"/>
          <w:lang w:val="zh-CN" w:eastAsia="zh-CN"/>
        </w:rPr>
        <w:t>2</w:t>
      </w:r>
      <w:r>
        <w:rPr>
          <w:rFonts w:hint="default" w:ascii="Times New Roman" w:hAnsi="Times New Roman" w:eastAsia="宋体" w:cs="Times New Roman"/>
          <w:color w:val="auto"/>
          <w:sz w:val="24"/>
          <w:szCs w:val="24"/>
          <w:highlight w:val="none"/>
          <w:lang w:val="zh-CN" w:eastAsia="zh-CN"/>
        </w:rPr>
        <w:t>和NO</w:t>
      </w:r>
      <w:r>
        <w:rPr>
          <w:rFonts w:hint="default" w:ascii="Times New Roman" w:hAnsi="Times New Roman" w:eastAsia="宋体" w:cs="Times New Roman"/>
          <w:color w:val="auto"/>
          <w:sz w:val="24"/>
          <w:szCs w:val="24"/>
          <w:highlight w:val="none"/>
          <w:vertAlign w:val="subscript"/>
          <w:lang w:val="zh-CN" w:eastAsia="zh-CN"/>
        </w:rPr>
        <w:t>x</w:t>
      </w:r>
      <w:r>
        <w:rPr>
          <w:rFonts w:hint="default" w:ascii="Times New Roman" w:hAnsi="Times New Roman" w:eastAsia="宋体" w:cs="Times New Roman"/>
          <w:color w:val="auto"/>
          <w:sz w:val="24"/>
          <w:szCs w:val="24"/>
          <w:highlight w:val="none"/>
          <w:lang w:val="zh-CN" w:eastAsia="zh-CN"/>
        </w:rPr>
        <w:t>排放浓度以及温度、含氧量、流量、压力、湿度等参数，对处理后的烟气参数进行连续实时监控。烟气在线监测装置与当地生态环境局监控中心联网。</w:t>
      </w:r>
    </w:p>
    <w:p w14:paraId="3354514A">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7.2.1.8 锅炉烟囱设置合理性分析</w:t>
      </w:r>
    </w:p>
    <w:p w14:paraId="5B127C9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本项目锅炉烟气治理措施采用“SNCR-SCR脱硝+布袋除尘器除尘+</w:t>
      </w:r>
      <w:r>
        <w:rPr>
          <w:rFonts w:hint="eastAsia" w:ascii="Times New Roman" w:hAnsi="Times New Roman" w:eastAsia="宋体" w:cs="Times New Roman"/>
          <w:color w:val="auto"/>
          <w:sz w:val="24"/>
          <w:szCs w:val="24"/>
          <w:highlight w:val="none"/>
          <w:lang w:val="en-US" w:eastAsia="zh-CN"/>
        </w:rPr>
        <w:t>氧化镁</w:t>
      </w:r>
      <w:r>
        <w:rPr>
          <w:rFonts w:hint="default" w:ascii="Times New Roman" w:hAnsi="Times New Roman" w:eastAsia="宋体" w:cs="Times New Roman"/>
          <w:color w:val="auto"/>
          <w:sz w:val="24"/>
          <w:szCs w:val="24"/>
          <w:highlight w:val="none"/>
          <w:lang w:val="zh-CN" w:eastAsia="zh-CN"/>
        </w:rPr>
        <w:t>法脱硫”，处理后通过一根</w:t>
      </w:r>
      <w:r>
        <w:rPr>
          <w:rFonts w:hint="eastAsia" w:ascii="Times New Roman" w:hAnsi="Times New Roman" w:eastAsia="宋体" w:cs="Times New Roman"/>
          <w:color w:val="auto"/>
          <w:sz w:val="24"/>
          <w:szCs w:val="24"/>
          <w:highlight w:val="none"/>
          <w:lang w:val="en-US" w:eastAsia="zh-CN"/>
        </w:rPr>
        <w:t>100</w:t>
      </w:r>
      <w:r>
        <w:rPr>
          <w:rFonts w:hint="default" w:ascii="Times New Roman" w:hAnsi="Times New Roman" w:eastAsia="宋体" w:cs="Times New Roman"/>
          <w:color w:val="auto"/>
          <w:sz w:val="24"/>
          <w:szCs w:val="24"/>
          <w:highlight w:val="none"/>
          <w:lang w:val="zh-CN" w:eastAsia="zh-CN"/>
        </w:rPr>
        <w:t>m高烟囱排放，</w:t>
      </w:r>
      <w:r>
        <w:rPr>
          <w:rFonts w:hint="eastAsia" w:ascii="Times New Roman" w:hAnsi="Times New Roman" w:eastAsia="宋体" w:cs="Times New Roman"/>
          <w:color w:val="auto"/>
          <w:sz w:val="24"/>
          <w:szCs w:val="24"/>
          <w:highlight w:val="none"/>
          <w:lang w:val="zh-CN" w:eastAsia="zh-CN"/>
        </w:rPr>
        <w:t>根据《锅炉大气污染物排放标准》（GB13271-20</w:t>
      </w:r>
      <w:r>
        <w:rPr>
          <w:rFonts w:hint="eastAsia" w:ascii="Times New Roman" w:hAnsi="Times New Roman" w:eastAsia="宋体" w:cs="Times New Roman"/>
          <w:color w:val="auto"/>
          <w:sz w:val="24"/>
          <w:szCs w:val="24"/>
          <w:highlight w:val="none"/>
          <w:lang w:val="en-US" w:eastAsia="zh-CN"/>
        </w:rPr>
        <w:t>14</w:t>
      </w:r>
      <w:r>
        <w:rPr>
          <w:rFonts w:hint="eastAsia" w:ascii="Times New Roman" w:hAnsi="Times New Roman" w:eastAsia="宋体" w:cs="Times New Roman"/>
          <w:color w:val="auto"/>
          <w:sz w:val="24"/>
          <w:szCs w:val="24"/>
          <w:highlight w:val="none"/>
          <w:lang w:val="zh-CN" w:eastAsia="zh-CN"/>
        </w:rPr>
        <w:t>）中4.</w:t>
      </w:r>
      <w:r>
        <w:rPr>
          <w:rFonts w:hint="eastAsia" w:ascii="Times New Roman" w:hAnsi="Times New Roman" w:eastAsia="宋体" w:cs="Times New Roman"/>
          <w:color w:val="auto"/>
          <w:sz w:val="24"/>
          <w:szCs w:val="24"/>
          <w:highlight w:val="none"/>
          <w:lang w:val="en-US" w:eastAsia="zh-CN"/>
        </w:rPr>
        <w:t>5</w:t>
      </w:r>
      <w:r>
        <w:rPr>
          <w:rFonts w:hint="eastAsia" w:ascii="Times New Roman" w:hAnsi="Times New Roman" w:eastAsia="宋体" w:cs="Times New Roman"/>
          <w:color w:val="auto"/>
          <w:sz w:val="24"/>
          <w:szCs w:val="24"/>
          <w:highlight w:val="none"/>
          <w:lang w:val="zh-CN" w:eastAsia="zh-CN"/>
        </w:rPr>
        <w:t>“每个新建燃煤锅炉房只能设一根烟囱，烟囱高度应根据锅炉房装机总容量，按表4规定执行，</w:t>
      </w:r>
      <w:r>
        <w:rPr>
          <w:rFonts w:hint="eastAsia" w:ascii="Times New Roman" w:hAnsi="Times New Roman" w:eastAsia="宋体" w:cs="Times New Roman"/>
          <w:color w:val="auto"/>
          <w:sz w:val="24"/>
          <w:szCs w:val="24"/>
          <w:highlight w:val="none"/>
          <w:lang w:val="en-US" w:eastAsia="zh-CN"/>
        </w:rPr>
        <w:t>表4</w:t>
      </w:r>
      <w:r>
        <w:rPr>
          <w:rFonts w:hint="eastAsia" w:ascii="Times New Roman" w:hAnsi="Times New Roman" w:eastAsia="宋体" w:cs="Times New Roman"/>
          <w:color w:val="auto"/>
          <w:sz w:val="24"/>
          <w:szCs w:val="24"/>
          <w:highlight w:val="none"/>
          <w:lang w:val="zh-CN" w:eastAsia="zh-CN"/>
        </w:rPr>
        <w:t>锅炉房装机总容量大于14MW时，其烟囱高度不应低于45m；新建锅炉房烟囱周围半径200m距离内有建筑物时，其烟囱高度应高出最高建筑物的3m”，本项目锅炉房200m范围内最高建筑为厂区</w:t>
      </w:r>
      <w:r>
        <w:rPr>
          <w:rFonts w:hint="eastAsia" w:ascii="Times New Roman" w:hAnsi="Times New Roman" w:eastAsia="宋体" w:cs="Times New Roman"/>
          <w:color w:val="auto"/>
          <w:sz w:val="24"/>
          <w:szCs w:val="24"/>
          <w:highlight w:val="none"/>
          <w:lang w:val="en-US" w:eastAsia="zh-CN"/>
        </w:rPr>
        <w:t>锅炉房，</w:t>
      </w:r>
      <w:r>
        <w:rPr>
          <w:rFonts w:hint="eastAsia" w:ascii="Times New Roman" w:hAnsi="Times New Roman" w:eastAsia="宋体" w:cs="Times New Roman"/>
          <w:color w:val="auto"/>
          <w:sz w:val="24"/>
          <w:szCs w:val="24"/>
          <w:highlight w:val="none"/>
          <w:lang w:val="zh-CN" w:eastAsia="zh-CN"/>
        </w:rPr>
        <w:t>建筑高度为</w:t>
      </w:r>
      <w:r>
        <w:rPr>
          <w:rFonts w:hint="eastAsia" w:ascii="Times New Roman" w:hAnsi="Times New Roman" w:eastAsia="宋体" w:cs="Times New Roman"/>
          <w:color w:val="auto"/>
          <w:sz w:val="24"/>
          <w:szCs w:val="24"/>
          <w:highlight w:val="none"/>
          <w:lang w:val="en-US" w:eastAsia="zh-CN"/>
        </w:rPr>
        <w:t>25</w:t>
      </w:r>
      <w:r>
        <w:rPr>
          <w:rFonts w:hint="eastAsia" w:ascii="Times New Roman" w:hAnsi="Times New Roman" w:eastAsia="宋体" w:cs="Times New Roman"/>
          <w:color w:val="auto"/>
          <w:sz w:val="24"/>
          <w:szCs w:val="24"/>
          <w:highlight w:val="none"/>
          <w:lang w:val="zh-CN" w:eastAsia="zh-CN"/>
        </w:rPr>
        <w:t>m，本工程烟囱高出周围200m范围内的建筑物3m以上且高于45m，符合该规定要求。</w:t>
      </w:r>
    </w:p>
    <w:p w14:paraId="55A140B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综上所述，本项目</w:t>
      </w:r>
      <w:r>
        <w:rPr>
          <w:rFonts w:hint="eastAsia" w:ascii="Times New Roman" w:hAnsi="Times New Roman" w:eastAsia="宋体" w:cs="Times New Roman"/>
          <w:color w:val="auto"/>
          <w:sz w:val="24"/>
          <w:szCs w:val="24"/>
          <w:highlight w:val="none"/>
          <w:lang w:val="zh-CN" w:eastAsia="zh-CN"/>
        </w:rPr>
        <w:t>采取</w:t>
      </w:r>
      <w:r>
        <w:rPr>
          <w:rFonts w:hint="eastAsia" w:ascii="Times New Roman" w:hAnsi="Times New Roman" w:eastAsia="宋体" w:cs="Times New Roman"/>
          <w:color w:val="auto"/>
          <w:sz w:val="24"/>
          <w:szCs w:val="24"/>
          <w:highlight w:val="none"/>
          <w:lang w:val="en-US" w:eastAsia="zh-CN"/>
        </w:rPr>
        <w:t>100</w:t>
      </w:r>
      <w:r>
        <w:rPr>
          <w:rFonts w:hint="default" w:ascii="Times New Roman" w:hAnsi="Times New Roman" w:eastAsia="宋体" w:cs="Times New Roman"/>
          <w:color w:val="auto"/>
          <w:sz w:val="24"/>
          <w:szCs w:val="24"/>
          <w:highlight w:val="none"/>
          <w:lang w:val="zh-CN" w:eastAsia="zh-CN"/>
        </w:rPr>
        <w:t>m高锅炉烟囱可行。</w:t>
      </w:r>
    </w:p>
    <w:p w14:paraId="335A984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7.2.1.</w:t>
      </w:r>
      <w:r>
        <w:rPr>
          <w:rFonts w:hint="eastAsia" w:ascii="Times New Roman" w:hAnsi="Times New Roman" w:eastAsia="宋体" w:cs="Times New Roman"/>
          <w:b/>
          <w:bCs w:val="0"/>
          <w:color w:val="auto"/>
          <w:sz w:val="24"/>
          <w:szCs w:val="24"/>
          <w:lang w:val="en-US" w:eastAsia="zh-CN"/>
        </w:rPr>
        <w:t>9</w:t>
      </w:r>
      <w:r>
        <w:rPr>
          <w:rFonts w:hint="default" w:ascii="Times New Roman" w:hAnsi="Times New Roman" w:eastAsia="宋体" w:cs="Times New Roman"/>
          <w:b/>
          <w:bCs w:val="0"/>
          <w:color w:val="auto"/>
          <w:sz w:val="24"/>
          <w:szCs w:val="24"/>
          <w:lang w:val="en-US" w:eastAsia="zh-CN"/>
        </w:rPr>
        <w:t xml:space="preserve"> 锅炉</w:t>
      </w:r>
      <w:r>
        <w:rPr>
          <w:rFonts w:hint="eastAsia" w:ascii="Times New Roman" w:hAnsi="Times New Roman" w:eastAsia="宋体" w:cs="Times New Roman"/>
          <w:b/>
          <w:bCs w:val="0"/>
          <w:color w:val="auto"/>
          <w:sz w:val="24"/>
          <w:szCs w:val="24"/>
          <w:lang w:val="en-US" w:eastAsia="zh-CN"/>
        </w:rPr>
        <w:t>非正常工况烟气防治措施</w:t>
      </w:r>
    </w:p>
    <w:p w14:paraId="2416D76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项目非正常工况锅炉烟气净化系统出现滤袋破损、脱硫设备故障、脱硝系统不能投运和低负荷运行或设备故障导致脱硝系统不能投运，相较正常排放污染物浓度大幅度上升。</w:t>
      </w:r>
    </w:p>
    <w:p w14:paraId="121478A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评价要求加强管理，避免或尽量减少非正常工况的发生，进一步降低非正常工况下对当地环境空气质量的不利影响。</w:t>
      </w:r>
    </w:p>
    <w:p w14:paraId="6C4A668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70" w:name="_Toc25349"/>
      <w:bookmarkStart w:id="471" w:name="_Toc14849"/>
      <w:bookmarkStart w:id="472" w:name="_Toc26932"/>
      <w:r>
        <w:rPr>
          <w:rFonts w:hint="eastAsia" w:ascii="Times New Roman" w:hAnsi="Times New Roman" w:eastAsia="宋体" w:cs="Times New Roman"/>
          <w:b/>
          <w:bCs/>
          <w:color w:val="auto"/>
          <w:sz w:val="28"/>
          <w:szCs w:val="28"/>
          <w:lang w:val="en-US" w:eastAsia="zh-CN"/>
        </w:rPr>
        <w:t>7.2.2 废水污染防治措施</w:t>
      </w:r>
      <w:bookmarkEnd w:id="470"/>
      <w:bookmarkEnd w:id="471"/>
      <w:bookmarkEnd w:id="472"/>
    </w:p>
    <w:p w14:paraId="55D1156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（1）生产废水、生活污水防治措施</w:t>
      </w:r>
    </w:p>
    <w:p w14:paraId="4870462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本项目不新增生活污水排放，生产废水全部回用不外排，锅炉排污水及软化水系统排污水全部回用于除灰加湿及输煤系统除尘用水。</w:t>
      </w:r>
    </w:p>
    <w:p w14:paraId="13942BF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（2）依托污水处理设施的环境可行性评价</w:t>
      </w:r>
    </w:p>
    <w:p w14:paraId="0F0F797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cs="Times New Roman" w:eastAsiaTheme="minorEastAsia"/>
          <w:color w:val="auto"/>
          <w:sz w:val="24"/>
          <w:szCs w:val="24"/>
          <w:highlight w:val="none"/>
          <w:lang w:val="en-US" w:eastAsia="zh-CN"/>
        </w:rPr>
      </w:pPr>
      <w:r>
        <w:rPr>
          <w:rFonts w:hint="eastAsia" w:ascii="Times New Roman" w:hAnsi="Times New Roman" w:eastAsia="宋体" w:cs="Times New Roman"/>
          <w:color w:val="auto"/>
          <w:sz w:val="24"/>
          <w:szCs w:val="24"/>
          <w:highlight w:val="none"/>
          <w:lang w:val="zh-CN" w:eastAsia="zh-CN"/>
        </w:rPr>
        <w:t>八五二污水处理厂已于2012年8月取得环评批复，批复文号：黑垦环审[2012]83号。并于2016年进行验收，验收批复：黑垦环验[2016]44号。八五二污水处理厂位于八五二农场场部东北侧，污水处理厂占地8000m</w:t>
      </w:r>
      <w:r>
        <w:rPr>
          <w:rFonts w:hint="eastAsia" w:ascii="Times New Roman" w:hAnsi="Times New Roman" w:eastAsia="宋体" w:cs="Times New Roman"/>
          <w:color w:val="auto"/>
          <w:sz w:val="24"/>
          <w:szCs w:val="24"/>
          <w:highlight w:val="none"/>
          <w:vertAlign w:val="superscript"/>
          <w:lang w:val="zh-CN" w:eastAsia="zh-CN"/>
        </w:rPr>
        <w:t>2</w:t>
      </w:r>
      <w:r>
        <w:rPr>
          <w:rFonts w:hint="eastAsia" w:ascii="Times New Roman" w:hAnsi="Times New Roman" w:eastAsia="宋体" w:cs="Times New Roman"/>
          <w:color w:val="auto"/>
          <w:sz w:val="24"/>
          <w:szCs w:val="24"/>
          <w:highlight w:val="none"/>
          <w:lang w:val="zh-CN" w:eastAsia="zh-CN"/>
        </w:rPr>
        <w:t>，采用CASS处理工艺，设计处理能力为2500m</w:t>
      </w:r>
      <w:r>
        <w:rPr>
          <w:rFonts w:hint="eastAsia" w:ascii="Times New Roman" w:hAnsi="Times New Roman" w:eastAsia="宋体" w:cs="Times New Roman"/>
          <w:color w:val="auto"/>
          <w:sz w:val="24"/>
          <w:szCs w:val="24"/>
          <w:highlight w:val="none"/>
          <w:vertAlign w:val="superscript"/>
          <w:lang w:val="zh-CN" w:eastAsia="zh-CN"/>
        </w:rPr>
        <w:t>3</w:t>
      </w:r>
      <w:r>
        <w:rPr>
          <w:rFonts w:hint="eastAsia" w:ascii="Times New Roman" w:hAnsi="Times New Roman" w:eastAsia="宋体" w:cs="Times New Roman"/>
          <w:color w:val="auto"/>
          <w:sz w:val="24"/>
          <w:szCs w:val="24"/>
          <w:highlight w:val="none"/>
          <w:lang w:val="zh-CN" w:eastAsia="zh-CN"/>
        </w:rPr>
        <w:t>/d，实际处理水量约为1500m</w:t>
      </w:r>
      <w:r>
        <w:rPr>
          <w:rFonts w:hint="eastAsia" w:ascii="Times New Roman" w:hAnsi="Times New Roman" w:eastAsia="宋体" w:cs="Times New Roman"/>
          <w:color w:val="auto"/>
          <w:sz w:val="24"/>
          <w:szCs w:val="24"/>
          <w:highlight w:val="none"/>
          <w:vertAlign w:val="superscript"/>
          <w:lang w:val="zh-CN" w:eastAsia="zh-CN"/>
        </w:rPr>
        <w:t>3</w:t>
      </w:r>
      <w:r>
        <w:rPr>
          <w:rFonts w:hint="eastAsia" w:ascii="Times New Roman" w:hAnsi="Times New Roman" w:eastAsia="宋体" w:cs="Times New Roman"/>
          <w:color w:val="auto"/>
          <w:sz w:val="24"/>
          <w:szCs w:val="24"/>
          <w:highlight w:val="none"/>
          <w:lang w:val="zh-CN" w:eastAsia="zh-CN"/>
        </w:rPr>
        <w:t>/d。出水水质执行《城镇污水处理厂污染物排放标准》（GB18918-2002）一级A标准。本项目属于八五二污水处理厂的服务范围，本项目</w:t>
      </w:r>
      <w:r>
        <w:rPr>
          <w:rFonts w:hint="eastAsia" w:ascii="Times New Roman" w:hAnsi="Times New Roman" w:eastAsia="宋体" w:cs="Times New Roman"/>
          <w:color w:val="auto"/>
          <w:sz w:val="24"/>
          <w:szCs w:val="24"/>
          <w:highlight w:val="none"/>
          <w:lang w:val="en-US" w:eastAsia="zh-CN"/>
        </w:rPr>
        <w:t>不新增生活污水排放量，现有生活污水排入市政管网进入八五二农场污水处理厂处理</w:t>
      </w:r>
      <w:r>
        <w:rPr>
          <w:rFonts w:hint="eastAsia" w:ascii="Times New Roman" w:hAnsi="Times New Roman" w:eastAsia="宋体" w:cs="Times New Roman"/>
          <w:color w:val="auto"/>
          <w:sz w:val="24"/>
          <w:szCs w:val="24"/>
          <w:highlight w:val="none"/>
          <w:lang w:val="zh-CN" w:eastAsia="zh-CN"/>
        </w:rPr>
        <w:t>，因此污水进入八五二污水处理厂可行。</w:t>
      </w:r>
      <w:r>
        <w:rPr>
          <w:rFonts w:hint="eastAsia" w:ascii="Times New Roman" w:hAnsi="Times New Roman" w:eastAsia="宋体" w:cs="Times New Roman"/>
          <w:color w:val="FF0000"/>
          <w:sz w:val="24"/>
          <w:szCs w:val="24"/>
          <w:highlight w:val="none"/>
          <w:lang w:val="en-US" w:eastAsia="zh-CN"/>
        </w:rPr>
        <w:t>根据《排污许可证申请与核发技术规范  锅炉》（HJ953-2018），本项目依托现有脱硫废水处理设施，即</w:t>
      </w:r>
      <w:r>
        <w:rPr>
          <w:rFonts w:hint="default" w:ascii="Times New Roman" w:hAnsi="Times New Roman" w:eastAsia="宋体" w:cs="Times New Roman"/>
          <w:color w:val="FF0000"/>
          <w:sz w:val="24"/>
          <w:szCs w:val="24"/>
          <w:highlight w:val="none"/>
          <w:lang w:val="en-US" w:eastAsia="zh-CN"/>
        </w:rPr>
        <w:t>脱硫废水经过絮凝—沉淀—中和进行处理</w:t>
      </w:r>
      <w:r>
        <w:rPr>
          <w:rFonts w:hint="eastAsia" w:ascii="Times New Roman" w:hAnsi="Times New Roman" w:eastAsia="宋体" w:cs="Times New Roman"/>
          <w:color w:val="FF0000"/>
          <w:sz w:val="24"/>
          <w:szCs w:val="24"/>
          <w:highlight w:val="none"/>
          <w:lang w:val="en-US" w:eastAsia="zh-CN"/>
        </w:rPr>
        <w:t>，属于可行技术，符合相关要求。</w:t>
      </w:r>
    </w:p>
    <w:p w14:paraId="44FFCF5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（3）地下水污染防治措施</w:t>
      </w:r>
    </w:p>
    <w:p w14:paraId="10CA111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zh-CN" w:eastAsia="zh-CN"/>
        </w:rPr>
        <w:t>根据工程分析、场地各生产功能可能泄漏至地面的污染物性质和生产单元的构筑方式，将场地划分为重点防渗区、一般防渗区和简单防渗区，设计地下水污染防渗，</w:t>
      </w:r>
      <w:r>
        <w:rPr>
          <w:rFonts w:hint="eastAsia" w:ascii="Times New Roman" w:hAnsi="Times New Roman" w:eastAsia="宋体" w:cs="Times New Roman"/>
          <w:color w:val="auto"/>
          <w:sz w:val="24"/>
          <w:szCs w:val="24"/>
          <w:highlight w:val="none"/>
          <w:lang w:val="en-US" w:eastAsia="zh-CN"/>
        </w:rPr>
        <w:t>本项目建设内容包括锅炉改建、新建脱硫副产品间和消防泵房等</w:t>
      </w:r>
      <w:r>
        <w:rPr>
          <w:rFonts w:hint="eastAsia" w:ascii="Times New Roman" w:hAnsi="Times New Roman" w:eastAsia="宋体" w:cs="Times New Roman"/>
          <w:color w:val="auto"/>
          <w:sz w:val="24"/>
          <w:szCs w:val="24"/>
          <w:highlight w:val="none"/>
          <w:lang w:val="zh-CN" w:eastAsia="zh-CN"/>
        </w:rPr>
        <w:t>。</w:t>
      </w:r>
      <w:r>
        <w:rPr>
          <w:rFonts w:hint="eastAsia" w:ascii="Times New Roman" w:hAnsi="Times New Roman" w:eastAsia="宋体" w:cs="Times New Roman"/>
          <w:color w:val="auto"/>
          <w:sz w:val="24"/>
          <w:szCs w:val="24"/>
          <w:highlight w:val="none"/>
          <w:lang w:val="en-US" w:eastAsia="zh-CN"/>
        </w:rPr>
        <w:t>项目厂区目前已进行了分区防渗，针对本次建设内容具体防渗要求如下：</w:t>
      </w:r>
    </w:p>
    <w:p w14:paraId="1E7B80F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1</w:t>
      </w:r>
      <w:r>
        <w:rPr>
          <w:rFonts w:hint="eastAsia" w:ascii="Times New Roman" w:hAnsi="Times New Roman" w:eastAsia="宋体" w:cs="Times New Roman"/>
          <w:color w:val="auto"/>
          <w:sz w:val="24"/>
          <w:szCs w:val="24"/>
          <w:highlight w:val="none"/>
          <w:lang w:val="zh-CN" w:eastAsia="zh-CN"/>
        </w:rPr>
        <w:t>、一般防渗区（一般污染防治区）</w:t>
      </w:r>
    </w:p>
    <w:p w14:paraId="50EACB1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本次建设内容中，</w:t>
      </w:r>
      <w:r>
        <w:rPr>
          <w:rFonts w:hint="default" w:ascii="Times New Roman" w:hAnsi="Times New Roman" w:eastAsia="宋体" w:cs="Times New Roman"/>
          <w:color w:val="auto"/>
          <w:sz w:val="24"/>
          <w:szCs w:val="24"/>
          <w:highlight w:val="none"/>
          <w:lang w:val="zh-CN" w:eastAsia="zh-CN"/>
        </w:rPr>
        <w:t>一般防渗区主要包括</w:t>
      </w:r>
      <w:r>
        <w:rPr>
          <w:rFonts w:hint="eastAsia" w:ascii="Times New Roman" w:hAnsi="Times New Roman" w:eastAsia="宋体" w:cs="Times New Roman"/>
          <w:color w:val="auto"/>
          <w:sz w:val="24"/>
          <w:szCs w:val="24"/>
          <w:highlight w:val="none"/>
          <w:lang w:val="en-US" w:eastAsia="zh-CN"/>
        </w:rPr>
        <w:t>脱硫副产品间</w:t>
      </w:r>
      <w:r>
        <w:rPr>
          <w:rFonts w:hint="default" w:ascii="Times New Roman" w:hAnsi="Times New Roman" w:eastAsia="宋体" w:cs="Times New Roman"/>
          <w:color w:val="auto"/>
          <w:sz w:val="24"/>
          <w:szCs w:val="24"/>
          <w:highlight w:val="none"/>
          <w:lang w:val="zh-CN" w:eastAsia="zh-CN"/>
        </w:rPr>
        <w:t>、消防水泵房、消防水池等，一般防渗区的地面可采用抗渗混凝土作为其防渗层，混凝土强度等级不低于C25，抗渗混凝土等级不低于P6，厚度不小于100mm。一般防渗区防渗层的防渗性能不应低于1.5m厚，渗透系数为1×10</w:t>
      </w:r>
      <w:r>
        <w:rPr>
          <w:rFonts w:hint="default" w:ascii="Times New Roman" w:hAnsi="Times New Roman" w:eastAsia="宋体" w:cs="Times New Roman"/>
          <w:color w:val="auto"/>
          <w:sz w:val="24"/>
          <w:szCs w:val="24"/>
          <w:highlight w:val="none"/>
          <w:vertAlign w:val="superscript"/>
          <w:lang w:val="zh-CN" w:eastAsia="zh-CN"/>
        </w:rPr>
        <w:t>-7</w:t>
      </w:r>
      <w:r>
        <w:rPr>
          <w:rFonts w:hint="default" w:ascii="Times New Roman" w:hAnsi="Times New Roman" w:eastAsia="宋体" w:cs="Times New Roman"/>
          <w:color w:val="auto"/>
          <w:sz w:val="24"/>
          <w:szCs w:val="24"/>
          <w:highlight w:val="none"/>
          <w:lang w:val="zh-CN" w:eastAsia="zh-CN"/>
        </w:rPr>
        <w:t>cm/s的黏土层的防渗性能。</w:t>
      </w:r>
    </w:p>
    <w:p w14:paraId="43BD3A1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2</w:t>
      </w:r>
      <w:r>
        <w:rPr>
          <w:rFonts w:hint="eastAsia" w:ascii="Times New Roman" w:hAnsi="Times New Roman" w:eastAsia="宋体" w:cs="Times New Roman"/>
          <w:color w:val="auto"/>
          <w:sz w:val="24"/>
          <w:szCs w:val="24"/>
          <w:highlight w:val="none"/>
          <w:lang w:val="zh-CN" w:eastAsia="zh-CN"/>
        </w:rPr>
        <w:t>、简单防渗区（非污染防治区）</w:t>
      </w:r>
    </w:p>
    <w:p w14:paraId="30E5FF6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除重点防渗区、一般防渗区外的厂区（绿化区除外），</w:t>
      </w:r>
      <w:r>
        <w:rPr>
          <w:rFonts w:hint="eastAsia" w:ascii="Times New Roman" w:hAnsi="Times New Roman" w:eastAsia="宋体" w:cs="Times New Roman"/>
          <w:color w:val="auto"/>
          <w:sz w:val="24"/>
          <w:szCs w:val="24"/>
          <w:highlight w:val="none"/>
          <w:lang w:val="en-US" w:eastAsia="zh-CN"/>
        </w:rPr>
        <w:t>主要为</w:t>
      </w:r>
      <w:r>
        <w:rPr>
          <w:rFonts w:hint="eastAsia" w:ascii="Times New Roman" w:hAnsi="Times New Roman" w:eastAsia="宋体" w:cs="Times New Roman"/>
          <w:color w:val="auto"/>
          <w:sz w:val="24"/>
          <w:szCs w:val="24"/>
          <w:highlight w:val="none"/>
          <w:lang w:val="zh-CN" w:eastAsia="zh-CN"/>
        </w:rPr>
        <w:t>围墙及电动大门门库等进行地表硬化处理。防渗性能应不大于1×10</w:t>
      </w:r>
      <w:r>
        <w:rPr>
          <w:rFonts w:hint="eastAsia" w:ascii="Times New Roman" w:hAnsi="Times New Roman" w:eastAsia="宋体" w:cs="Times New Roman"/>
          <w:color w:val="auto"/>
          <w:sz w:val="24"/>
          <w:szCs w:val="24"/>
          <w:highlight w:val="none"/>
          <w:vertAlign w:val="superscript"/>
          <w:lang w:val="zh-CN" w:eastAsia="zh-CN"/>
        </w:rPr>
        <w:t>-6</w:t>
      </w:r>
      <w:r>
        <w:rPr>
          <w:rFonts w:hint="eastAsia" w:ascii="Times New Roman" w:hAnsi="Times New Roman" w:eastAsia="宋体" w:cs="Times New Roman"/>
          <w:color w:val="auto"/>
          <w:sz w:val="24"/>
          <w:szCs w:val="24"/>
          <w:highlight w:val="none"/>
          <w:lang w:val="zh-CN" w:eastAsia="zh-CN"/>
        </w:rPr>
        <w:t>cm/s。</w:t>
      </w:r>
    </w:p>
    <w:p w14:paraId="439D241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在确保各项防渗措施得以落实，并加强维护和厂区环境管理的前提下，不会对区域地下水环境产生明显影响。厂区道路采取了水泥地面硬化的防渗措施，满足《环境影响评价技术导则 地下水环境》(HJ610-2016)表7地下水污染防渗分区参照表中简单防渗区防渗技术要求。</w:t>
      </w:r>
    </w:p>
    <w:p w14:paraId="5C321EB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73" w:name="_Toc8813"/>
      <w:bookmarkStart w:id="474" w:name="_Toc16173"/>
      <w:bookmarkStart w:id="475" w:name="_Toc19365"/>
      <w:r>
        <w:rPr>
          <w:rFonts w:hint="eastAsia" w:ascii="Times New Roman" w:hAnsi="Times New Roman" w:eastAsia="宋体" w:cs="Times New Roman"/>
          <w:b/>
          <w:bCs/>
          <w:color w:val="auto"/>
          <w:sz w:val="28"/>
          <w:szCs w:val="28"/>
          <w:lang w:val="en-US" w:eastAsia="zh-CN"/>
        </w:rPr>
        <w:t>7.2.3 噪声污染防治措施</w:t>
      </w:r>
      <w:bookmarkEnd w:id="473"/>
      <w:bookmarkEnd w:id="474"/>
      <w:bookmarkEnd w:id="475"/>
    </w:p>
    <w:p w14:paraId="46ABE06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本工程的噪声设备主要是锅炉、风机、水泵等设备，</w:t>
      </w:r>
      <w:r>
        <w:rPr>
          <w:rFonts w:hint="eastAsia" w:ascii="Times New Roman" w:hAnsi="Times New Roman" w:eastAsia="宋体" w:cs="Times New Roman"/>
          <w:color w:val="auto"/>
          <w:sz w:val="24"/>
          <w:szCs w:val="24"/>
          <w:highlight w:val="none"/>
          <w:lang w:val="en-US" w:eastAsia="zh-CN"/>
        </w:rPr>
        <w:t>燃煤转运噪声对周边居民的影响。</w:t>
      </w:r>
      <w:r>
        <w:rPr>
          <w:rFonts w:hint="eastAsia" w:ascii="Times New Roman" w:hAnsi="Times New Roman" w:eastAsia="宋体" w:cs="Times New Roman"/>
          <w:color w:val="auto"/>
          <w:sz w:val="24"/>
          <w:szCs w:val="24"/>
          <w:highlight w:val="none"/>
          <w:lang w:val="zh-CN" w:eastAsia="zh-CN"/>
        </w:rPr>
        <w:t>其噪声防治对策主要考虑从声源上和传播途径上降低噪声。</w:t>
      </w:r>
    </w:p>
    <w:p w14:paraId="0417A02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（1）声源降噪</w:t>
      </w:r>
    </w:p>
    <w:p w14:paraId="40ACC88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控制声源是降低噪声的最根本和最有效的方法，其主要方法是通过减少或避免运动部件的冲击和碰撞，提高运动部件的平衡精度，防止流体的压力突变等来降低激振力；通过防止系统共振等来降低机械系统中噪声辐射部件对激振力的响应。</w:t>
      </w:r>
    </w:p>
    <w:p w14:paraId="0088064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①设备订货时向设备制造厂家提出噪声值具体要求，或根据厂家提供的设备噪声值进行选择，选用低噪声、低振动、高质量的风机、水泵等低噪声设备。</w:t>
      </w:r>
      <w:r>
        <w:rPr>
          <w:rFonts w:hint="eastAsia" w:ascii="Times New Roman" w:hAnsi="Times New Roman" w:eastAsia="宋体" w:cs="Times New Roman"/>
          <w:color w:val="auto"/>
          <w:sz w:val="24"/>
          <w:szCs w:val="24"/>
          <w:highlight w:val="none"/>
          <w:lang w:val="en-US" w:eastAsia="zh-CN"/>
        </w:rPr>
        <w:t>定期对燃煤转运车辆进行维护保养，降低转运车辆噪声。</w:t>
      </w:r>
    </w:p>
    <w:p w14:paraId="17968F8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②噪声设备基础必须采取隔振措施，碎煤机、风机、水泵应安装在牢固的基座上，基座下设隔振垫，可降低噪声1～3dB(A)。</w:t>
      </w:r>
    </w:p>
    <w:p w14:paraId="53991A6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③风机的进出口加装消声器，风机消声应考虑烟道中有尘粒的特点，同时还要考虑烟气结露和含湿量的问题。吸声材料应便于更换。管道与风机口采用软连接，可降低噪声14～15dB(A)</w:t>
      </w:r>
    </w:p>
    <w:p w14:paraId="4B46355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④铲车运行时间通常安排在昼间（6:00-22:00），禁止夜间（22:00-次日6:00）运行，避免噪声扰民，如锅炉房运行需要连续作业，需提前向环保部门申请，并采取降噪措施，如使用低噪声设备或隔音屏障。</w:t>
      </w:r>
    </w:p>
    <w:p w14:paraId="067C47A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⑤锅炉排汽口噪声属于高空偶发噪声，可在其排汽口处安装消声器；对引风机管道外壳阻尼；一次风机和二次风机可在进风口处安装消声器。</w:t>
      </w:r>
    </w:p>
    <w:p w14:paraId="6A9A1E8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（2）传播途径降噪</w:t>
      </w:r>
    </w:p>
    <w:p w14:paraId="26D1D53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①在锅炉间、泵房内设置隔声控制室，控制室内噪声在65dB(A)以下。</w:t>
      </w:r>
    </w:p>
    <w:p w14:paraId="5752558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②锅炉房、风机室设隔声门和隔声窗，室内墙应采用吸声材料，减弱室内噪声向外传播。煤场为全封闭煤库，可减小燃煤转运噪声对周边居民的影响。</w:t>
      </w:r>
    </w:p>
    <w:p w14:paraId="3AC23AE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③输煤采用密闭式输送廊道。</w:t>
      </w:r>
    </w:p>
    <w:p w14:paraId="5B7C9AE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④锅炉给水泵安装时可采取基础减振措施。脱硫系统风机在安装时可在进口处安装隔声罩和室内布置；浆液循环泵在安装时在其外部加上隔声罩壳，并采取基础减振措施。</w:t>
      </w:r>
    </w:p>
    <w:p w14:paraId="7B9595C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FF0000"/>
          <w:sz w:val="24"/>
          <w:szCs w:val="24"/>
          <w:highlight w:val="none"/>
          <w:lang w:val="en-US" w:eastAsia="zh-CN"/>
        </w:rPr>
      </w:pPr>
      <w:r>
        <w:rPr>
          <w:rFonts w:hint="eastAsia" w:ascii="Times New Roman" w:hAnsi="Times New Roman" w:eastAsia="宋体" w:cs="Times New Roman"/>
          <w:color w:val="FF0000"/>
          <w:sz w:val="24"/>
          <w:szCs w:val="24"/>
          <w:highlight w:val="none"/>
          <w:lang w:val="en-US" w:eastAsia="zh-CN"/>
        </w:rPr>
        <w:t>⑤水泵在安装时保证设备平衡并采取隔声罩。</w:t>
      </w:r>
    </w:p>
    <w:p w14:paraId="018C3AF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（3）本项目距敏感目标较近，为确保厂界噪声达标，企业通过选用低噪声设备、隔声减振、加强管理等，经厂房隔声和距离衰减可确保厂界达标。</w:t>
      </w:r>
    </w:p>
    <w:p w14:paraId="419D9F5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采取了上述措施后，本项目噪声预测值昼间、夜间均满足《工业企业厂界环境噪声排放标准》（GB12348－2008）中2类标准限值。</w:t>
      </w:r>
    </w:p>
    <w:p w14:paraId="0B08A01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76" w:name="_Toc27650"/>
      <w:bookmarkStart w:id="477" w:name="_Toc13106"/>
      <w:bookmarkStart w:id="478" w:name="_Toc17597"/>
      <w:r>
        <w:rPr>
          <w:rFonts w:hint="eastAsia" w:ascii="Times New Roman" w:hAnsi="Times New Roman" w:eastAsia="宋体" w:cs="Times New Roman"/>
          <w:b/>
          <w:bCs/>
          <w:color w:val="auto"/>
          <w:sz w:val="28"/>
          <w:szCs w:val="28"/>
          <w:lang w:val="en-US" w:eastAsia="zh-CN"/>
        </w:rPr>
        <w:t>7.2.4 固体废物污染防治措施</w:t>
      </w:r>
      <w:bookmarkEnd w:id="476"/>
      <w:bookmarkEnd w:id="477"/>
      <w:bookmarkEnd w:id="478"/>
    </w:p>
    <w:p w14:paraId="2C00A32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（1）一般固体废物</w:t>
      </w:r>
    </w:p>
    <w:p w14:paraId="787755D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de-DE" w:eastAsia="zh-CN"/>
        </w:rPr>
        <w:t>①</w:t>
      </w:r>
      <w:r>
        <w:rPr>
          <w:rFonts w:hint="eastAsia" w:ascii="Times New Roman" w:hAnsi="Times New Roman" w:eastAsia="宋体" w:cs="Times New Roman"/>
          <w:color w:val="auto"/>
          <w:sz w:val="24"/>
          <w:szCs w:val="24"/>
          <w:highlight w:val="none"/>
          <w:lang w:val="en-US" w:eastAsia="zh-CN"/>
        </w:rPr>
        <w:t>锅炉灰渣</w:t>
      </w:r>
    </w:p>
    <w:p w14:paraId="2AC5C7F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除渣依托现有除渣设备，采用机械除渣方式。</w:t>
      </w:r>
      <w:r>
        <w:rPr>
          <w:rFonts w:hint="default" w:ascii="Times New Roman" w:hAnsi="Times New Roman" w:eastAsia="宋体" w:cs="Times New Roman"/>
          <w:color w:val="auto"/>
          <w:sz w:val="24"/>
          <w:szCs w:val="24"/>
          <w:highlight w:val="none"/>
          <w:lang w:val="en-US" w:eastAsia="zh-CN"/>
        </w:rPr>
        <w:t>炉下布置1#重型板链除渣机，炉下渣斗及落灰管直接插入刮板捞渣机水封槽内，除尘器下细灰经落灰管直接落入2#刮板除渣机内，两台除渣机将渣运至3#重型板链除渣机内，再由3#重型板链除渣机运至灰渣楼内，渣楼内设有渣斗，渣斗单个有效容积约为40m</w:t>
      </w:r>
      <w:r>
        <w:rPr>
          <w:rFonts w:hint="default" w:ascii="Times New Roman" w:hAnsi="Times New Roman" w:eastAsia="宋体" w:cs="Times New Roman"/>
          <w:color w:val="auto"/>
          <w:sz w:val="24"/>
          <w:szCs w:val="24"/>
          <w:highlight w:val="none"/>
          <w:vertAlign w:val="superscript"/>
          <w:lang w:val="en-US" w:eastAsia="zh-CN"/>
        </w:rPr>
        <w:t>3</w:t>
      </w:r>
      <w:r>
        <w:rPr>
          <w:rFonts w:hint="default" w:ascii="Times New Roman" w:hAnsi="Times New Roman" w:eastAsia="宋体" w:cs="Times New Roman"/>
          <w:color w:val="auto"/>
          <w:sz w:val="24"/>
          <w:szCs w:val="24"/>
          <w:highlight w:val="none"/>
          <w:lang w:val="en-US" w:eastAsia="zh-CN"/>
        </w:rPr>
        <w:t>，可存炉渣8小时左右。厂区设有1座全封闭灰渣仓，灰渣仓长10m、宽7m、高10m，布置在锅炉房北侧。</w:t>
      </w:r>
    </w:p>
    <w:p w14:paraId="5DC161B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经计算锅炉灰渣量产生量为</w:t>
      </w:r>
      <w:r>
        <w:rPr>
          <w:rFonts w:hint="eastAsia" w:ascii="Times New Roman" w:hAnsi="Times New Roman" w:eastAsia="宋体" w:cs="Times New Roman"/>
          <w:color w:val="auto"/>
          <w:sz w:val="24"/>
          <w:szCs w:val="24"/>
          <w:highlight w:val="none"/>
          <w:lang w:val="en-US" w:eastAsia="zh-CN"/>
        </w:rPr>
        <w:t>22575.962</w:t>
      </w:r>
      <w:r>
        <w:rPr>
          <w:rFonts w:hint="default" w:ascii="Times New Roman" w:hAnsi="Times New Roman" w:eastAsia="宋体" w:cs="Times New Roman"/>
          <w:color w:val="auto"/>
          <w:sz w:val="24"/>
          <w:szCs w:val="24"/>
          <w:highlight w:val="none"/>
          <w:lang w:val="en-US" w:eastAsia="zh-CN"/>
        </w:rPr>
        <w:t>t/a。不在厂区内长期存储，</w:t>
      </w:r>
      <w:r>
        <w:rPr>
          <w:rFonts w:hint="eastAsia" w:ascii="Times New Roman" w:hAnsi="Times New Roman" w:eastAsia="宋体" w:cs="Times New Roman"/>
          <w:color w:val="auto"/>
          <w:sz w:val="24"/>
          <w:szCs w:val="24"/>
          <w:highlight w:val="none"/>
          <w:lang w:val="en-US" w:eastAsia="zh-CN"/>
        </w:rPr>
        <w:t>在灰渣仓</w:t>
      </w:r>
      <w:r>
        <w:rPr>
          <w:rFonts w:hint="default" w:ascii="Times New Roman" w:hAnsi="Times New Roman" w:eastAsia="宋体" w:cs="Times New Roman"/>
          <w:color w:val="auto"/>
          <w:sz w:val="24"/>
          <w:szCs w:val="24"/>
          <w:highlight w:val="none"/>
          <w:lang w:val="en-US" w:eastAsia="zh-CN"/>
        </w:rPr>
        <w:t>内暂存，</w:t>
      </w:r>
      <w:r>
        <w:rPr>
          <w:rFonts w:hint="eastAsia" w:ascii="Times New Roman" w:hAnsi="Times New Roman" w:eastAsia="宋体" w:cs="Times New Roman"/>
          <w:color w:val="auto"/>
          <w:sz w:val="24"/>
          <w:szCs w:val="24"/>
          <w:highlight w:val="none"/>
          <w:lang w:val="en-US" w:eastAsia="zh-CN"/>
        </w:rPr>
        <w:t>外售综合利用</w:t>
      </w:r>
      <w:r>
        <w:rPr>
          <w:rFonts w:hint="default" w:ascii="Times New Roman" w:hAnsi="Times New Roman" w:eastAsia="宋体" w:cs="Times New Roman"/>
          <w:color w:val="auto"/>
          <w:sz w:val="24"/>
          <w:szCs w:val="24"/>
          <w:highlight w:val="none"/>
          <w:lang w:val="en-US" w:eastAsia="zh-CN"/>
        </w:rPr>
        <w:t>。</w:t>
      </w:r>
    </w:p>
    <w:p w14:paraId="600EBCD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②废布袋</w:t>
      </w:r>
    </w:p>
    <w:p w14:paraId="0E5EA53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根据锅炉厂家提供的资料可知，布袋除尘器滤袋</w:t>
      </w:r>
      <w:r>
        <w:rPr>
          <w:rFonts w:hint="eastAsia" w:ascii="Times New Roman" w:hAnsi="Times New Roman" w:eastAsia="宋体" w:cs="Times New Roman"/>
          <w:color w:val="auto"/>
          <w:sz w:val="24"/>
          <w:szCs w:val="24"/>
          <w:highlight w:val="none"/>
          <w:lang w:val="en-US" w:eastAsia="zh-CN"/>
        </w:rPr>
        <w:t>每年</w:t>
      </w:r>
      <w:r>
        <w:rPr>
          <w:rFonts w:hint="default" w:ascii="Times New Roman" w:hAnsi="Times New Roman" w:eastAsia="宋体" w:cs="Times New Roman"/>
          <w:color w:val="auto"/>
          <w:sz w:val="24"/>
          <w:szCs w:val="24"/>
          <w:highlight w:val="none"/>
          <w:lang w:val="en-US" w:eastAsia="zh-CN"/>
        </w:rPr>
        <w:t>更换一次，废滤袋产生量为</w:t>
      </w:r>
      <w:r>
        <w:rPr>
          <w:rFonts w:hint="eastAsia" w:ascii="Times New Roman" w:hAnsi="Times New Roman" w:eastAsia="宋体" w:cs="Times New Roman"/>
          <w:color w:val="auto"/>
          <w:sz w:val="24"/>
          <w:szCs w:val="24"/>
          <w:highlight w:val="none"/>
          <w:lang w:val="en-US" w:eastAsia="zh-CN"/>
        </w:rPr>
        <w:t>0.1t</w:t>
      </w:r>
      <w:r>
        <w:rPr>
          <w:rFonts w:hint="default" w:ascii="Times New Roman" w:hAnsi="Times New Roman" w:eastAsia="宋体" w:cs="Times New Roman"/>
          <w:color w:val="auto"/>
          <w:sz w:val="24"/>
          <w:szCs w:val="24"/>
          <w:highlight w:val="none"/>
          <w:lang w:val="en-US" w:eastAsia="zh-CN"/>
        </w:rPr>
        <w:t>/a。由厂家</w:t>
      </w:r>
      <w:r>
        <w:rPr>
          <w:rFonts w:hint="eastAsia" w:ascii="Times New Roman" w:hAnsi="Times New Roman" w:eastAsia="宋体" w:cs="Times New Roman"/>
          <w:color w:val="auto"/>
          <w:sz w:val="24"/>
          <w:szCs w:val="24"/>
          <w:highlight w:val="none"/>
          <w:lang w:val="en-US" w:eastAsia="zh-CN"/>
        </w:rPr>
        <w:t>更换时</w:t>
      </w:r>
      <w:r>
        <w:rPr>
          <w:rFonts w:hint="default" w:ascii="Times New Roman" w:hAnsi="Times New Roman" w:eastAsia="宋体" w:cs="Times New Roman"/>
          <w:color w:val="auto"/>
          <w:sz w:val="24"/>
          <w:szCs w:val="24"/>
          <w:highlight w:val="none"/>
          <w:lang w:val="en-US" w:eastAsia="zh-CN"/>
        </w:rPr>
        <w:t>回收</w:t>
      </w:r>
      <w:r>
        <w:rPr>
          <w:rFonts w:hint="eastAsia" w:ascii="Times New Roman" w:hAnsi="Times New Roman" w:eastAsia="宋体" w:cs="Times New Roman"/>
          <w:color w:val="auto"/>
          <w:sz w:val="24"/>
          <w:szCs w:val="24"/>
          <w:highlight w:val="none"/>
          <w:lang w:val="en-US" w:eastAsia="zh-CN"/>
        </w:rPr>
        <w:t>，不在厂区内贮存</w:t>
      </w:r>
      <w:r>
        <w:rPr>
          <w:rFonts w:hint="default" w:ascii="Times New Roman" w:hAnsi="Times New Roman" w:eastAsia="宋体" w:cs="Times New Roman"/>
          <w:color w:val="auto"/>
          <w:sz w:val="24"/>
          <w:szCs w:val="24"/>
          <w:highlight w:val="none"/>
          <w:lang w:val="en-US" w:eastAsia="zh-CN"/>
        </w:rPr>
        <w:t>。</w:t>
      </w:r>
    </w:p>
    <w:p w14:paraId="5CC868B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③</w:t>
      </w:r>
      <w:r>
        <w:rPr>
          <w:rFonts w:hint="eastAsia" w:ascii="Times New Roman" w:hAnsi="Times New Roman" w:eastAsia="宋体" w:cs="Times New Roman"/>
          <w:color w:val="auto"/>
          <w:sz w:val="24"/>
          <w:szCs w:val="24"/>
          <w:highlight w:val="none"/>
          <w:lang w:val="en-US" w:eastAsia="zh-CN"/>
        </w:rPr>
        <w:t>初期雨水收集池</w:t>
      </w:r>
      <w:r>
        <w:rPr>
          <w:rFonts w:hint="default" w:ascii="Times New Roman" w:hAnsi="Times New Roman" w:eastAsia="宋体" w:cs="Times New Roman"/>
          <w:color w:val="auto"/>
          <w:sz w:val="24"/>
          <w:szCs w:val="24"/>
          <w:highlight w:val="none"/>
          <w:lang w:val="en-US" w:eastAsia="zh-CN"/>
        </w:rPr>
        <w:t>沉渣</w:t>
      </w:r>
    </w:p>
    <w:p w14:paraId="3E2C48F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厂区除渣水、初期雨水裹挟沉渣排入</w:t>
      </w:r>
      <w:r>
        <w:rPr>
          <w:rFonts w:hint="eastAsia" w:ascii="Times New Roman" w:hAnsi="Times New Roman" w:eastAsia="宋体" w:cs="Times New Roman"/>
          <w:color w:val="auto"/>
          <w:sz w:val="24"/>
          <w:szCs w:val="24"/>
          <w:highlight w:val="none"/>
          <w:lang w:val="en-US" w:eastAsia="zh-CN"/>
        </w:rPr>
        <w:t>初期雨水收集</w:t>
      </w:r>
      <w:r>
        <w:rPr>
          <w:rFonts w:hint="default" w:ascii="Times New Roman" w:hAnsi="Times New Roman" w:eastAsia="宋体" w:cs="Times New Roman"/>
          <w:color w:val="auto"/>
          <w:sz w:val="24"/>
          <w:szCs w:val="24"/>
          <w:highlight w:val="none"/>
          <w:lang w:val="en-US" w:eastAsia="zh-CN"/>
        </w:rPr>
        <w:t>池，产生量为0.1t/a，沉渣定期清掏作为燃料入炉燃烧。</w:t>
      </w:r>
    </w:p>
    <w:p w14:paraId="33C44E4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④</w:t>
      </w:r>
      <w:r>
        <w:rPr>
          <w:rFonts w:hint="eastAsia" w:ascii="Times New Roman" w:hAnsi="Times New Roman" w:eastAsia="宋体" w:cs="Times New Roman"/>
          <w:color w:val="auto"/>
          <w:sz w:val="24"/>
          <w:szCs w:val="24"/>
          <w:highlight w:val="none"/>
          <w:lang w:val="en-US" w:eastAsia="zh-CN"/>
        </w:rPr>
        <w:t>脱硫副产物</w:t>
      </w:r>
    </w:p>
    <w:p w14:paraId="39376C2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经计算，本项目脱硫副产物产生量为</w:t>
      </w:r>
      <w:r>
        <w:rPr>
          <w:rFonts w:hint="eastAsia" w:ascii="Times New Roman" w:hAnsi="Times New Roman" w:eastAsia="宋体" w:cs="Times New Roman"/>
          <w:color w:val="auto"/>
          <w:sz w:val="24"/>
          <w:szCs w:val="24"/>
          <w:highlight w:val="none"/>
          <w:lang w:val="en-US" w:eastAsia="zh-CN"/>
        </w:rPr>
        <w:t>237.257</w:t>
      </w:r>
      <w:r>
        <w:rPr>
          <w:rFonts w:hint="default" w:ascii="Times New Roman" w:hAnsi="Times New Roman" w:eastAsia="宋体" w:cs="Times New Roman"/>
          <w:color w:val="auto"/>
          <w:sz w:val="24"/>
          <w:szCs w:val="24"/>
          <w:highlight w:val="none"/>
          <w:lang w:val="en-US" w:eastAsia="zh-CN"/>
        </w:rPr>
        <w:t>t/a。</w:t>
      </w:r>
    </w:p>
    <w:p w14:paraId="1465F46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本工程烟气脱硫副产物为硫酸镁</w:t>
      </w:r>
      <w:r>
        <w:rPr>
          <w:rFonts w:hint="default" w:ascii="Times New Roman" w:hAnsi="Times New Roman" w:eastAsia="宋体" w:cs="Times New Roman"/>
          <w:color w:val="auto"/>
          <w:sz w:val="24"/>
          <w:szCs w:val="24"/>
          <w:highlight w:val="none"/>
          <w:lang w:val="en-US" w:eastAsia="zh-CN"/>
        </w:rPr>
        <w:t>，其纯度≥90%，含湿量≤10%</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属于Ⅰ类固体废弃物，为一般固废，不在厂区内长期存储，</w:t>
      </w:r>
      <w:r>
        <w:rPr>
          <w:rFonts w:hint="eastAsia" w:ascii="Times New Roman" w:hAnsi="Times New Roman" w:eastAsia="宋体" w:cs="Times New Roman"/>
          <w:color w:val="auto"/>
          <w:sz w:val="24"/>
          <w:szCs w:val="24"/>
          <w:highlight w:val="none"/>
          <w:lang w:val="en-US" w:eastAsia="zh-CN"/>
        </w:rPr>
        <w:t>暂存于脱硫副产品间，占地面积28.8m</w:t>
      </w:r>
      <w:r>
        <w:rPr>
          <w:rFonts w:hint="eastAsia" w:ascii="Times New Roman" w:hAnsi="Times New Roman" w:eastAsia="宋体" w:cs="Times New Roman"/>
          <w:color w:val="auto"/>
          <w:sz w:val="24"/>
          <w:szCs w:val="24"/>
          <w:highlight w:val="none"/>
          <w:vertAlign w:val="superscript"/>
          <w:lang w:val="en-US" w:eastAsia="zh-CN"/>
        </w:rPr>
        <w:t>2</w:t>
      </w:r>
      <w:r>
        <w:rPr>
          <w:rFonts w:hint="eastAsia" w:ascii="Times New Roman" w:hAnsi="Times New Roman" w:eastAsia="宋体" w:cs="Times New Roman"/>
          <w:color w:val="auto"/>
          <w:sz w:val="24"/>
          <w:szCs w:val="24"/>
          <w:highlight w:val="none"/>
          <w:lang w:val="en-US" w:eastAsia="zh-CN"/>
        </w:rPr>
        <w:t>。脱硫副产物外售综合利用</w:t>
      </w:r>
      <w:r>
        <w:rPr>
          <w:rFonts w:hint="default" w:ascii="Times New Roman" w:hAnsi="Times New Roman" w:eastAsia="宋体" w:cs="Times New Roman"/>
          <w:color w:val="auto"/>
          <w:sz w:val="24"/>
          <w:szCs w:val="24"/>
          <w:highlight w:val="none"/>
          <w:lang w:val="en-US" w:eastAsia="zh-CN"/>
        </w:rPr>
        <w:t>。</w:t>
      </w:r>
    </w:p>
    <w:p w14:paraId="1D82602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⑤废离子交换树脂</w:t>
      </w:r>
    </w:p>
    <w:p w14:paraId="0610CAB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化学水处</w:t>
      </w:r>
      <w:r>
        <w:rPr>
          <w:rFonts w:hint="default" w:ascii="Times New Roman" w:hAnsi="Times New Roman" w:eastAsia="宋体" w:cs="Times New Roman"/>
          <w:color w:val="auto"/>
          <w:sz w:val="24"/>
          <w:szCs w:val="24"/>
          <w:highlight w:val="none"/>
          <w:lang w:val="en-US" w:eastAsia="zh-CN"/>
        </w:rPr>
        <w:t>理过程中会产生废树脂，废离子交换树脂产生量为1t/a，</w:t>
      </w:r>
      <w:r>
        <w:rPr>
          <w:rFonts w:hint="eastAsia" w:ascii="Times New Roman" w:hAnsi="Times New Roman" w:eastAsia="宋体" w:cs="Times New Roman"/>
          <w:color w:val="auto"/>
          <w:sz w:val="24"/>
          <w:szCs w:val="24"/>
          <w:highlight w:val="none"/>
          <w:lang w:val="en-US" w:eastAsia="zh-CN"/>
        </w:rPr>
        <w:t>不属于《国家危险废物名录》（2025年版）提到的危险废物，废离子交换树脂不在厂区贮存，由更换厂家回收处理。</w:t>
      </w:r>
    </w:p>
    <w:p w14:paraId="5EFA732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（2）危险废物</w:t>
      </w:r>
    </w:p>
    <w:p w14:paraId="22197BA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国家危险废物名录（2025年版）》可知，废矿物油属于危险废物（HW08废矿物油与含矿物油废物中900-214-08车辆、轮船及其它机械维修过程中产生的废发动机油、制动器油、自动变速器油、齿轮油等废润滑油），产生后暂存于危险废物贮存点，定期交由有资质单位处置。</w:t>
      </w:r>
    </w:p>
    <w:p w14:paraId="637D25A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脱硝系统产生的废脱硝催化剂（寿命3年）的主要成份有V</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O</w:t>
      </w:r>
      <w:r>
        <w:rPr>
          <w:rFonts w:hint="eastAsia" w:ascii="Times New Roman" w:hAnsi="Times New Roman" w:eastAsia="宋体" w:cs="Times New Roman"/>
          <w:color w:val="auto"/>
          <w:sz w:val="24"/>
          <w:szCs w:val="24"/>
          <w:highlight w:val="none"/>
          <w:vertAlign w:val="subscript"/>
          <w:lang w:val="en-US" w:eastAsia="zh-CN"/>
        </w:rPr>
        <w:t>5</w:t>
      </w:r>
      <w:r>
        <w:rPr>
          <w:rFonts w:hint="eastAsia" w:ascii="Times New Roman" w:hAnsi="Times New Roman" w:eastAsia="宋体" w:cs="Times New Roman"/>
          <w:color w:val="auto"/>
          <w:sz w:val="24"/>
          <w:szCs w:val="24"/>
          <w:highlight w:val="none"/>
          <w:lang w:val="en-US" w:eastAsia="zh-CN"/>
        </w:rPr>
        <w:t>、WO</w:t>
      </w:r>
      <w:r>
        <w:rPr>
          <w:rFonts w:hint="eastAsia" w:ascii="Times New Roman" w:hAnsi="Times New Roman" w:eastAsia="宋体" w:cs="Times New Roman"/>
          <w:color w:val="auto"/>
          <w:sz w:val="24"/>
          <w:szCs w:val="24"/>
          <w:highlight w:val="none"/>
          <w:vertAlign w:val="subscript"/>
          <w:lang w:val="en-US" w:eastAsia="zh-CN"/>
        </w:rPr>
        <w:t>3</w:t>
      </w:r>
      <w:r>
        <w:rPr>
          <w:rFonts w:hint="eastAsia" w:ascii="Times New Roman" w:hAnsi="Times New Roman" w:eastAsia="宋体" w:cs="Times New Roman"/>
          <w:color w:val="auto"/>
          <w:sz w:val="24"/>
          <w:szCs w:val="24"/>
          <w:highlight w:val="none"/>
          <w:lang w:val="en-US" w:eastAsia="zh-CN"/>
        </w:rPr>
        <w:t>和TiO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，根据《国家危险废物名录》可知，本项目产生的脱硝废催化剂属于危险废物（HW50废催化剂中的772-007-50烟气脱硝过程中产生的废钒钛系催化剂），厂家定期更换，委托有资质单位运走、处置，不在厂区暂存。</w:t>
      </w:r>
    </w:p>
    <w:p w14:paraId="7F55547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利用现有危险废物贮存点，危险废物暂存后委托有危险废物处理资质的单位统一处理。危废贮存点符合以下要求：①基础必须防渗，防渗层为至少1m厚粘土层（渗透系数≤10</w:t>
      </w:r>
      <w:r>
        <w:rPr>
          <w:rFonts w:hint="eastAsia" w:ascii="Times New Roman" w:hAnsi="Times New Roman" w:eastAsia="宋体" w:cs="Times New Roman"/>
          <w:color w:val="auto"/>
          <w:sz w:val="24"/>
          <w:szCs w:val="24"/>
          <w:highlight w:val="none"/>
          <w:vertAlign w:val="superscript"/>
          <w:lang w:val="en-US" w:eastAsia="zh-CN"/>
        </w:rPr>
        <w:t>-7</w:t>
      </w:r>
      <w:r>
        <w:rPr>
          <w:rFonts w:hint="eastAsia" w:ascii="Times New Roman" w:hAnsi="Times New Roman" w:eastAsia="宋体" w:cs="Times New Roman"/>
          <w:color w:val="auto"/>
          <w:sz w:val="24"/>
          <w:szCs w:val="24"/>
          <w:highlight w:val="none"/>
          <w:lang w:val="en-US" w:eastAsia="zh-CN"/>
        </w:rPr>
        <w:t>cm/s），或2mm厚高密度聚乙烯，或至少2mm厚的其它人工材料，渗透系数≤10</w:t>
      </w:r>
      <w:r>
        <w:rPr>
          <w:rFonts w:hint="eastAsia" w:ascii="Times New Roman" w:hAnsi="Times New Roman" w:eastAsia="宋体" w:cs="Times New Roman"/>
          <w:color w:val="auto"/>
          <w:sz w:val="24"/>
          <w:szCs w:val="24"/>
          <w:highlight w:val="none"/>
          <w:vertAlign w:val="superscript"/>
          <w:lang w:val="en-US" w:eastAsia="zh-CN"/>
        </w:rPr>
        <w:t>-10</w:t>
      </w:r>
      <w:r>
        <w:rPr>
          <w:rFonts w:hint="eastAsia" w:ascii="Times New Roman" w:hAnsi="Times New Roman" w:eastAsia="宋体" w:cs="Times New Roman"/>
          <w:color w:val="auto"/>
          <w:sz w:val="24"/>
          <w:szCs w:val="24"/>
          <w:highlight w:val="none"/>
          <w:lang w:val="en-US" w:eastAsia="zh-CN"/>
        </w:rPr>
        <w:t>cm/s。②应当使用符合标准的容器盛装危险废物，装载危险废物的容器及材质要满足相应的强度要求，装载危险废物的容器必须完好无损；装载液体、半固体危险废物的容器内须留足够空间，容器顶部与液体表面之间保留100毫米以上的空间；盛装危险废物的容器上必须粘贴符合《危险废物贮存污染控制标准》（GB18597-2023）附录A所示的标签。③有泄漏液体收集装置、安全照明设施和观察窗口。④保存好危险废物情况的记录，记录上须注明危险废物的名称、来源、数量、特性和包装容器的类别、入库日期、存放库位、废物出库日期及接收单位名称。⑤应配备通讯设备、照明设施、安全防护服装及工具，并设有应急防护设施。</w:t>
      </w:r>
    </w:p>
    <w:p w14:paraId="759A7FD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（3）生活垃圾</w:t>
      </w:r>
    </w:p>
    <w:p w14:paraId="3590CA0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本项目不新增工作人员，所需工作人员内部调配，不新增生活垃圾。厂区原有生活垃圾由市政环卫部门统一处理。</w:t>
      </w:r>
    </w:p>
    <w:p w14:paraId="26A1723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综上所述，在正常情况下，本项目运营期固体废物可实现全部合理处置。</w:t>
      </w:r>
    </w:p>
    <w:p w14:paraId="53EB4DF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79" w:name="_Toc18251"/>
      <w:bookmarkStart w:id="480" w:name="_Toc1698"/>
      <w:bookmarkStart w:id="481" w:name="_Toc29637"/>
      <w:r>
        <w:rPr>
          <w:rFonts w:hint="eastAsia" w:ascii="Times New Roman" w:hAnsi="Times New Roman" w:eastAsia="宋体" w:cs="Times New Roman"/>
          <w:b/>
          <w:bCs/>
          <w:color w:val="auto"/>
          <w:sz w:val="28"/>
          <w:szCs w:val="28"/>
          <w:lang w:val="en-US" w:eastAsia="zh-CN"/>
        </w:rPr>
        <w:t>7.2.5 燃料及灰渣运输环节污染防治措施</w:t>
      </w:r>
      <w:bookmarkEnd w:id="479"/>
      <w:bookmarkEnd w:id="480"/>
      <w:bookmarkEnd w:id="481"/>
    </w:p>
    <w:p w14:paraId="168C3E2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（1）扬尘污染防治措施</w:t>
      </w:r>
    </w:p>
    <w:p w14:paraId="7FB9101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灰渣运输车辆采用密闭措施，避免运输过程产生物料遗撒，并且要求驾驶员在运输过程中做到文明驾驶，途经村庄时要减速慢行，以减少扬尘的产生量。同时在进厂运输道路上设专人定期清扫，配置洒水车洒水降尘，将物料运输过程中产生的扬尘降低到最低程度</w:t>
      </w:r>
      <w:bookmarkStart w:id="482" w:name="_Toc376875158"/>
      <w:r>
        <w:rPr>
          <w:rFonts w:hint="eastAsia" w:ascii="Times New Roman" w:hAnsi="Times New Roman" w:eastAsia="宋体" w:cs="Times New Roman"/>
          <w:color w:val="auto"/>
          <w:sz w:val="24"/>
          <w:szCs w:val="24"/>
          <w:highlight w:val="none"/>
          <w:lang w:val="en-US" w:eastAsia="zh-CN"/>
        </w:rPr>
        <w:t>。</w:t>
      </w:r>
    </w:p>
    <w:p w14:paraId="06C26C3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（2）交通运输噪声</w:t>
      </w:r>
      <w:bookmarkEnd w:id="482"/>
      <w:r>
        <w:rPr>
          <w:rFonts w:hint="eastAsia" w:ascii="Times New Roman" w:hAnsi="Times New Roman" w:eastAsia="宋体" w:cs="Times New Roman"/>
          <w:color w:val="auto"/>
          <w:sz w:val="24"/>
          <w:szCs w:val="24"/>
          <w:highlight w:val="none"/>
          <w:lang w:val="en-US" w:eastAsia="zh-CN"/>
        </w:rPr>
        <w:t>污染防治措施</w:t>
      </w:r>
    </w:p>
    <w:p w14:paraId="318C984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灰渣运输过程中对道路两侧居民将产生噪声影响，为减轻交通噪声对两侧居民的影响，汽车运输过程中，行驶到有村庄路段时，距村庄200m时减速慢行、禁鸣，行车速度控制在20km/h以内，以减轻交通噪声对居民的影响，待驶出居民区200m以后再恢复车速行驶，夜间禁止运输，运输时间宜在早8:00～晚10:00之间。</w:t>
      </w:r>
    </w:p>
    <w:p w14:paraId="5DDF1DA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83" w:name="_Toc27319"/>
      <w:bookmarkStart w:id="484" w:name="_Toc24326"/>
      <w:bookmarkStart w:id="485" w:name="_Toc2559"/>
      <w:r>
        <w:rPr>
          <w:rFonts w:hint="eastAsia" w:ascii="Times New Roman" w:hAnsi="Times New Roman" w:eastAsia="宋体" w:cs="Times New Roman"/>
          <w:b/>
          <w:bCs/>
          <w:color w:val="auto"/>
          <w:sz w:val="28"/>
          <w:szCs w:val="28"/>
          <w:lang w:val="en-US" w:eastAsia="zh-CN"/>
        </w:rPr>
        <w:t>7.2.6 环境风险防治措施</w:t>
      </w:r>
      <w:bookmarkEnd w:id="483"/>
      <w:bookmarkEnd w:id="484"/>
      <w:bookmarkEnd w:id="485"/>
    </w:p>
    <w:p w14:paraId="13A9A7C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7.2.6.1</w:t>
      </w:r>
      <w:r>
        <w:rPr>
          <w:rFonts w:hint="eastAsia" w:ascii="Times New Roman" w:hAnsi="Times New Roman" w:eastAsia="宋体" w:cs="Times New Roman"/>
          <w:b/>
          <w:bCs w:val="0"/>
          <w:color w:val="auto"/>
          <w:sz w:val="24"/>
          <w:szCs w:val="24"/>
          <w:lang w:val="en-US" w:eastAsia="zh-CN"/>
        </w:rPr>
        <w:t xml:space="preserve"> </w:t>
      </w:r>
      <w:r>
        <w:rPr>
          <w:rFonts w:hint="default" w:ascii="Times New Roman" w:hAnsi="Times New Roman" w:eastAsia="宋体" w:cs="Times New Roman"/>
          <w:b/>
          <w:bCs w:val="0"/>
          <w:color w:val="auto"/>
          <w:sz w:val="24"/>
          <w:szCs w:val="24"/>
          <w:lang w:val="en-US" w:eastAsia="zh-CN"/>
        </w:rPr>
        <w:t>总图布置和建筑安全防范措施</w:t>
      </w:r>
    </w:p>
    <w:p w14:paraId="79EC459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厂区总平面布置及各生产装置区内的平面布置，严格执行《石油化工企业设计防火规范》（GB50160-2008）（2018年版）要求，控制室布置于爆炸危险区之外，厂区道路采取环形布置，道路宽度满足消防车辆的通行要求。</w:t>
      </w:r>
    </w:p>
    <w:p w14:paraId="6E17C04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项目各装置总图布置中在满足工艺要求前提下，应采用流程式布置，兼顾同类设备相对集中，装置及设备间距均应满足《建筑设计防火规范》（GB50016-2014）（2018年版）、《工业企业总平面设计规范》的要求。</w:t>
      </w:r>
    </w:p>
    <w:p w14:paraId="2F65960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建筑物、构筑物的平、立面布置应有利于结构抗震，抗震设计应贯彻“小震不坏，中震可修，大震不倒”的原则。各类建、构筑物的抗震设防等级划分应执行《建筑抗震设计规范》（GB50011-2010）的相关规定。</w:t>
      </w:r>
    </w:p>
    <w:p w14:paraId="3ACEB58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（4）施工建设中严格执行国家有关部门现行的设计规范、规定及标准，各生产装置之间严格按防火防爆间距布置，厂房及建筑物按规定等级设计，高温明火的设备尽可能远离散发可燃气体的场所。</w:t>
      </w:r>
    </w:p>
    <w:p w14:paraId="23DF0E7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车间（工序）生产过程中火灾、爆炸危险等级及毒物危害程度分级进行分类、分区布置，合理划分管理区、工艺生产区、辅助生产区及储运设施区，各区按其危害程度采取相应的安全防范措施进行管理。风险单元为贮存区，全厂轻柴油点火最大使用量为1吨/次。</w:t>
      </w:r>
    </w:p>
    <w:p w14:paraId="5F73D0C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7.2.6.2</w:t>
      </w:r>
      <w:r>
        <w:rPr>
          <w:rFonts w:hint="eastAsia" w:ascii="Times New Roman" w:hAnsi="Times New Roman" w:eastAsia="宋体" w:cs="Times New Roman"/>
          <w:b/>
          <w:bCs w:val="0"/>
          <w:color w:val="auto"/>
          <w:sz w:val="24"/>
          <w:szCs w:val="24"/>
          <w:lang w:val="en-US" w:eastAsia="zh-CN"/>
        </w:rPr>
        <w:t xml:space="preserve"> </w:t>
      </w:r>
      <w:r>
        <w:rPr>
          <w:rFonts w:hint="default" w:ascii="Times New Roman" w:hAnsi="Times New Roman" w:eastAsia="宋体" w:cs="Times New Roman"/>
          <w:b/>
          <w:bCs w:val="0"/>
          <w:color w:val="auto"/>
          <w:sz w:val="24"/>
          <w:szCs w:val="24"/>
          <w:lang w:val="en-US" w:eastAsia="zh-CN"/>
        </w:rPr>
        <w:t>贮存区风险防范措施</w:t>
      </w:r>
    </w:p>
    <w:p w14:paraId="0B05B91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（1）柴油</w:t>
      </w:r>
    </w:p>
    <w:p w14:paraId="611FF3C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锅炉启炉点火采用炉下油点火系统，本期工程厂区内不设储油罐，由燃油公司的油罐车将柴油直接运至厂内，柴油经燃油泵升压点火即可满足要求，本项目建成后对环境风险影响较小。</w:t>
      </w:r>
    </w:p>
    <w:p w14:paraId="74A07EC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（2）危险废物贮存点</w:t>
      </w:r>
    </w:p>
    <w:p w14:paraId="680A7CC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本项目产生的废矿物油暂存于危险废物贮存点，危险废物贮存点采取重点防渗，防止地下水污染。</w:t>
      </w:r>
    </w:p>
    <w:p w14:paraId="30372EB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（3）物料贮运安全防范措施</w:t>
      </w:r>
    </w:p>
    <w:p w14:paraId="7E92E9A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物料在运输过程中，各个路口应当保证有足够的视距；设置明显的厂内道路交通安全标志；加强厂外运输车辆的安全管理。厂内道路经常保持路面平整、路基稳固、边坡整齐、排水良好，并应有完好的照明设施。制定合理的物料运输方案，定期对运输设备进行检查，保证设备无损坏。制定严格的风险、安全管理制度，严禁违章操作。物料堆场应注意防火，禁止违章动火。</w:t>
      </w:r>
    </w:p>
    <w:p w14:paraId="5A43BBF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（4）加强安全管理和人员培训措施</w:t>
      </w:r>
    </w:p>
    <w:p w14:paraId="6E89C90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①企业应针对本项目实际情况，设立相应的安全管理机构，建立有效的安全管理条例、制度和规定，并且要不断改进和提高管理水平，严防操作事故的发生。加强全厂干部、职工的风险意识和环境意识教育，增强安全、环境意识。</w:t>
      </w:r>
    </w:p>
    <w:p w14:paraId="4A790AD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②加强企业相关人员的安全环境保护相关知识的培训工作，定期、定向、定点的对企业各工作岗位和安全管理人员开展安全和环境保护防护的相关知识培训工作。使得员工掌握相关的安全和环境防护技能。</w:t>
      </w:r>
    </w:p>
    <w:p w14:paraId="7B96F22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（6）环境风险应急措施</w:t>
      </w:r>
    </w:p>
    <w:p w14:paraId="5DC1B51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应急预案是在贯彻预防为主的前提下，对建设项目可能出现的事故，为及时控制危害源，抢救受害人员，指导居民防护和组织撤离，消除危害后果而组织的救援活动的预想方案。本项目在建设完成后应编制企业突发环境事件应急预案，并在当地环保部门进行备案，按不同情况预定事故处理负责人，一旦发生事故，就能快速有领导地按计划处理，执行预案所规定的各项措施，将风险损失降低到最低程度。</w:t>
      </w:r>
    </w:p>
    <w:p w14:paraId="4F723F6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①重大危险源监控</w:t>
      </w:r>
    </w:p>
    <w:p w14:paraId="7CAC5D8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监控重大危险源的分布情况，了解发生事故的可能性及其严重度，负责现场安全管理；在重大危险源现场设置明显的安全警示标志，并对重大危险源的工艺参数、危险物质进行定期检测，对重要设备、设施进行经常性的检测，并做好检测记录。</w:t>
      </w:r>
    </w:p>
    <w:p w14:paraId="3091C8A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②应急组织机构</w:t>
      </w:r>
    </w:p>
    <w:p w14:paraId="626A71A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根据需求设立应急响应小组，各专业应急响应小组应在应急指挥部的统一领导下，根据突发事故的类别、严重程度、应急响应与处置需要，履行相应的职责。</w:t>
      </w:r>
    </w:p>
    <w:p w14:paraId="4FCCEFF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③预警分级</w:t>
      </w:r>
    </w:p>
    <w:p w14:paraId="29D9384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Ⅰ级：环境污染事件引起大面积污染，跨区域污染，并有迅速扩大或发展趋势的。</w:t>
      </w:r>
    </w:p>
    <w:p w14:paraId="762881C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Ⅱ级：环境污染事件危害影响到周围地区、经自救或一般救援不能迅速予以控制，并有进一步扩大或发展趋势的。</w:t>
      </w:r>
    </w:p>
    <w:p w14:paraId="1A1620B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Ⅲ级：环境污染事件危害在一定范围内，经自救或组织救援能予以控制，并无进一步扩大或发展趋势的。</w:t>
      </w:r>
    </w:p>
    <w:p w14:paraId="16B1852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Ⅳ级：由于环境污染或破坏行为造成直接经济损失在千元以上、万元以下（不含万元）的环境污染事件。</w:t>
      </w:r>
    </w:p>
    <w:p w14:paraId="7875466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④预警发布与预警行动</w:t>
      </w:r>
    </w:p>
    <w:p w14:paraId="5924E16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在预警状态下，各应急处置工作组要做好设备事故的应急准备工作，按照应急领导小组的要求，落实各项预警控制措施。</w:t>
      </w:r>
    </w:p>
    <w:p w14:paraId="69D58D4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⑤预警结束</w:t>
      </w:r>
    </w:p>
    <w:p w14:paraId="4184515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事故现场得到控制，事件条件已经消除；采取了必要的防护措施以保护公众免受再次危害。</w:t>
      </w:r>
    </w:p>
    <w:p w14:paraId="131A6092">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7.2.6.3</w:t>
      </w:r>
      <w:r>
        <w:rPr>
          <w:rFonts w:hint="eastAsia" w:ascii="Times New Roman" w:hAnsi="Times New Roman" w:eastAsia="宋体" w:cs="Times New Roman"/>
          <w:b/>
          <w:bCs w:val="0"/>
          <w:color w:val="auto"/>
          <w:sz w:val="24"/>
          <w:szCs w:val="24"/>
          <w:lang w:val="en-US" w:eastAsia="zh-CN"/>
        </w:rPr>
        <w:t xml:space="preserve"> </w:t>
      </w:r>
      <w:r>
        <w:rPr>
          <w:rFonts w:hint="default" w:ascii="Times New Roman" w:hAnsi="Times New Roman" w:eastAsia="宋体" w:cs="Times New Roman"/>
          <w:b/>
          <w:bCs w:val="0"/>
          <w:color w:val="auto"/>
          <w:sz w:val="24"/>
          <w:szCs w:val="24"/>
          <w:lang w:val="en-US" w:eastAsia="zh-CN"/>
        </w:rPr>
        <w:t>环境风险评价结论</w:t>
      </w:r>
    </w:p>
    <w:p w14:paraId="56CD0F4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本项目涉及的危险化学品主要是轻柴油、废矿物油，危险性较小。同时锅炉产生的烟气中含有烟尘、SO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、NO</w:t>
      </w:r>
      <w:r>
        <w:rPr>
          <w:rFonts w:hint="eastAsia" w:ascii="Times New Roman" w:hAnsi="Times New Roman" w:eastAsia="宋体" w:cs="Times New Roman"/>
          <w:color w:val="auto"/>
          <w:sz w:val="24"/>
          <w:szCs w:val="24"/>
          <w:highlight w:val="none"/>
          <w:vertAlign w:val="subscript"/>
          <w:lang w:val="en-US" w:eastAsia="zh-CN"/>
        </w:rPr>
        <w:t>x</w:t>
      </w:r>
      <w:r>
        <w:rPr>
          <w:rFonts w:hint="eastAsia" w:ascii="Times New Roman" w:hAnsi="Times New Roman" w:eastAsia="宋体" w:cs="Times New Roman"/>
          <w:color w:val="auto"/>
          <w:sz w:val="24"/>
          <w:szCs w:val="24"/>
          <w:highlight w:val="none"/>
          <w:lang w:val="en-US" w:eastAsia="zh-CN"/>
        </w:rPr>
        <w:t>、汞及其化合物等多种污染物。事故状况下，大气污染物直接外排会对周围环境空气造成较大影响。</w:t>
      </w:r>
    </w:p>
    <w:p w14:paraId="28BF512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针对各类危险物料的性质和可能发生的事故类型，本评价提出相应的风险防范措施，严格执行风险管理制度和操作规程，一旦突发环境风险事故，立即按应急预案提到的紧急处理、救援、监测方案等进行紧急救援，能保证本项目生产区及贮存区的环境风险防范水平，满足国家有关环境保护和安全法规、标准的要求，使本项目的环境风险达到可接受的水平，本项目环境风险事故为可接受水平。本项目项目环境风险自查表见附表。</w:t>
      </w:r>
    </w:p>
    <w:p w14:paraId="2AF3342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86" w:name="_Toc26115"/>
      <w:bookmarkStart w:id="487" w:name="_Toc28721"/>
      <w:bookmarkStart w:id="488" w:name="_Toc29456"/>
      <w:r>
        <w:rPr>
          <w:rFonts w:hint="eastAsia" w:ascii="Times New Roman" w:hAnsi="Times New Roman" w:eastAsia="宋体" w:cs="Times New Roman"/>
          <w:b/>
          <w:bCs/>
          <w:color w:val="auto"/>
          <w:sz w:val="28"/>
          <w:szCs w:val="28"/>
          <w:lang w:val="en-US" w:eastAsia="zh-CN"/>
        </w:rPr>
        <w:t>7.2.7 土壤环境污染防治措施</w:t>
      </w:r>
      <w:bookmarkEnd w:id="486"/>
      <w:bookmarkEnd w:id="487"/>
      <w:bookmarkEnd w:id="488"/>
    </w:p>
    <w:p w14:paraId="4308A1E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（1）源头控制措施</w:t>
      </w:r>
    </w:p>
    <w:p w14:paraId="027AD59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锅炉废气采用高效除尘脱硫协同除汞，除汞效率70%，锅炉废气经治理措施后烟气中汞及其化合物的排放速率为0.00048kg/h，在大气沉降过程中对土壤环境影响可以忽略。厂区内不设储油罐，不会发生柴油泄漏污染土壤环境。</w:t>
      </w:r>
    </w:p>
    <w:p w14:paraId="658752B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（2）跟踪监测</w:t>
      </w:r>
    </w:p>
    <w:p w14:paraId="0251432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根据《环境影响评价技术导则 土壤环境（试行）》（HJ964-2018），结合项目区域土壤特性，考虑潜在污染源、环境保护目标等因素，布置土壤环境跟踪监测点。结合项目特性以及区域地形，本评价将土壤跟踪监测点位布置在厂区东侧空地。具体情况详见表7.2-2。</w:t>
      </w:r>
    </w:p>
    <w:p w14:paraId="749539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表7.2-</w:t>
      </w:r>
      <w:r>
        <w:rPr>
          <w:rFonts w:hint="eastAsia" w:ascii="Times New Roman" w:hAnsi="Times New Roman" w:eastAsia="宋体" w:cs="Times New Roman"/>
          <w:b/>
          <w:bCs/>
          <w:color w:val="auto"/>
          <w:sz w:val="24"/>
          <w:szCs w:val="24"/>
          <w:lang w:val="en-US" w:eastAsia="zh-CN"/>
        </w:rPr>
        <w:t xml:space="preserve">2  </w:t>
      </w:r>
      <w:r>
        <w:rPr>
          <w:rFonts w:hint="default" w:ascii="Times New Roman" w:hAnsi="Times New Roman" w:eastAsia="宋体" w:cs="Times New Roman"/>
          <w:b/>
          <w:bCs/>
          <w:color w:val="auto"/>
          <w:sz w:val="24"/>
          <w:szCs w:val="24"/>
          <w:lang w:val="en-US" w:eastAsia="zh-CN"/>
        </w:rPr>
        <w:t>土壤环境跟踪监测计划一览表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7"/>
        <w:gridCol w:w="2192"/>
        <w:gridCol w:w="2208"/>
        <w:gridCol w:w="1855"/>
        <w:gridCol w:w="1427"/>
      </w:tblGrid>
      <w:tr w14:paraId="11803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1" w:type="pct"/>
            <w:tcBorders>
              <w:tl2br w:val="nil"/>
              <w:tr2bl w:val="nil"/>
            </w:tcBorders>
            <w:vAlign w:val="center"/>
          </w:tcPr>
          <w:p w14:paraId="568764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序号</w:t>
            </w:r>
          </w:p>
        </w:tc>
        <w:tc>
          <w:tcPr>
            <w:tcW w:w="1286" w:type="pct"/>
            <w:tcBorders>
              <w:tl2br w:val="nil"/>
              <w:tr2bl w:val="nil"/>
            </w:tcBorders>
            <w:vAlign w:val="center"/>
          </w:tcPr>
          <w:p w14:paraId="470FE21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点位名称</w:t>
            </w:r>
          </w:p>
        </w:tc>
        <w:tc>
          <w:tcPr>
            <w:tcW w:w="1295" w:type="pct"/>
            <w:tcBorders>
              <w:tl2br w:val="nil"/>
              <w:tr2bl w:val="nil"/>
            </w:tcBorders>
            <w:vAlign w:val="center"/>
          </w:tcPr>
          <w:p w14:paraId="360F6E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功能</w:t>
            </w:r>
          </w:p>
        </w:tc>
        <w:tc>
          <w:tcPr>
            <w:tcW w:w="1088" w:type="pct"/>
            <w:tcBorders>
              <w:tl2br w:val="nil"/>
              <w:tr2bl w:val="nil"/>
            </w:tcBorders>
            <w:vAlign w:val="center"/>
          </w:tcPr>
          <w:p w14:paraId="483CF82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监测因子</w:t>
            </w:r>
          </w:p>
        </w:tc>
        <w:tc>
          <w:tcPr>
            <w:tcW w:w="837" w:type="pct"/>
            <w:tcBorders>
              <w:tl2br w:val="nil"/>
              <w:tr2bl w:val="nil"/>
            </w:tcBorders>
            <w:vAlign w:val="center"/>
          </w:tcPr>
          <w:p w14:paraId="66D3385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监测频次</w:t>
            </w:r>
          </w:p>
        </w:tc>
      </w:tr>
      <w:tr w14:paraId="17BE0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1" w:type="pct"/>
            <w:tcBorders>
              <w:tl2br w:val="nil"/>
              <w:tr2bl w:val="nil"/>
            </w:tcBorders>
            <w:vAlign w:val="center"/>
          </w:tcPr>
          <w:p w14:paraId="4AF93C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w:t>
            </w:r>
          </w:p>
        </w:tc>
        <w:tc>
          <w:tcPr>
            <w:tcW w:w="1286" w:type="pct"/>
            <w:tcBorders>
              <w:tl2br w:val="nil"/>
              <w:tr2bl w:val="nil"/>
            </w:tcBorders>
            <w:vAlign w:val="center"/>
          </w:tcPr>
          <w:p w14:paraId="3617A3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储煤</w:t>
            </w:r>
            <w:r>
              <w:rPr>
                <w:rFonts w:hint="eastAsia" w:ascii="Times New Roman" w:hAnsi="Times New Roman" w:cs="Times New Roman"/>
                <w:color w:val="auto"/>
                <w:sz w:val="21"/>
                <w:szCs w:val="21"/>
                <w:highlight w:val="none"/>
                <w:lang w:val="en-US" w:eastAsia="zh-CN"/>
              </w:rPr>
              <w:t>库东</w:t>
            </w:r>
            <w:r>
              <w:rPr>
                <w:rFonts w:hint="default" w:ascii="Times New Roman" w:hAnsi="Times New Roman" w:cs="Times New Roman"/>
                <w:color w:val="auto"/>
                <w:sz w:val="21"/>
                <w:szCs w:val="21"/>
                <w:highlight w:val="none"/>
                <w:lang w:val="en-US" w:eastAsia="zh-CN"/>
              </w:rPr>
              <w:t>侧空地</w:t>
            </w:r>
          </w:p>
        </w:tc>
        <w:tc>
          <w:tcPr>
            <w:tcW w:w="1295" w:type="pct"/>
            <w:tcBorders>
              <w:tl2br w:val="nil"/>
              <w:tr2bl w:val="nil"/>
            </w:tcBorders>
            <w:vAlign w:val="center"/>
          </w:tcPr>
          <w:p w14:paraId="3C7A315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污染监视、跟踪监测</w:t>
            </w:r>
          </w:p>
        </w:tc>
        <w:tc>
          <w:tcPr>
            <w:tcW w:w="1088" w:type="pct"/>
            <w:tcBorders>
              <w:tl2br w:val="nil"/>
              <w:tr2bl w:val="nil"/>
            </w:tcBorders>
            <w:vAlign w:val="center"/>
          </w:tcPr>
          <w:p w14:paraId="71307D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Hg</w:t>
            </w:r>
          </w:p>
        </w:tc>
        <w:tc>
          <w:tcPr>
            <w:tcW w:w="837" w:type="pct"/>
            <w:tcBorders>
              <w:tl2br w:val="nil"/>
              <w:tr2bl w:val="nil"/>
            </w:tcBorders>
            <w:vAlign w:val="center"/>
          </w:tcPr>
          <w:p w14:paraId="278A6D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每5年一次</w:t>
            </w:r>
          </w:p>
        </w:tc>
      </w:tr>
    </w:tbl>
    <w:p w14:paraId="10B22D0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489" w:name="_Toc22997"/>
      <w:bookmarkStart w:id="490" w:name="_Toc32131"/>
      <w:bookmarkStart w:id="491" w:name="_Toc17840"/>
      <w:r>
        <w:rPr>
          <w:rFonts w:hint="eastAsia" w:ascii="Times New Roman" w:hAnsi="Times New Roman" w:eastAsia="宋体" w:cs="Times New Roman"/>
          <w:b/>
          <w:bCs/>
          <w:color w:val="auto"/>
          <w:sz w:val="28"/>
          <w:szCs w:val="28"/>
          <w:lang w:val="en-US" w:eastAsia="zh-CN"/>
        </w:rPr>
        <w:t>7.2.8 环境保护投资分析</w:t>
      </w:r>
      <w:bookmarkEnd w:id="489"/>
      <w:bookmarkEnd w:id="490"/>
      <w:bookmarkEnd w:id="491"/>
    </w:p>
    <w:p w14:paraId="0FA3B22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本工程总投资是2420万元，其中环保投资为105万元，比例为4.34%。本项目环保投资一览表见表7.2-3。</w:t>
      </w:r>
    </w:p>
    <w:p w14:paraId="68EF82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表7.2-</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 xml:space="preserve">  本项目</w:t>
      </w:r>
      <w:r>
        <w:rPr>
          <w:rFonts w:hint="eastAsia" w:ascii="Times New Roman" w:hAnsi="Times New Roman" w:eastAsia="宋体" w:cs="Times New Roman"/>
          <w:b/>
          <w:bCs/>
          <w:color w:val="auto"/>
          <w:sz w:val="24"/>
          <w:szCs w:val="24"/>
          <w:lang w:val="en-US" w:eastAsia="zh-CN"/>
        </w:rPr>
        <w:t>环保投资</w:t>
      </w:r>
      <w:r>
        <w:rPr>
          <w:rFonts w:hint="default" w:ascii="Times New Roman" w:hAnsi="Times New Roman" w:eastAsia="宋体" w:cs="Times New Roman"/>
          <w:b/>
          <w:bCs/>
          <w:color w:val="auto"/>
          <w:sz w:val="24"/>
          <w:szCs w:val="24"/>
          <w:lang w:val="en-US" w:eastAsia="zh-CN"/>
        </w:rPr>
        <w:t>一览表  单元：万元</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227"/>
        <w:gridCol w:w="1288"/>
        <w:gridCol w:w="4276"/>
        <w:gridCol w:w="1024"/>
      </w:tblGrid>
      <w:tr w14:paraId="7A40C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tcBorders>
              <w:tl2br w:val="nil"/>
              <w:tr2bl w:val="nil"/>
            </w:tcBorders>
            <w:vAlign w:val="center"/>
          </w:tcPr>
          <w:p w14:paraId="507B11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时段</w:t>
            </w:r>
          </w:p>
        </w:tc>
        <w:tc>
          <w:tcPr>
            <w:tcW w:w="720" w:type="pct"/>
            <w:tcBorders>
              <w:tl2br w:val="nil"/>
              <w:tr2bl w:val="nil"/>
            </w:tcBorders>
            <w:vAlign w:val="center"/>
          </w:tcPr>
          <w:p w14:paraId="272DF7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环境要素</w:t>
            </w:r>
          </w:p>
        </w:tc>
        <w:tc>
          <w:tcPr>
            <w:tcW w:w="755" w:type="pct"/>
            <w:tcBorders>
              <w:tl2br w:val="nil"/>
              <w:tr2bl w:val="nil"/>
            </w:tcBorders>
            <w:vAlign w:val="center"/>
          </w:tcPr>
          <w:p w14:paraId="058902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治理对象</w:t>
            </w:r>
          </w:p>
        </w:tc>
        <w:tc>
          <w:tcPr>
            <w:tcW w:w="2508" w:type="pct"/>
            <w:tcBorders>
              <w:tl2br w:val="nil"/>
              <w:tr2bl w:val="nil"/>
            </w:tcBorders>
            <w:vAlign w:val="center"/>
          </w:tcPr>
          <w:p w14:paraId="2724A3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环保措施</w:t>
            </w:r>
          </w:p>
        </w:tc>
        <w:tc>
          <w:tcPr>
            <w:tcW w:w="601" w:type="pct"/>
            <w:tcBorders>
              <w:tl2br w:val="nil"/>
              <w:tr2bl w:val="nil"/>
            </w:tcBorders>
            <w:vAlign w:val="center"/>
          </w:tcPr>
          <w:p w14:paraId="6C51E8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投资</w:t>
            </w:r>
            <w:r>
              <w:rPr>
                <w:rFonts w:hint="eastAsia" w:ascii="Times New Roman" w:hAnsi="Times New Roman" w:cs="Times New Roman"/>
                <w:color w:val="auto"/>
                <w:sz w:val="21"/>
                <w:szCs w:val="21"/>
                <w:highlight w:val="none"/>
                <w:lang w:val="en-US" w:eastAsia="zh-CN"/>
              </w:rPr>
              <w:t>（万元）</w:t>
            </w:r>
          </w:p>
        </w:tc>
      </w:tr>
      <w:tr w14:paraId="02930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restart"/>
            <w:tcBorders>
              <w:tl2br w:val="nil"/>
              <w:tr2bl w:val="nil"/>
            </w:tcBorders>
            <w:vAlign w:val="center"/>
          </w:tcPr>
          <w:p w14:paraId="5269C96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施</w:t>
            </w:r>
          </w:p>
          <w:p w14:paraId="213713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工</w:t>
            </w:r>
          </w:p>
          <w:p w14:paraId="5541C2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期</w:t>
            </w:r>
          </w:p>
        </w:tc>
        <w:tc>
          <w:tcPr>
            <w:tcW w:w="720" w:type="pct"/>
            <w:tcBorders>
              <w:tl2br w:val="nil"/>
              <w:tr2bl w:val="nil"/>
            </w:tcBorders>
            <w:vAlign w:val="center"/>
          </w:tcPr>
          <w:p w14:paraId="39413E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环境空气</w:t>
            </w:r>
          </w:p>
        </w:tc>
        <w:tc>
          <w:tcPr>
            <w:tcW w:w="755" w:type="pct"/>
            <w:tcBorders>
              <w:tl2br w:val="nil"/>
              <w:tr2bl w:val="nil"/>
            </w:tcBorders>
            <w:vAlign w:val="center"/>
          </w:tcPr>
          <w:p w14:paraId="03891D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施工扬尘</w:t>
            </w:r>
          </w:p>
        </w:tc>
        <w:tc>
          <w:tcPr>
            <w:tcW w:w="2508" w:type="pct"/>
            <w:tcBorders>
              <w:tl2br w:val="nil"/>
              <w:tr2bl w:val="nil"/>
            </w:tcBorders>
            <w:vAlign w:val="center"/>
          </w:tcPr>
          <w:p w14:paraId="32CCD6E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加盖苫布、洒水</w:t>
            </w:r>
          </w:p>
        </w:tc>
        <w:tc>
          <w:tcPr>
            <w:tcW w:w="601" w:type="pct"/>
            <w:tcBorders>
              <w:tl2br w:val="nil"/>
              <w:tr2bl w:val="nil"/>
            </w:tcBorders>
            <w:vAlign w:val="center"/>
          </w:tcPr>
          <w:p w14:paraId="6B30A3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14:paraId="3281B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0B4C822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tcBorders>
              <w:tl2br w:val="nil"/>
              <w:tr2bl w:val="nil"/>
            </w:tcBorders>
            <w:vAlign w:val="center"/>
          </w:tcPr>
          <w:p w14:paraId="59BD74A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地表水环境</w:t>
            </w:r>
          </w:p>
        </w:tc>
        <w:tc>
          <w:tcPr>
            <w:tcW w:w="755" w:type="pct"/>
            <w:tcBorders>
              <w:tl2br w:val="nil"/>
              <w:tr2bl w:val="nil"/>
            </w:tcBorders>
            <w:vAlign w:val="center"/>
          </w:tcPr>
          <w:p w14:paraId="7CA1B70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施工废水</w:t>
            </w:r>
          </w:p>
        </w:tc>
        <w:tc>
          <w:tcPr>
            <w:tcW w:w="2508" w:type="pct"/>
            <w:tcBorders>
              <w:tl2br w:val="nil"/>
              <w:tr2bl w:val="nil"/>
            </w:tcBorders>
            <w:vAlign w:val="center"/>
          </w:tcPr>
          <w:p w14:paraId="246DF6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隔油</w:t>
            </w:r>
            <w:r>
              <w:rPr>
                <w:rFonts w:hint="default" w:ascii="Times New Roman" w:hAnsi="Times New Roman" w:cs="Times New Roman"/>
                <w:color w:val="auto"/>
                <w:sz w:val="21"/>
                <w:szCs w:val="21"/>
                <w:highlight w:val="none"/>
                <w:lang w:val="en-US" w:eastAsia="zh-CN"/>
              </w:rPr>
              <w:t>沉淀池</w:t>
            </w:r>
          </w:p>
        </w:tc>
        <w:tc>
          <w:tcPr>
            <w:tcW w:w="601" w:type="pct"/>
            <w:tcBorders>
              <w:tl2br w:val="nil"/>
              <w:tr2bl w:val="nil"/>
            </w:tcBorders>
            <w:vAlign w:val="center"/>
          </w:tcPr>
          <w:p w14:paraId="41BEFD1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14:paraId="52DC8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2012CB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tcBorders>
              <w:tl2br w:val="nil"/>
              <w:tr2bl w:val="nil"/>
            </w:tcBorders>
            <w:vAlign w:val="center"/>
          </w:tcPr>
          <w:p w14:paraId="0E6995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声环境</w:t>
            </w:r>
          </w:p>
        </w:tc>
        <w:tc>
          <w:tcPr>
            <w:tcW w:w="755" w:type="pct"/>
            <w:tcBorders>
              <w:tl2br w:val="nil"/>
              <w:tr2bl w:val="nil"/>
            </w:tcBorders>
            <w:vAlign w:val="center"/>
          </w:tcPr>
          <w:p w14:paraId="181741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施工噪声</w:t>
            </w:r>
          </w:p>
        </w:tc>
        <w:tc>
          <w:tcPr>
            <w:tcW w:w="2508" w:type="pct"/>
            <w:tcBorders>
              <w:tl2br w:val="nil"/>
              <w:tr2bl w:val="nil"/>
            </w:tcBorders>
            <w:vAlign w:val="center"/>
          </w:tcPr>
          <w:p w14:paraId="0000A5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低噪声设备</w:t>
            </w:r>
          </w:p>
        </w:tc>
        <w:tc>
          <w:tcPr>
            <w:tcW w:w="601" w:type="pct"/>
            <w:tcBorders>
              <w:tl2br w:val="nil"/>
              <w:tr2bl w:val="nil"/>
            </w:tcBorders>
            <w:vAlign w:val="center"/>
          </w:tcPr>
          <w:p w14:paraId="2DC1BD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14:paraId="488F0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21A69A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restart"/>
            <w:tcBorders>
              <w:tl2br w:val="nil"/>
              <w:tr2bl w:val="nil"/>
            </w:tcBorders>
            <w:vAlign w:val="center"/>
          </w:tcPr>
          <w:p w14:paraId="06EF09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固体废物</w:t>
            </w:r>
          </w:p>
        </w:tc>
        <w:tc>
          <w:tcPr>
            <w:tcW w:w="755" w:type="pct"/>
            <w:tcBorders>
              <w:tl2br w:val="nil"/>
              <w:tr2bl w:val="nil"/>
            </w:tcBorders>
            <w:vAlign w:val="center"/>
          </w:tcPr>
          <w:p w14:paraId="13D64F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建筑垃圾</w:t>
            </w:r>
          </w:p>
        </w:tc>
        <w:tc>
          <w:tcPr>
            <w:tcW w:w="2508" w:type="pct"/>
            <w:tcBorders>
              <w:tl2br w:val="nil"/>
              <w:tr2bl w:val="nil"/>
            </w:tcBorders>
            <w:vAlign w:val="center"/>
          </w:tcPr>
          <w:p w14:paraId="601A0C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运至填埋场统一处理</w:t>
            </w:r>
          </w:p>
        </w:tc>
        <w:tc>
          <w:tcPr>
            <w:tcW w:w="601" w:type="pct"/>
            <w:tcBorders>
              <w:tl2br w:val="nil"/>
              <w:tr2bl w:val="nil"/>
            </w:tcBorders>
            <w:vAlign w:val="center"/>
          </w:tcPr>
          <w:p w14:paraId="0B9300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3</w:t>
            </w:r>
          </w:p>
        </w:tc>
      </w:tr>
      <w:tr w14:paraId="0AE0B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3BF8BEE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13C68B0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tcBorders>
              <w:tl2br w:val="nil"/>
              <w:tr2bl w:val="nil"/>
            </w:tcBorders>
            <w:vAlign w:val="center"/>
          </w:tcPr>
          <w:p w14:paraId="6B17DA5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生活垃圾</w:t>
            </w:r>
          </w:p>
        </w:tc>
        <w:tc>
          <w:tcPr>
            <w:tcW w:w="2508" w:type="pct"/>
            <w:tcBorders>
              <w:tl2br w:val="nil"/>
              <w:tr2bl w:val="nil"/>
            </w:tcBorders>
            <w:vAlign w:val="center"/>
          </w:tcPr>
          <w:p w14:paraId="10385D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市政环卫部门统一处理</w:t>
            </w:r>
          </w:p>
        </w:tc>
        <w:tc>
          <w:tcPr>
            <w:tcW w:w="601" w:type="pct"/>
            <w:tcBorders>
              <w:tl2br w:val="nil"/>
              <w:tr2bl w:val="nil"/>
            </w:tcBorders>
            <w:vAlign w:val="center"/>
          </w:tcPr>
          <w:p w14:paraId="750DE5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w:t>
            </w:r>
          </w:p>
        </w:tc>
      </w:tr>
      <w:tr w14:paraId="1ADC9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restart"/>
            <w:tcBorders>
              <w:tl2br w:val="nil"/>
              <w:tr2bl w:val="nil"/>
            </w:tcBorders>
            <w:vAlign w:val="center"/>
          </w:tcPr>
          <w:p w14:paraId="3DC4602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运</w:t>
            </w:r>
          </w:p>
          <w:p w14:paraId="2785A2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营</w:t>
            </w:r>
          </w:p>
          <w:p w14:paraId="6562047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期</w:t>
            </w:r>
          </w:p>
        </w:tc>
        <w:tc>
          <w:tcPr>
            <w:tcW w:w="720" w:type="pct"/>
            <w:vMerge w:val="restart"/>
            <w:tcBorders>
              <w:tl2br w:val="nil"/>
              <w:tr2bl w:val="nil"/>
            </w:tcBorders>
            <w:vAlign w:val="center"/>
          </w:tcPr>
          <w:p w14:paraId="7AEB3FE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环境空气</w:t>
            </w:r>
          </w:p>
        </w:tc>
        <w:tc>
          <w:tcPr>
            <w:tcW w:w="755" w:type="pct"/>
            <w:vMerge w:val="restart"/>
            <w:tcBorders>
              <w:tl2br w:val="nil"/>
              <w:tr2bl w:val="nil"/>
            </w:tcBorders>
            <w:vAlign w:val="center"/>
          </w:tcPr>
          <w:p w14:paraId="32AA197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锅炉烟气</w:t>
            </w:r>
          </w:p>
        </w:tc>
        <w:tc>
          <w:tcPr>
            <w:tcW w:w="2508" w:type="pct"/>
            <w:tcBorders>
              <w:tl2br w:val="nil"/>
              <w:tr2bl w:val="nil"/>
            </w:tcBorders>
            <w:vAlign w:val="center"/>
          </w:tcPr>
          <w:p w14:paraId="4BC8991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高效布袋除尘器（更新设备）</w:t>
            </w:r>
          </w:p>
        </w:tc>
        <w:tc>
          <w:tcPr>
            <w:tcW w:w="601" w:type="pct"/>
            <w:tcBorders>
              <w:tl2br w:val="nil"/>
              <w:tr2bl w:val="nil"/>
            </w:tcBorders>
            <w:vAlign w:val="center"/>
          </w:tcPr>
          <w:p w14:paraId="30C499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r>
      <w:tr w14:paraId="761C6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07B41E9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1CE818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vMerge w:val="continue"/>
            <w:tcBorders>
              <w:tl2br w:val="nil"/>
              <w:tr2bl w:val="nil"/>
            </w:tcBorders>
            <w:vAlign w:val="center"/>
          </w:tcPr>
          <w:p w14:paraId="2444FE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2508" w:type="pct"/>
            <w:tcBorders>
              <w:tl2br w:val="nil"/>
              <w:tr2bl w:val="nil"/>
            </w:tcBorders>
            <w:vAlign w:val="center"/>
          </w:tcPr>
          <w:p w14:paraId="243F0F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氧化镁法脱硫</w:t>
            </w:r>
            <w:r>
              <w:rPr>
                <w:rFonts w:hint="default" w:ascii="Times New Roman" w:hAnsi="Times New Roman" w:cs="Times New Roman"/>
                <w:color w:val="auto"/>
                <w:sz w:val="21"/>
                <w:szCs w:val="21"/>
                <w:highlight w:val="none"/>
                <w:lang w:val="en-US" w:eastAsia="zh-CN"/>
              </w:rPr>
              <w:t>系统</w:t>
            </w:r>
            <w:r>
              <w:rPr>
                <w:rFonts w:hint="eastAsia" w:ascii="Times New Roman" w:hAnsi="Times New Roman" w:cs="Times New Roman"/>
                <w:color w:val="auto"/>
                <w:sz w:val="21"/>
                <w:szCs w:val="21"/>
                <w:highlight w:val="none"/>
                <w:lang w:val="en-US" w:eastAsia="zh-CN"/>
              </w:rPr>
              <w:t>（依托现有脱硫塔）</w:t>
            </w:r>
          </w:p>
        </w:tc>
        <w:tc>
          <w:tcPr>
            <w:tcW w:w="601" w:type="pct"/>
            <w:tcBorders>
              <w:tl2br w:val="nil"/>
              <w:tr2bl w:val="nil"/>
            </w:tcBorders>
            <w:vAlign w:val="center"/>
          </w:tcPr>
          <w:p w14:paraId="12E6358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75811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6A1868D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6CBE01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vMerge w:val="continue"/>
            <w:tcBorders>
              <w:tl2br w:val="nil"/>
              <w:tr2bl w:val="nil"/>
            </w:tcBorders>
            <w:vAlign w:val="center"/>
          </w:tcPr>
          <w:p w14:paraId="5FF4DB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2508" w:type="pct"/>
            <w:tcBorders>
              <w:tl2br w:val="nil"/>
              <w:tr2bl w:val="nil"/>
            </w:tcBorders>
            <w:vAlign w:val="center"/>
          </w:tcPr>
          <w:p w14:paraId="238022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烟气</w:t>
            </w:r>
            <w:r>
              <w:rPr>
                <w:rFonts w:hint="default" w:ascii="Times New Roman" w:hAnsi="Times New Roman" w:cs="Times New Roman"/>
                <w:color w:val="auto"/>
                <w:sz w:val="21"/>
                <w:szCs w:val="21"/>
                <w:highlight w:val="none"/>
                <w:lang w:val="en-US" w:eastAsia="zh-CN"/>
              </w:rPr>
              <w:t>脱硝装置</w:t>
            </w:r>
            <w:r>
              <w:rPr>
                <w:rFonts w:hint="eastAsia" w:ascii="Times New Roman" w:hAnsi="Times New Roman" w:cs="Times New Roman"/>
                <w:color w:val="auto"/>
                <w:sz w:val="21"/>
                <w:szCs w:val="21"/>
                <w:highlight w:val="none"/>
                <w:lang w:val="en-US" w:eastAsia="zh-CN"/>
              </w:rPr>
              <w:t>（依托现有脱硝系统，脱硝剂加药装置等包含于主体工程）</w:t>
            </w:r>
          </w:p>
        </w:tc>
        <w:tc>
          <w:tcPr>
            <w:tcW w:w="601" w:type="pct"/>
            <w:tcBorders>
              <w:tl2br w:val="nil"/>
              <w:tr2bl w:val="nil"/>
            </w:tcBorders>
            <w:vAlign w:val="center"/>
          </w:tcPr>
          <w:p w14:paraId="1E742F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38AB0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3D2C13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007DAA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tcBorders>
              <w:tl2br w:val="nil"/>
              <w:tr2bl w:val="nil"/>
            </w:tcBorders>
            <w:vAlign w:val="center"/>
          </w:tcPr>
          <w:p w14:paraId="32B58F2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default" w:ascii="Times New Roman" w:hAnsi="Times New Roman" w:cs="Times New Roman"/>
                <w:color w:val="FF0000"/>
                <w:sz w:val="21"/>
                <w:szCs w:val="21"/>
                <w:highlight w:val="none"/>
                <w:lang w:val="en-US" w:eastAsia="zh-CN"/>
              </w:rPr>
              <w:t>输煤栈桥、</w:t>
            </w:r>
            <w:r>
              <w:rPr>
                <w:rFonts w:hint="eastAsia" w:ascii="Times New Roman" w:hAnsi="Times New Roman" w:cs="Times New Roman"/>
                <w:color w:val="FF0000"/>
                <w:sz w:val="21"/>
                <w:szCs w:val="21"/>
                <w:highlight w:val="none"/>
                <w:lang w:val="en-US" w:eastAsia="zh-CN"/>
              </w:rPr>
              <w:t>煤库、灰渣仓</w:t>
            </w:r>
          </w:p>
        </w:tc>
        <w:tc>
          <w:tcPr>
            <w:tcW w:w="2508" w:type="pct"/>
            <w:tcBorders>
              <w:tl2br w:val="nil"/>
              <w:tr2bl w:val="nil"/>
            </w:tcBorders>
            <w:vAlign w:val="center"/>
          </w:tcPr>
          <w:p w14:paraId="0F4409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全</w:t>
            </w:r>
            <w:r>
              <w:rPr>
                <w:rFonts w:hint="default" w:ascii="Times New Roman" w:hAnsi="Times New Roman" w:cs="Times New Roman"/>
                <w:color w:val="FF0000"/>
                <w:sz w:val="21"/>
                <w:szCs w:val="21"/>
                <w:highlight w:val="none"/>
                <w:lang w:val="en-US" w:eastAsia="zh-CN"/>
              </w:rPr>
              <w:t>密闭</w:t>
            </w:r>
            <w:r>
              <w:rPr>
                <w:rFonts w:hint="eastAsia" w:ascii="Times New Roman" w:hAnsi="Times New Roman" w:cs="Times New Roman"/>
                <w:color w:val="FF0000"/>
                <w:sz w:val="21"/>
                <w:szCs w:val="21"/>
                <w:highlight w:val="none"/>
                <w:lang w:val="en-US" w:eastAsia="zh-CN"/>
              </w:rPr>
              <w:t>处理</w:t>
            </w:r>
            <w:r>
              <w:rPr>
                <w:rFonts w:hint="eastAsia" w:cs="Times New Roman"/>
                <w:color w:val="FF0000"/>
                <w:sz w:val="21"/>
                <w:szCs w:val="21"/>
                <w:highlight w:val="none"/>
                <w:lang w:val="en-US" w:eastAsia="zh-CN"/>
              </w:rPr>
              <w:t>+洒水降尘设施</w:t>
            </w:r>
          </w:p>
        </w:tc>
        <w:tc>
          <w:tcPr>
            <w:tcW w:w="601" w:type="pct"/>
            <w:tcBorders>
              <w:tl2br w:val="nil"/>
              <w:tr2bl w:val="nil"/>
            </w:tcBorders>
            <w:vAlign w:val="center"/>
          </w:tcPr>
          <w:p w14:paraId="56E936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lang w:val="en-US" w:eastAsia="zh-CN"/>
              </w:rPr>
            </w:pPr>
            <w:r>
              <w:rPr>
                <w:rFonts w:hint="eastAsia" w:ascii="Times New Roman" w:hAnsi="Times New Roman" w:cs="Times New Roman"/>
                <w:color w:val="FF0000"/>
                <w:sz w:val="21"/>
                <w:szCs w:val="21"/>
                <w:highlight w:val="none"/>
                <w:lang w:val="en-US" w:eastAsia="zh-CN"/>
              </w:rPr>
              <w:t>5</w:t>
            </w:r>
          </w:p>
        </w:tc>
      </w:tr>
      <w:tr w14:paraId="2FE85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007DC3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tcBorders>
              <w:tl2br w:val="nil"/>
              <w:tr2bl w:val="nil"/>
            </w:tcBorders>
            <w:vAlign w:val="center"/>
          </w:tcPr>
          <w:p w14:paraId="4ADD78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水环境</w:t>
            </w:r>
          </w:p>
        </w:tc>
        <w:tc>
          <w:tcPr>
            <w:tcW w:w="755" w:type="pct"/>
            <w:tcBorders>
              <w:tl2br w:val="nil"/>
              <w:tr2bl w:val="nil"/>
            </w:tcBorders>
            <w:vAlign w:val="center"/>
          </w:tcPr>
          <w:p w14:paraId="07AD51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工业废水</w:t>
            </w:r>
          </w:p>
        </w:tc>
        <w:tc>
          <w:tcPr>
            <w:tcW w:w="2508" w:type="pct"/>
            <w:tcBorders>
              <w:tl2br w:val="nil"/>
              <w:tr2bl w:val="nil"/>
            </w:tcBorders>
            <w:vAlign w:val="center"/>
          </w:tcPr>
          <w:p w14:paraId="647D59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利用现有沉淀池，全部回用，不外排</w:t>
            </w:r>
          </w:p>
        </w:tc>
        <w:tc>
          <w:tcPr>
            <w:tcW w:w="601" w:type="pct"/>
            <w:tcBorders>
              <w:tl2br w:val="nil"/>
              <w:tr2bl w:val="nil"/>
            </w:tcBorders>
            <w:vAlign w:val="center"/>
          </w:tcPr>
          <w:p w14:paraId="42D460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FF52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50E1BD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tcBorders>
              <w:tl2br w:val="nil"/>
              <w:tr2bl w:val="nil"/>
            </w:tcBorders>
            <w:vAlign w:val="center"/>
          </w:tcPr>
          <w:p w14:paraId="73ACFF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声环境</w:t>
            </w:r>
          </w:p>
        </w:tc>
        <w:tc>
          <w:tcPr>
            <w:tcW w:w="755" w:type="pct"/>
            <w:tcBorders>
              <w:tl2br w:val="nil"/>
              <w:tr2bl w:val="nil"/>
            </w:tcBorders>
            <w:vAlign w:val="center"/>
          </w:tcPr>
          <w:p w14:paraId="2CEE9D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设备噪声</w:t>
            </w:r>
          </w:p>
        </w:tc>
        <w:tc>
          <w:tcPr>
            <w:tcW w:w="2508" w:type="pct"/>
            <w:tcBorders>
              <w:tl2br w:val="nil"/>
              <w:tr2bl w:val="nil"/>
            </w:tcBorders>
            <w:vAlign w:val="center"/>
          </w:tcPr>
          <w:p w14:paraId="43EACB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隔振、隔声、消声</w:t>
            </w:r>
          </w:p>
        </w:tc>
        <w:tc>
          <w:tcPr>
            <w:tcW w:w="601" w:type="pct"/>
            <w:tcBorders>
              <w:tl2br w:val="nil"/>
              <w:tr2bl w:val="nil"/>
            </w:tcBorders>
            <w:vAlign w:val="center"/>
          </w:tcPr>
          <w:p w14:paraId="30C1B9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r>
      <w:tr w14:paraId="5E3DC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6D6C95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restart"/>
            <w:tcBorders>
              <w:tl2br w:val="nil"/>
              <w:tr2bl w:val="nil"/>
            </w:tcBorders>
            <w:vAlign w:val="center"/>
          </w:tcPr>
          <w:p w14:paraId="51C85A7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固体废物</w:t>
            </w:r>
          </w:p>
        </w:tc>
        <w:tc>
          <w:tcPr>
            <w:tcW w:w="755" w:type="pct"/>
            <w:tcBorders>
              <w:tl2br w:val="nil"/>
              <w:tr2bl w:val="nil"/>
            </w:tcBorders>
            <w:vAlign w:val="center"/>
          </w:tcPr>
          <w:p w14:paraId="24B0DD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锅炉灰渣</w:t>
            </w:r>
          </w:p>
        </w:tc>
        <w:tc>
          <w:tcPr>
            <w:tcW w:w="2508" w:type="pct"/>
            <w:tcBorders>
              <w:tl2br w:val="nil"/>
              <w:tr2bl w:val="nil"/>
            </w:tcBorders>
            <w:vAlign w:val="center"/>
          </w:tcPr>
          <w:p w14:paraId="0E2DF0B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利用现有灰渣仓</w:t>
            </w:r>
          </w:p>
        </w:tc>
        <w:tc>
          <w:tcPr>
            <w:tcW w:w="601" w:type="pct"/>
            <w:tcBorders>
              <w:tl2br w:val="nil"/>
              <w:tr2bl w:val="nil"/>
            </w:tcBorders>
            <w:vAlign w:val="center"/>
          </w:tcPr>
          <w:p w14:paraId="1041590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46DFC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714AD3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66F932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tcBorders>
              <w:tl2br w:val="nil"/>
              <w:tr2bl w:val="nil"/>
            </w:tcBorders>
            <w:vAlign w:val="center"/>
          </w:tcPr>
          <w:p w14:paraId="50E8C7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废布袋</w:t>
            </w:r>
          </w:p>
        </w:tc>
        <w:tc>
          <w:tcPr>
            <w:tcW w:w="2508" w:type="pct"/>
            <w:tcBorders>
              <w:tl2br w:val="nil"/>
              <w:tr2bl w:val="nil"/>
            </w:tcBorders>
            <w:vAlign w:val="center"/>
          </w:tcPr>
          <w:p w14:paraId="50D54B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废布袋由厂家定期更换回收，不在厂区堆存。</w:t>
            </w:r>
          </w:p>
        </w:tc>
        <w:tc>
          <w:tcPr>
            <w:tcW w:w="601" w:type="pct"/>
            <w:tcBorders>
              <w:tl2br w:val="nil"/>
              <w:tr2bl w:val="nil"/>
            </w:tcBorders>
            <w:vAlign w:val="center"/>
          </w:tcPr>
          <w:p w14:paraId="1E5712F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14:paraId="315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487F60E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06BC21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tcBorders>
              <w:tl2br w:val="nil"/>
              <w:tr2bl w:val="nil"/>
            </w:tcBorders>
            <w:vAlign w:val="center"/>
          </w:tcPr>
          <w:p w14:paraId="030E5A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废脱硝催化剂</w:t>
            </w:r>
          </w:p>
        </w:tc>
        <w:tc>
          <w:tcPr>
            <w:tcW w:w="2508" w:type="pct"/>
            <w:tcBorders>
              <w:tl2br w:val="nil"/>
              <w:tr2bl w:val="nil"/>
            </w:tcBorders>
            <w:vAlign w:val="center"/>
          </w:tcPr>
          <w:p w14:paraId="55073D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废催化剂属于危险废物，厂家定期更换，委托有资质单位运走、处置，不在厂区暂存。</w:t>
            </w:r>
          </w:p>
        </w:tc>
        <w:tc>
          <w:tcPr>
            <w:tcW w:w="601" w:type="pct"/>
            <w:tcBorders>
              <w:tl2br w:val="nil"/>
              <w:tr2bl w:val="nil"/>
            </w:tcBorders>
            <w:vAlign w:val="center"/>
          </w:tcPr>
          <w:p w14:paraId="57C285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14:paraId="43804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57B938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7C7ED2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tcBorders>
              <w:tl2br w:val="nil"/>
              <w:tr2bl w:val="nil"/>
            </w:tcBorders>
            <w:vAlign w:val="center"/>
          </w:tcPr>
          <w:p w14:paraId="6BE7AC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脱硫副产物</w:t>
            </w:r>
          </w:p>
        </w:tc>
        <w:tc>
          <w:tcPr>
            <w:tcW w:w="2508" w:type="pct"/>
            <w:tcBorders>
              <w:tl2br w:val="nil"/>
              <w:tr2bl w:val="nil"/>
            </w:tcBorders>
            <w:vAlign w:val="center"/>
          </w:tcPr>
          <w:p w14:paraId="0653F3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暂存于脱硫副产物间，外售综合利用</w:t>
            </w:r>
          </w:p>
        </w:tc>
        <w:tc>
          <w:tcPr>
            <w:tcW w:w="601" w:type="pct"/>
            <w:tcBorders>
              <w:tl2br w:val="nil"/>
              <w:tr2bl w:val="nil"/>
            </w:tcBorders>
            <w:vAlign w:val="center"/>
          </w:tcPr>
          <w:p w14:paraId="16A5ED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r>
      <w:tr w14:paraId="557BE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686A64A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1E9BC74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tcBorders>
              <w:tl2br w:val="nil"/>
              <w:tr2bl w:val="nil"/>
            </w:tcBorders>
            <w:vAlign w:val="center"/>
          </w:tcPr>
          <w:p w14:paraId="35FC81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废离子交换树脂</w:t>
            </w:r>
          </w:p>
        </w:tc>
        <w:tc>
          <w:tcPr>
            <w:tcW w:w="2508" w:type="pct"/>
            <w:tcBorders>
              <w:tl2br w:val="nil"/>
              <w:tr2bl w:val="nil"/>
            </w:tcBorders>
            <w:vAlign w:val="center"/>
          </w:tcPr>
          <w:p w14:paraId="5D87EAC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由更换厂家更换时带走回收利用</w:t>
            </w:r>
          </w:p>
        </w:tc>
        <w:tc>
          <w:tcPr>
            <w:tcW w:w="601" w:type="pct"/>
            <w:tcBorders>
              <w:tl2br w:val="nil"/>
              <w:tr2bl w:val="nil"/>
            </w:tcBorders>
            <w:vAlign w:val="center"/>
          </w:tcPr>
          <w:p w14:paraId="1BD0A7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14:paraId="5355B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0DAEEE3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20" w:type="pct"/>
            <w:vMerge w:val="continue"/>
            <w:tcBorders>
              <w:tl2br w:val="nil"/>
              <w:tr2bl w:val="nil"/>
            </w:tcBorders>
            <w:vAlign w:val="center"/>
          </w:tcPr>
          <w:p w14:paraId="298047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755" w:type="pct"/>
            <w:tcBorders>
              <w:tl2br w:val="nil"/>
              <w:tr2bl w:val="nil"/>
            </w:tcBorders>
            <w:vAlign w:val="center"/>
          </w:tcPr>
          <w:p w14:paraId="472457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废矿物油</w:t>
            </w:r>
          </w:p>
        </w:tc>
        <w:tc>
          <w:tcPr>
            <w:tcW w:w="2508" w:type="pct"/>
            <w:tcBorders>
              <w:tl2br w:val="nil"/>
              <w:tr2bl w:val="nil"/>
            </w:tcBorders>
            <w:vAlign w:val="center"/>
          </w:tcPr>
          <w:p w14:paraId="5C9061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属于危险废物，委托有资质单位运走、处置</w:t>
            </w:r>
          </w:p>
        </w:tc>
        <w:tc>
          <w:tcPr>
            <w:tcW w:w="601" w:type="pct"/>
            <w:tcBorders>
              <w:tl2br w:val="nil"/>
              <w:tr2bl w:val="nil"/>
            </w:tcBorders>
            <w:vAlign w:val="center"/>
          </w:tcPr>
          <w:p w14:paraId="4EE5B9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14:paraId="3CE70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0F2DB3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1476" w:type="pct"/>
            <w:gridSpan w:val="2"/>
            <w:tcBorders>
              <w:tl2br w:val="nil"/>
              <w:tr2bl w:val="nil"/>
            </w:tcBorders>
            <w:vAlign w:val="center"/>
          </w:tcPr>
          <w:p w14:paraId="3D2201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污染源监测</w:t>
            </w:r>
          </w:p>
        </w:tc>
        <w:tc>
          <w:tcPr>
            <w:tcW w:w="2508" w:type="pct"/>
            <w:tcBorders>
              <w:tl2br w:val="nil"/>
              <w:tr2bl w:val="nil"/>
            </w:tcBorders>
            <w:vAlign w:val="center"/>
          </w:tcPr>
          <w:p w14:paraId="4C12D4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烟气在线监测系统</w:t>
            </w:r>
            <w:r>
              <w:rPr>
                <w:rFonts w:hint="eastAsia" w:ascii="Times New Roman" w:hAnsi="Times New Roman" w:cs="Times New Roman"/>
                <w:color w:val="auto"/>
                <w:sz w:val="21"/>
                <w:szCs w:val="21"/>
                <w:highlight w:val="none"/>
                <w:lang w:val="en-US" w:eastAsia="zh-CN"/>
              </w:rPr>
              <w:t>利旧</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已</w:t>
            </w:r>
            <w:r>
              <w:rPr>
                <w:rFonts w:hint="default" w:ascii="Times New Roman" w:hAnsi="Times New Roman" w:cs="Times New Roman"/>
                <w:color w:val="auto"/>
                <w:sz w:val="21"/>
                <w:szCs w:val="21"/>
                <w:highlight w:val="none"/>
                <w:lang w:val="en-US" w:eastAsia="zh-CN"/>
              </w:rPr>
              <w:t>与生态环境局监控中心联网。</w:t>
            </w:r>
          </w:p>
        </w:tc>
        <w:tc>
          <w:tcPr>
            <w:tcW w:w="601" w:type="pct"/>
            <w:tcBorders>
              <w:tl2br w:val="nil"/>
              <w:tr2bl w:val="nil"/>
            </w:tcBorders>
            <w:vAlign w:val="center"/>
          </w:tcPr>
          <w:p w14:paraId="1332F82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13EA8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3466B0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3985" w:type="pct"/>
            <w:gridSpan w:val="3"/>
            <w:tcBorders>
              <w:tl2br w:val="nil"/>
              <w:tr2bl w:val="nil"/>
            </w:tcBorders>
            <w:vAlign w:val="center"/>
          </w:tcPr>
          <w:p w14:paraId="1FD1D6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环保设备维护费用</w:t>
            </w:r>
          </w:p>
        </w:tc>
        <w:tc>
          <w:tcPr>
            <w:tcW w:w="601" w:type="pct"/>
            <w:tcBorders>
              <w:tl2br w:val="nil"/>
              <w:tr2bl w:val="nil"/>
            </w:tcBorders>
            <w:vAlign w:val="center"/>
          </w:tcPr>
          <w:p w14:paraId="31EA26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w:t>
            </w:r>
          </w:p>
        </w:tc>
      </w:tr>
      <w:tr w14:paraId="2876E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0A3B77F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3985" w:type="pct"/>
            <w:gridSpan w:val="3"/>
            <w:tcBorders>
              <w:tl2br w:val="nil"/>
              <w:tr2bl w:val="nil"/>
            </w:tcBorders>
            <w:vAlign w:val="center"/>
          </w:tcPr>
          <w:p w14:paraId="3237FD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环境管理监测</w:t>
            </w:r>
          </w:p>
        </w:tc>
        <w:tc>
          <w:tcPr>
            <w:tcW w:w="601" w:type="pct"/>
            <w:tcBorders>
              <w:tl2br w:val="nil"/>
              <w:tr2bl w:val="nil"/>
            </w:tcBorders>
            <w:vAlign w:val="center"/>
          </w:tcPr>
          <w:p w14:paraId="3AB8C8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10</w:t>
            </w:r>
          </w:p>
        </w:tc>
      </w:tr>
      <w:tr w14:paraId="4DAFF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412EC9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3985" w:type="pct"/>
            <w:gridSpan w:val="3"/>
            <w:tcBorders>
              <w:tl2br w:val="nil"/>
              <w:tr2bl w:val="nil"/>
            </w:tcBorders>
            <w:vAlign w:val="center"/>
          </w:tcPr>
          <w:p w14:paraId="7B142B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环保投资总计</w:t>
            </w:r>
          </w:p>
        </w:tc>
        <w:tc>
          <w:tcPr>
            <w:tcW w:w="601" w:type="pct"/>
            <w:tcBorders>
              <w:tl2br w:val="nil"/>
              <w:tr2bl w:val="nil"/>
            </w:tcBorders>
            <w:vAlign w:val="center"/>
          </w:tcPr>
          <w:p w14:paraId="1D9277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105</w:t>
            </w:r>
          </w:p>
        </w:tc>
      </w:tr>
      <w:tr w14:paraId="70414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15047AA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3985" w:type="pct"/>
            <w:gridSpan w:val="3"/>
            <w:tcBorders>
              <w:tl2br w:val="nil"/>
              <w:tr2bl w:val="nil"/>
            </w:tcBorders>
            <w:vAlign w:val="center"/>
          </w:tcPr>
          <w:p w14:paraId="278B079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项目总投资</w:t>
            </w:r>
          </w:p>
        </w:tc>
        <w:tc>
          <w:tcPr>
            <w:tcW w:w="601" w:type="pct"/>
            <w:tcBorders>
              <w:tl2br w:val="nil"/>
              <w:tr2bl w:val="nil"/>
            </w:tcBorders>
            <w:vAlign w:val="center"/>
          </w:tcPr>
          <w:p w14:paraId="3E0674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2420</w:t>
            </w:r>
          </w:p>
        </w:tc>
      </w:tr>
      <w:tr w14:paraId="11281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Borders>
              <w:tl2br w:val="nil"/>
              <w:tr2bl w:val="nil"/>
            </w:tcBorders>
            <w:vAlign w:val="center"/>
          </w:tcPr>
          <w:p w14:paraId="2AACDA5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3985" w:type="pct"/>
            <w:gridSpan w:val="3"/>
            <w:tcBorders>
              <w:tl2br w:val="nil"/>
              <w:tr2bl w:val="nil"/>
            </w:tcBorders>
            <w:vAlign w:val="center"/>
          </w:tcPr>
          <w:p w14:paraId="4A611C2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环保投资占总投资比例%</w:t>
            </w:r>
          </w:p>
        </w:tc>
        <w:tc>
          <w:tcPr>
            <w:tcW w:w="601" w:type="pct"/>
            <w:tcBorders>
              <w:tl2br w:val="nil"/>
              <w:tr2bl w:val="nil"/>
            </w:tcBorders>
            <w:vAlign w:val="center"/>
          </w:tcPr>
          <w:p w14:paraId="4AACF5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4.34</w:t>
            </w:r>
          </w:p>
        </w:tc>
      </w:tr>
    </w:tbl>
    <w:p w14:paraId="0A2FD0AF">
      <w:pPr>
        <w:ind w:firstLine="480"/>
        <w:rPr>
          <w:rFonts w:ascii="Times New Roman" w:hAnsi="Times New Roman" w:eastAsia="宋体" w:cs="Times New Roman"/>
          <w:color w:val="auto"/>
        </w:rPr>
      </w:pPr>
      <w:r>
        <w:rPr>
          <w:rFonts w:ascii="Times New Roman" w:hAnsi="Times New Roman" w:eastAsia="宋体" w:cs="Times New Roman"/>
          <w:color w:val="auto"/>
        </w:rPr>
        <w:br w:type="page"/>
      </w:r>
    </w:p>
    <w:p w14:paraId="630D62D0">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default" w:ascii="Times New Roman" w:hAnsi="Times New Roman" w:eastAsia="宋体" w:cs="Times New Roman"/>
          <w:b/>
          <w:bCs/>
          <w:color w:val="auto"/>
          <w:kern w:val="2"/>
          <w:sz w:val="32"/>
          <w:szCs w:val="32"/>
        </w:rPr>
      </w:pPr>
      <w:bookmarkStart w:id="492" w:name="_Toc14225"/>
      <w:bookmarkStart w:id="493" w:name="_Toc9785"/>
      <w:r>
        <w:rPr>
          <w:rStyle w:val="164"/>
          <w:rFonts w:hint="default" w:ascii="Times New Roman" w:hAnsi="Times New Roman" w:eastAsia="宋体" w:cs="Times New Roman"/>
          <w:b/>
          <w:bCs/>
          <w:color w:val="auto"/>
          <w:kern w:val="2"/>
          <w:sz w:val="32"/>
          <w:szCs w:val="32"/>
        </w:rPr>
        <w:t>8</w:t>
      </w:r>
      <w:r>
        <w:rPr>
          <w:rStyle w:val="164"/>
          <w:rFonts w:hint="eastAsia" w:ascii="Times New Roman" w:hAnsi="Times New Roman" w:eastAsia="宋体" w:cs="Times New Roman"/>
          <w:b/>
          <w:bCs/>
          <w:color w:val="auto"/>
          <w:kern w:val="2"/>
          <w:sz w:val="32"/>
          <w:szCs w:val="32"/>
        </w:rPr>
        <w:t>、</w:t>
      </w:r>
      <w:r>
        <w:rPr>
          <w:rStyle w:val="164"/>
          <w:rFonts w:hint="default" w:ascii="Times New Roman" w:hAnsi="Times New Roman" w:eastAsia="宋体" w:cs="Times New Roman"/>
          <w:b/>
          <w:bCs/>
          <w:color w:val="auto"/>
          <w:kern w:val="2"/>
          <w:sz w:val="32"/>
          <w:szCs w:val="32"/>
        </w:rPr>
        <w:t>环境影响经济损益分析</w:t>
      </w:r>
      <w:bookmarkEnd w:id="492"/>
      <w:bookmarkEnd w:id="493"/>
    </w:p>
    <w:p w14:paraId="1F2F044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环境经济损益分析包括项目的环境保护措施投资估算、环境影响损失和环境收益，以及项目的经济效益和社会效益。</w:t>
      </w:r>
    </w:p>
    <w:p w14:paraId="5FFFB14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以资料分析为主，在详细了解项目的工程概况及各污染物影响程度和范围的基础上进行经济损益估算，建立经济指标进行分析评价。</w:t>
      </w:r>
    </w:p>
    <w:p w14:paraId="7BAA1B46">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494" w:name="_Toc31815"/>
      <w:bookmarkStart w:id="495" w:name="_Toc19144"/>
      <w:r>
        <w:rPr>
          <w:rFonts w:hint="eastAsia" w:ascii="Times New Roman" w:hAnsi="Times New Roman" w:eastAsia="宋体" w:cs="Times New Roman"/>
          <w:b/>
          <w:bCs/>
          <w:color w:val="auto"/>
        </w:rPr>
        <w:t xml:space="preserve">8.1 </w:t>
      </w:r>
      <w:bookmarkEnd w:id="494"/>
      <w:r>
        <w:rPr>
          <w:rFonts w:hint="eastAsia" w:ascii="Times New Roman" w:hAnsi="Times New Roman" w:eastAsia="宋体" w:cs="Times New Roman"/>
          <w:b/>
          <w:bCs/>
          <w:color w:val="auto"/>
        </w:rPr>
        <w:t>经济效益</w:t>
      </w:r>
      <w:bookmarkEnd w:id="495"/>
    </w:p>
    <w:p w14:paraId="285A544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本项目建成后污染物主要有大气污染物、水污染物、噪声污染、固体废物等。</w:t>
      </w:r>
    </w:p>
    <w:p w14:paraId="2CFC0D8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燃煤集中供热，满足集中供热的需要，生产原料充足而方便，成本低，经济效益高，工程项目具有较强的盈利和清偿能力，具有较好的经济效益和抗风险能力。因此本期工程从经济分析的角度看是合理的、可行的。</w:t>
      </w:r>
    </w:p>
    <w:p w14:paraId="2B719A1D">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496" w:name="_Toc12271"/>
      <w:bookmarkStart w:id="497" w:name="_Toc765"/>
      <w:bookmarkStart w:id="498" w:name="_Toc6389"/>
      <w:r>
        <w:rPr>
          <w:rFonts w:hint="eastAsia" w:ascii="Times New Roman" w:hAnsi="Times New Roman" w:eastAsia="宋体" w:cs="Times New Roman"/>
          <w:b/>
          <w:bCs/>
          <w:color w:val="auto"/>
        </w:rPr>
        <w:t>8.2 环境效益</w:t>
      </w:r>
      <w:bookmarkEnd w:id="496"/>
    </w:p>
    <w:p w14:paraId="789F516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环保投资，即直接用于污染治理，减轻环境危害的投资。本工程总投资是2420万元，其中环保投资为105万元，比例为4.34%，本工程在设计中充分考虑了环境保护的要求，严格执行各项环境保护标准。遵循清洁生产的原则和循环经济理念，针对在生产过程中产生的污染物，从实际出发采取多种相应的治理措施，确保达标排放和总量控制要求。</w:t>
      </w:r>
    </w:p>
    <w:p w14:paraId="55F19A4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（1）采取集中供热，大大节约资源。</w:t>
      </w:r>
    </w:p>
    <w:p w14:paraId="1559D4E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（2）生产废水处理后回用，最大限度地节约水资源并把对地表水体的影响降低到最小程度。</w:t>
      </w:r>
    </w:p>
    <w:p w14:paraId="13FCCA4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（3）在设备选型时，选用低噪声设备，并采取消声措施，减少噪声对环境的影响。</w:t>
      </w:r>
    </w:p>
    <w:p w14:paraId="4582BFA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环保设施减少了三废排放对环境的污染，具有良好的环境效益。</w:t>
      </w:r>
    </w:p>
    <w:p w14:paraId="63B9B59C">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499" w:name="_Toc14208"/>
      <w:r>
        <w:rPr>
          <w:rFonts w:hint="eastAsia" w:ascii="Times New Roman" w:hAnsi="Times New Roman" w:eastAsia="宋体" w:cs="Times New Roman"/>
          <w:b/>
          <w:bCs/>
          <w:color w:val="auto"/>
        </w:rPr>
        <w:t xml:space="preserve">8.3 </w:t>
      </w:r>
      <w:bookmarkEnd w:id="497"/>
      <w:bookmarkEnd w:id="498"/>
      <w:r>
        <w:rPr>
          <w:rFonts w:hint="eastAsia" w:ascii="Times New Roman" w:hAnsi="Times New Roman" w:eastAsia="宋体" w:cs="Times New Roman"/>
          <w:b/>
          <w:bCs/>
          <w:color w:val="auto"/>
        </w:rPr>
        <w:t>社会效益</w:t>
      </w:r>
      <w:bookmarkEnd w:id="499"/>
    </w:p>
    <w:p w14:paraId="68C8E5C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拆除淘汰原有的2台</w:t>
      </w:r>
      <w:r>
        <w:rPr>
          <w:rFonts w:hint="eastAsia" w:ascii="Times New Roman" w:hAnsi="Times New Roman" w:eastAsia="宋体" w:cs="Times New Roman"/>
          <w:color w:val="auto"/>
          <w:sz w:val="24"/>
          <w:szCs w:val="24"/>
          <w:highlight w:val="none"/>
          <w:lang w:val="en-US" w:eastAsia="zh-CN"/>
        </w:rPr>
        <w:t>老旧的</w:t>
      </w:r>
      <w:r>
        <w:rPr>
          <w:rFonts w:hint="default" w:ascii="Times New Roman" w:hAnsi="Times New Roman" w:eastAsia="宋体" w:cs="Times New Roman"/>
          <w:color w:val="auto"/>
          <w:sz w:val="24"/>
          <w:szCs w:val="24"/>
          <w:highlight w:val="none"/>
          <w:lang w:val="en-US" w:eastAsia="zh-CN"/>
        </w:rPr>
        <w:t>46MW锅炉</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在原址现有锅炉房建设2台42MW锅炉</w:t>
      </w:r>
      <w:r>
        <w:rPr>
          <w:rFonts w:hint="eastAsia" w:ascii="Times New Roman" w:hAnsi="Times New Roman" w:eastAsia="宋体" w:cs="Times New Roman"/>
          <w:color w:val="auto"/>
          <w:sz w:val="24"/>
          <w:szCs w:val="24"/>
          <w:highlight w:val="none"/>
          <w:lang w:val="en-US" w:eastAsia="zh-CN"/>
        </w:rPr>
        <w:t>，改善了热效率，提高了供热设备的稳定性。本项目设有烟气脱硝系统、脱硫系统、除尘系统，具有节约能源、节约水资源、改善环境等综合效益，有利于提高居民生活质量。符合国家的循环经济和可持续发展战略，符合建设资源节约型、环境友好型社会要求。</w:t>
      </w:r>
    </w:p>
    <w:p w14:paraId="106E69E0">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00" w:name="_Toc10217"/>
      <w:bookmarkStart w:id="501" w:name="_Toc10390"/>
      <w:bookmarkStart w:id="502" w:name="_Toc364"/>
      <w:r>
        <w:rPr>
          <w:rFonts w:hint="eastAsia" w:ascii="Times New Roman" w:hAnsi="Times New Roman" w:eastAsia="宋体" w:cs="Times New Roman"/>
          <w:b/>
          <w:bCs/>
          <w:color w:val="auto"/>
        </w:rPr>
        <w:t>8.4 结论</w:t>
      </w:r>
      <w:bookmarkEnd w:id="500"/>
      <w:bookmarkEnd w:id="501"/>
      <w:bookmarkEnd w:id="502"/>
    </w:p>
    <w:p w14:paraId="58FB514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（1）本期工程从经济分析的角度看是合理的、可行的，具有较强的盈利和清偿能力，具有较好的经济效益和抗风险能力。</w:t>
      </w:r>
    </w:p>
    <w:p w14:paraId="3719864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（2）本工程对进一步促进废弃物的综合利用，变废为利，减轻环境污染，促进循环经济和清洁生产，增强地区经济实力具有明显作用，有利于环境保护，社会安定和区域经济发展。</w:t>
      </w:r>
    </w:p>
    <w:p w14:paraId="28542BB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eastAsia="宋体" w:cs="Times New Roman"/>
          <w:color w:val="auto"/>
          <w:sz w:val="24"/>
          <w:szCs w:val="24"/>
          <w:highlight w:val="none"/>
          <w:lang w:val="en-US" w:eastAsia="zh-CN"/>
        </w:rPr>
        <w:t>通过以上对本项目的环境效益分析可知，在落实本评价所提出的各项污染防治措施的前提下，本工程经济指标均好于行业标准，环保投资比适宜，具有较好的经济效益、环境效益、环境经济效益和社会效益。</w:t>
      </w:r>
    </w:p>
    <w:p w14:paraId="0736B444">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default" w:ascii="Times New Roman" w:hAnsi="Times New Roman" w:eastAsia="宋体" w:cs="Times New Roman"/>
          <w:b/>
          <w:bCs/>
          <w:color w:val="auto"/>
          <w:kern w:val="2"/>
          <w:sz w:val="32"/>
          <w:szCs w:val="32"/>
        </w:rPr>
      </w:pPr>
      <w:bookmarkStart w:id="503" w:name="_Toc355942114"/>
      <w:bookmarkStart w:id="504" w:name="_Toc337734528"/>
      <w:bookmarkStart w:id="505" w:name="_Toc12477"/>
      <w:bookmarkStart w:id="506" w:name="_Toc21231"/>
      <w:bookmarkStart w:id="507" w:name="_Toc17524"/>
      <w:bookmarkStart w:id="508" w:name="_Toc355942115"/>
      <w:bookmarkStart w:id="509" w:name="_Toc337734529"/>
      <w:bookmarkStart w:id="510" w:name="_Toc21642"/>
      <w:r>
        <w:rPr>
          <w:rStyle w:val="164"/>
          <w:rFonts w:hint="default" w:ascii="Times New Roman" w:hAnsi="Times New Roman" w:eastAsia="宋体" w:cs="Times New Roman"/>
          <w:b/>
          <w:bCs/>
          <w:color w:val="auto"/>
          <w:kern w:val="2"/>
          <w:sz w:val="32"/>
          <w:szCs w:val="32"/>
        </w:rPr>
        <w:t>9</w:t>
      </w:r>
      <w:r>
        <w:rPr>
          <w:rStyle w:val="164"/>
          <w:rFonts w:hint="eastAsia" w:ascii="Times New Roman" w:hAnsi="Times New Roman" w:eastAsia="宋体" w:cs="Times New Roman"/>
          <w:b/>
          <w:bCs/>
          <w:color w:val="auto"/>
          <w:kern w:val="2"/>
          <w:sz w:val="32"/>
          <w:szCs w:val="32"/>
        </w:rPr>
        <w:t>、</w:t>
      </w:r>
      <w:r>
        <w:rPr>
          <w:rStyle w:val="164"/>
          <w:rFonts w:hint="default" w:ascii="Times New Roman" w:hAnsi="Times New Roman" w:eastAsia="宋体" w:cs="Times New Roman"/>
          <w:b/>
          <w:bCs/>
          <w:color w:val="auto"/>
          <w:kern w:val="2"/>
          <w:sz w:val="32"/>
          <w:szCs w:val="32"/>
        </w:rPr>
        <w:t>环境管理及监测</w:t>
      </w:r>
      <w:bookmarkEnd w:id="503"/>
      <w:bookmarkEnd w:id="504"/>
      <w:r>
        <w:rPr>
          <w:rStyle w:val="164"/>
          <w:rFonts w:hint="default" w:ascii="Times New Roman" w:hAnsi="Times New Roman" w:eastAsia="宋体" w:cs="Times New Roman"/>
          <w:b/>
          <w:bCs/>
          <w:color w:val="auto"/>
          <w:kern w:val="2"/>
          <w:sz w:val="32"/>
          <w:szCs w:val="32"/>
        </w:rPr>
        <w:t>计划</w:t>
      </w:r>
      <w:bookmarkEnd w:id="505"/>
      <w:bookmarkEnd w:id="506"/>
      <w:bookmarkEnd w:id="507"/>
    </w:p>
    <w:p w14:paraId="02547531">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11" w:name="_Toc30124"/>
      <w:bookmarkStart w:id="512" w:name="_Toc11968"/>
      <w:r>
        <w:rPr>
          <w:rFonts w:hint="eastAsia" w:ascii="Times New Roman" w:hAnsi="Times New Roman" w:eastAsia="宋体" w:cs="Times New Roman"/>
          <w:b/>
          <w:bCs/>
          <w:color w:val="auto"/>
        </w:rPr>
        <w:t>9.1 环境管理</w:t>
      </w:r>
      <w:bookmarkEnd w:id="508"/>
      <w:bookmarkEnd w:id="509"/>
      <w:bookmarkEnd w:id="510"/>
      <w:bookmarkEnd w:id="511"/>
      <w:bookmarkEnd w:id="512"/>
    </w:p>
    <w:p w14:paraId="21377C1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环境管理是指运用经济、法律、技术、行政、教育等手段，限制人类损害环境质量的活动，通过全面规划使经济发展与环境相协调，达到既要发展经济，满足人类的基本需要，又不超出环境的容许极限，这些内容概括起来就是环境管理。</w:t>
      </w:r>
    </w:p>
    <w:p w14:paraId="6AF80AA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13" w:name="_Toc12799"/>
      <w:bookmarkStart w:id="514" w:name="_Toc3701"/>
      <w:bookmarkStart w:id="515" w:name="_Toc2197"/>
      <w:r>
        <w:rPr>
          <w:rFonts w:hint="eastAsia" w:ascii="Times New Roman" w:hAnsi="Times New Roman" w:eastAsia="宋体" w:cs="Times New Roman"/>
          <w:b/>
          <w:bCs/>
          <w:color w:val="auto"/>
          <w:sz w:val="28"/>
          <w:szCs w:val="28"/>
          <w:lang w:val="en-US" w:eastAsia="zh-CN"/>
        </w:rPr>
        <w:t>9.1.1 环境管理的意义</w:t>
      </w:r>
      <w:bookmarkEnd w:id="513"/>
      <w:bookmarkEnd w:id="514"/>
      <w:bookmarkEnd w:id="515"/>
    </w:p>
    <w:p w14:paraId="4468F44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通过加强环境管理，建立相应的环境管理计划与监测计划，可以促进污染治理，确保环保设施正常运行、排污达标；可以避免许多因管理不善而产生的环境风险和对人群健康造成的危害，使建设项目对环境的危害控制在最小范围内。</w:t>
      </w:r>
    </w:p>
    <w:p w14:paraId="6B712A9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16" w:name="_Toc337734530"/>
      <w:bookmarkStart w:id="517" w:name="_Toc355942116"/>
      <w:bookmarkStart w:id="518" w:name="_Toc22870"/>
      <w:bookmarkStart w:id="519" w:name="_Toc27065"/>
      <w:bookmarkStart w:id="520" w:name="_Toc15308"/>
      <w:r>
        <w:rPr>
          <w:rFonts w:hint="eastAsia" w:ascii="Times New Roman" w:hAnsi="Times New Roman" w:eastAsia="宋体" w:cs="Times New Roman"/>
          <w:b/>
          <w:bCs/>
          <w:color w:val="auto"/>
          <w:sz w:val="28"/>
          <w:szCs w:val="28"/>
          <w:lang w:val="en-US" w:eastAsia="zh-CN"/>
        </w:rPr>
        <w:t>9.1.2 环境管理</w:t>
      </w:r>
      <w:bookmarkEnd w:id="516"/>
      <w:bookmarkEnd w:id="517"/>
      <w:r>
        <w:rPr>
          <w:rFonts w:hint="eastAsia" w:ascii="Times New Roman" w:hAnsi="Times New Roman" w:eastAsia="宋体" w:cs="Times New Roman"/>
          <w:b/>
          <w:bCs/>
          <w:color w:val="auto"/>
          <w:sz w:val="28"/>
          <w:szCs w:val="28"/>
          <w:lang w:val="en-US" w:eastAsia="zh-CN"/>
        </w:rPr>
        <w:t>体系</w:t>
      </w:r>
      <w:bookmarkEnd w:id="518"/>
      <w:bookmarkEnd w:id="519"/>
      <w:bookmarkEnd w:id="520"/>
    </w:p>
    <w:p w14:paraId="5DDF8FF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bookmarkStart w:id="521" w:name="_Toc355942117"/>
      <w:bookmarkStart w:id="522" w:name="_Toc337734531"/>
      <w:r>
        <w:rPr>
          <w:rFonts w:hint="eastAsia" w:ascii="Times New Roman" w:hAnsi="Times New Roman" w:eastAsia="宋体" w:cs="Times New Roman"/>
          <w:color w:val="auto"/>
          <w:sz w:val="24"/>
          <w:szCs w:val="24"/>
          <w:highlight w:val="none"/>
          <w:lang w:val="en-US" w:eastAsia="zh-CN"/>
        </w:rPr>
        <w:t>为确保建设项目环境管理工作真正得到落实，其环境管理体系由施工期的环境管理和运行期的环境管理组成。</w:t>
      </w:r>
    </w:p>
    <w:p w14:paraId="5A5EC9F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1、环境管理机构</w:t>
      </w:r>
    </w:p>
    <w:p w14:paraId="17C41A0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环境管理体系作为本项目企业管理体系的一部分，应与之相协调统一。企业应加强环境管理及监测，实行经理（厂长）领导下的“一人主管，分工负责；职能部门，各负其责；落实基层，监督考核”的原则，建立以经理（厂长）领导为核心，环保职能部门为基础的全员责任制的环境管理体系，并配备1-2名专职环境管理人员，使环境管理很好的贯穿于企业管理的整个过程，并落实到企业的各个层次，分解到生产的各个环节，把企业管理与环境管理紧密的结合起来。不但要建立完善的企业管理体系和各种规章制度，也要建立完善的环境管理体系，使企业的环境管理工作真正落到实处。</w:t>
      </w:r>
    </w:p>
    <w:p w14:paraId="665B5AA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2、环境管理职责</w:t>
      </w:r>
    </w:p>
    <w:p w14:paraId="2DF1FCB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加大宣传力度，提高企业人员的环保意识；对本项目产生的固体废物按要求储存处理，避免垃圾污染环境；负责制定和实施事故应急计划，一旦火灾或跑、冒、漏事故发生，能够及时而且有条不紊的开展救灾活动，使人、财损失降到最低限度。</w:t>
      </w:r>
    </w:p>
    <w:bookmarkEnd w:id="521"/>
    <w:bookmarkEnd w:id="522"/>
    <w:p w14:paraId="3871485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23" w:name="_Toc337734532"/>
      <w:bookmarkStart w:id="524" w:name="_Toc355942118"/>
      <w:bookmarkStart w:id="525" w:name="_Toc5794"/>
      <w:bookmarkStart w:id="526" w:name="_Toc1550"/>
      <w:bookmarkStart w:id="527" w:name="_Toc7326"/>
      <w:r>
        <w:rPr>
          <w:rFonts w:hint="eastAsia" w:ascii="Times New Roman" w:hAnsi="Times New Roman" w:eastAsia="宋体" w:cs="Times New Roman"/>
          <w:b/>
          <w:bCs/>
          <w:color w:val="auto"/>
          <w:sz w:val="28"/>
          <w:szCs w:val="28"/>
          <w:lang w:val="en-US" w:eastAsia="zh-CN"/>
        </w:rPr>
        <w:t>9.1.3 施工期环境管理</w:t>
      </w:r>
      <w:bookmarkEnd w:id="523"/>
      <w:bookmarkEnd w:id="524"/>
      <w:r>
        <w:rPr>
          <w:rFonts w:hint="eastAsia" w:ascii="Times New Roman" w:hAnsi="Times New Roman" w:eastAsia="宋体" w:cs="Times New Roman"/>
          <w:b/>
          <w:bCs/>
          <w:color w:val="auto"/>
          <w:sz w:val="28"/>
          <w:szCs w:val="28"/>
          <w:lang w:val="en-US" w:eastAsia="zh-CN"/>
        </w:rPr>
        <w:t>计划</w:t>
      </w:r>
      <w:bookmarkEnd w:id="525"/>
      <w:bookmarkEnd w:id="526"/>
      <w:bookmarkEnd w:id="527"/>
    </w:p>
    <w:p w14:paraId="3093094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1.环境管理机构对施工期环境保护工作全面负责，履行施工期各阶段环境管理职责。</w:t>
      </w:r>
    </w:p>
    <w:p w14:paraId="7B857A0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2.对施工队伍实行职责管理，要求施工队伍按要求文明施工，并做好监督、检查和教育工作。</w:t>
      </w:r>
    </w:p>
    <w:p w14:paraId="513FD02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3.按照环保主管部门的要求和本环评中有关环境保护措施对施工程序和场地布置实施统一安排。</w:t>
      </w:r>
    </w:p>
    <w:p w14:paraId="332862E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4.对产生的扬尘应及时洒水，及时清除弃土，避免二次扬尘。</w:t>
      </w:r>
    </w:p>
    <w:p w14:paraId="4E3D6FE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5.合理布置施工场地内的机械设备，把噪声较大的机械设备布置到远离居民地点。</w:t>
      </w:r>
    </w:p>
    <w:p w14:paraId="281776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表9.1-1  施工期环境管理计划</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0"/>
        <w:gridCol w:w="6226"/>
        <w:gridCol w:w="685"/>
        <w:gridCol w:w="695"/>
      </w:tblGrid>
      <w:tr w14:paraId="7C10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4" w:type="pct"/>
            <w:tcBorders>
              <w:tl2br w:val="nil"/>
              <w:tr2bl w:val="nil"/>
            </w:tcBorders>
            <w:vAlign w:val="center"/>
          </w:tcPr>
          <w:p w14:paraId="73843D74">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监理</w:t>
            </w:r>
          </w:p>
          <w:p w14:paraId="31A4B6CA">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项目</w:t>
            </w:r>
          </w:p>
        </w:tc>
        <w:tc>
          <w:tcPr>
            <w:tcW w:w="3654" w:type="pct"/>
            <w:tcBorders>
              <w:tl2br w:val="nil"/>
              <w:tr2bl w:val="nil"/>
            </w:tcBorders>
            <w:vAlign w:val="center"/>
          </w:tcPr>
          <w:p w14:paraId="62C3FE2A">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技术要求</w:t>
            </w:r>
          </w:p>
        </w:tc>
        <w:tc>
          <w:tcPr>
            <w:tcW w:w="402" w:type="pct"/>
            <w:tcBorders>
              <w:tl2br w:val="nil"/>
              <w:tr2bl w:val="nil"/>
            </w:tcBorders>
            <w:vAlign w:val="center"/>
          </w:tcPr>
          <w:p w14:paraId="28D911D5">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实施</w:t>
            </w:r>
          </w:p>
          <w:p w14:paraId="2DF19E82">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机构</w:t>
            </w:r>
          </w:p>
        </w:tc>
        <w:tc>
          <w:tcPr>
            <w:tcW w:w="408" w:type="pct"/>
            <w:tcBorders>
              <w:tl2br w:val="nil"/>
              <w:tr2bl w:val="nil"/>
            </w:tcBorders>
            <w:vAlign w:val="center"/>
          </w:tcPr>
          <w:p w14:paraId="5348B2B1">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监控</w:t>
            </w:r>
          </w:p>
          <w:p w14:paraId="4EA538F7">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机构</w:t>
            </w:r>
          </w:p>
        </w:tc>
      </w:tr>
      <w:tr w14:paraId="6EA9C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4" w:type="pct"/>
            <w:tcBorders>
              <w:tl2br w:val="nil"/>
              <w:tr2bl w:val="nil"/>
            </w:tcBorders>
            <w:vAlign w:val="center"/>
          </w:tcPr>
          <w:p w14:paraId="076C83AB">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环境空气污染</w:t>
            </w:r>
          </w:p>
        </w:tc>
        <w:tc>
          <w:tcPr>
            <w:tcW w:w="3654" w:type="pct"/>
            <w:tcBorders>
              <w:tl2br w:val="nil"/>
              <w:tr2bl w:val="nil"/>
            </w:tcBorders>
            <w:vAlign w:val="center"/>
          </w:tcPr>
          <w:p w14:paraId="2D198222">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项目施工期在建筑施工场地四周建设围挡，围挡高度不低于2.5m；施工场地地面洒水降尘；施工运输时对运输车辆加盖苫布，选择远离人群密集区的行程路线，并在城区内运输时减速慢行；合理安排施工进度，尽量缩短建设工期；对施工管理者和施工人员进行环境保护方面的培训，加强施工操作规范。</w:t>
            </w:r>
          </w:p>
        </w:tc>
        <w:tc>
          <w:tcPr>
            <w:tcW w:w="402" w:type="pct"/>
            <w:tcBorders>
              <w:tl2br w:val="nil"/>
              <w:tr2bl w:val="nil"/>
            </w:tcBorders>
            <w:vAlign w:val="center"/>
          </w:tcPr>
          <w:p w14:paraId="1525FC69">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承包商</w:t>
            </w:r>
          </w:p>
        </w:tc>
        <w:tc>
          <w:tcPr>
            <w:tcW w:w="408" w:type="pct"/>
            <w:vMerge w:val="restart"/>
            <w:tcBorders>
              <w:tl2br w:val="nil"/>
              <w:tr2bl w:val="nil"/>
            </w:tcBorders>
            <w:vAlign w:val="center"/>
          </w:tcPr>
          <w:p w14:paraId="22F199AD">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委托有资质单位进行监控</w:t>
            </w:r>
          </w:p>
        </w:tc>
      </w:tr>
      <w:tr w14:paraId="52A9A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4" w:type="pct"/>
            <w:tcBorders>
              <w:tl2br w:val="nil"/>
              <w:tr2bl w:val="nil"/>
            </w:tcBorders>
            <w:vAlign w:val="center"/>
          </w:tcPr>
          <w:p w14:paraId="3CAA9DF5">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地表水污染</w:t>
            </w:r>
          </w:p>
        </w:tc>
        <w:tc>
          <w:tcPr>
            <w:tcW w:w="3654" w:type="pct"/>
            <w:tcBorders>
              <w:tl2br w:val="nil"/>
              <w:tr2bl w:val="nil"/>
            </w:tcBorders>
            <w:vAlign w:val="center"/>
          </w:tcPr>
          <w:p w14:paraId="67A005B9">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施工废水经过沉淀池处理后用于施工场地降尘，禁止散排。</w:t>
            </w:r>
          </w:p>
        </w:tc>
        <w:tc>
          <w:tcPr>
            <w:tcW w:w="402" w:type="pct"/>
            <w:tcBorders>
              <w:tl2br w:val="nil"/>
              <w:tr2bl w:val="nil"/>
            </w:tcBorders>
            <w:vAlign w:val="center"/>
          </w:tcPr>
          <w:p w14:paraId="6BCE0837">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承包商</w:t>
            </w:r>
          </w:p>
        </w:tc>
        <w:tc>
          <w:tcPr>
            <w:tcW w:w="408" w:type="pct"/>
            <w:vMerge w:val="continue"/>
            <w:tcBorders>
              <w:tl2br w:val="nil"/>
              <w:tr2bl w:val="nil"/>
            </w:tcBorders>
            <w:vAlign w:val="center"/>
          </w:tcPr>
          <w:p w14:paraId="5FE9DB8F">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54C9B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4" w:type="pct"/>
            <w:tcBorders>
              <w:tl2br w:val="nil"/>
              <w:tr2bl w:val="nil"/>
            </w:tcBorders>
            <w:vAlign w:val="center"/>
          </w:tcPr>
          <w:p w14:paraId="4FC89F3D">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施工噪声</w:t>
            </w:r>
          </w:p>
        </w:tc>
        <w:tc>
          <w:tcPr>
            <w:tcW w:w="3654" w:type="pct"/>
            <w:tcBorders>
              <w:tl2br w:val="nil"/>
              <w:tr2bl w:val="nil"/>
            </w:tcBorders>
            <w:vAlign w:val="center"/>
          </w:tcPr>
          <w:p w14:paraId="05F92512">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（1）在施工机械选型上，应选用正规厂家、噪声较低的环保型机械，确保施工机械正常运行。</w:t>
            </w:r>
          </w:p>
          <w:p w14:paraId="6D3E5D9C">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（2）合理布局使用机械，由于厂区西侧厂界外为新华小区，本次评价要求施工机械布置在远离西侧厂界的区域。</w:t>
            </w:r>
          </w:p>
          <w:p w14:paraId="59762017">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（3）合理安排施工时间，严格杜绝夜间施工现象，施工机械不得重载作业，最大程度地降低施工产生的噪声影响。</w:t>
            </w:r>
          </w:p>
          <w:p w14:paraId="3EAAF149">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（4）运输车辆在城区内行驶时禁止鸣笛，并限速行驶；</w:t>
            </w:r>
          </w:p>
          <w:p w14:paraId="7D651C59">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（5）施工过程中要做到文明施工，高噪声施工机械的放置要注意对厂区外环境的影响。</w:t>
            </w:r>
          </w:p>
        </w:tc>
        <w:tc>
          <w:tcPr>
            <w:tcW w:w="402" w:type="pct"/>
            <w:tcBorders>
              <w:tl2br w:val="nil"/>
              <w:tr2bl w:val="nil"/>
            </w:tcBorders>
            <w:vAlign w:val="center"/>
          </w:tcPr>
          <w:p w14:paraId="59B05F54">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承包商</w:t>
            </w:r>
          </w:p>
        </w:tc>
        <w:tc>
          <w:tcPr>
            <w:tcW w:w="408" w:type="pct"/>
            <w:vMerge w:val="continue"/>
            <w:tcBorders>
              <w:tl2br w:val="nil"/>
              <w:tr2bl w:val="nil"/>
            </w:tcBorders>
            <w:vAlign w:val="center"/>
          </w:tcPr>
          <w:p w14:paraId="6902458C">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431B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534" w:type="pct"/>
            <w:tcBorders>
              <w:tl2br w:val="nil"/>
              <w:tr2bl w:val="nil"/>
            </w:tcBorders>
            <w:vAlign w:val="center"/>
          </w:tcPr>
          <w:p w14:paraId="777CB535">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固体废物</w:t>
            </w:r>
          </w:p>
        </w:tc>
        <w:tc>
          <w:tcPr>
            <w:tcW w:w="3654" w:type="pct"/>
            <w:tcBorders>
              <w:tl2br w:val="nil"/>
              <w:tr2bl w:val="nil"/>
            </w:tcBorders>
            <w:vAlign w:val="center"/>
          </w:tcPr>
          <w:p w14:paraId="1C383239">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（1）施工产生的弃土和建筑垃圾应送至政府指定地点、建筑垃圾转运间。</w:t>
            </w:r>
          </w:p>
          <w:p w14:paraId="7C0C49CD">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（2）施工人员产生的生活垃圾量较少，可设置固定垃圾箱存放，由市政部门统一清运处理。</w:t>
            </w:r>
          </w:p>
        </w:tc>
        <w:tc>
          <w:tcPr>
            <w:tcW w:w="402" w:type="pct"/>
            <w:tcBorders>
              <w:tl2br w:val="nil"/>
              <w:tr2bl w:val="nil"/>
            </w:tcBorders>
            <w:vAlign w:val="center"/>
          </w:tcPr>
          <w:p w14:paraId="564E8E8C">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承包商</w:t>
            </w:r>
          </w:p>
        </w:tc>
        <w:tc>
          <w:tcPr>
            <w:tcW w:w="408" w:type="pct"/>
            <w:vMerge w:val="continue"/>
            <w:tcBorders>
              <w:tl2br w:val="nil"/>
              <w:tr2bl w:val="nil"/>
            </w:tcBorders>
            <w:vAlign w:val="center"/>
          </w:tcPr>
          <w:p w14:paraId="6FAACBD6">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0540B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34" w:type="pct"/>
            <w:tcBorders>
              <w:tl2br w:val="nil"/>
              <w:tr2bl w:val="nil"/>
            </w:tcBorders>
            <w:vAlign w:val="center"/>
          </w:tcPr>
          <w:p w14:paraId="66C00151">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生态保护与防止水土流失</w:t>
            </w:r>
          </w:p>
        </w:tc>
        <w:tc>
          <w:tcPr>
            <w:tcW w:w="3654" w:type="pct"/>
            <w:tcBorders>
              <w:tl2br w:val="nil"/>
              <w:tr2bl w:val="nil"/>
            </w:tcBorders>
            <w:vAlign w:val="center"/>
          </w:tcPr>
          <w:p w14:paraId="798187BF">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（1）对施工期临时占地，应将原有土地表层堆在一旁，待施工完毕，将这些熟土再推平，恢复到土地表层，以利于还耕或绿化</w:t>
            </w:r>
          </w:p>
          <w:p w14:paraId="1CEE142F">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（2）在场区平整过程中做到边取土边平整，有计划取土，及时平整</w:t>
            </w:r>
          </w:p>
          <w:p w14:paraId="52DA7C79">
            <w:pPr>
              <w:pStyle w:val="3"/>
              <w:keepNext w:val="0"/>
              <w:keepLines w:val="0"/>
              <w:pageBreakBefore w:val="0"/>
              <w:widowControl w:val="0"/>
              <w:kinsoku/>
              <w:wordWrap/>
              <w:overflowPunct/>
              <w:topLinePunct w:val="0"/>
              <w:autoSpaceDE/>
              <w:autoSpaceDN/>
              <w:bidi w:val="0"/>
              <w:adjustRightInd/>
              <w:snapToGrid/>
              <w:spacing w:after="0" w:line="300" w:lineRule="exact"/>
              <w:ind w:left="0" w:firstLine="420" w:firstLineChars="200"/>
              <w:jc w:val="left"/>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（3）在主体工程完成后及时对厂区进行绿化</w:t>
            </w:r>
          </w:p>
        </w:tc>
        <w:tc>
          <w:tcPr>
            <w:tcW w:w="402" w:type="pct"/>
            <w:tcBorders>
              <w:tl2br w:val="nil"/>
              <w:tr2bl w:val="nil"/>
            </w:tcBorders>
            <w:vAlign w:val="center"/>
          </w:tcPr>
          <w:p w14:paraId="37F743CB">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承包商</w:t>
            </w:r>
          </w:p>
        </w:tc>
        <w:tc>
          <w:tcPr>
            <w:tcW w:w="408" w:type="pct"/>
            <w:vMerge w:val="continue"/>
            <w:tcBorders>
              <w:tl2br w:val="nil"/>
              <w:tr2bl w:val="nil"/>
            </w:tcBorders>
            <w:vAlign w:val="center"/>
          </w:tcPr>
          <w:p w14:paraId="5D36A278">
            <w:pPr>
              <w:pStyle w:val="3"/>
              <w:keepNext w:val="0"/>
              <w:keepLines w:val="0"/>
              <w:pageBreakBefore w:val="0"/>
              <w:widowControl w:val="0"/>
              <w:kinsoku/>
              <w:wordWrap/>
              <w:overflowPunct/>
              <w:topLinePunct w:val="0"/>
              <w:autoSpaceDE/>
              <w:autoSpaceDN/>
              <w:bidi w:val="0"/>
              <w:adjustRightInd/>
              <w:snapToGrid/>
              <w:spacing w:after="0" w:line="30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p>
        </w:tc>
      </w:tr>
    </w:tbl>
    <w:p w14:paraId="62F80E5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28" w:name="_Toc4053"/>
      <w:bookmarkStart w:id="529" w:name="_Toc886"/>
      <w:bookmarkStart w:id="530" w:name="_Toc18118"/>
      <w:r>
        <w:rPr>
          <w:rFonts w:hint="eastAsia" w:ascii="Times New Roman" w:hAnsi="Times New Roman" w:eastAsia="宋体" w:cs="Times New Roman"/>
          <w:b/>
          <w:bCs/>
          <w:color w:val="auto"/>
          <w:sz w:val="28"/>
          <w:szCs w:val="28"/>
          <w:lang w:val="en-US" w:eastAsia="zh-CN"/>
        </w:rPr>
        <w:t>9.1.4 运营期环境管理计划</w:t>
      </w:r>
      <w:bookmarkEnd w:id="528"/>
      <w:bookmarkEnd w:id="529"/>
      <w:bookmarkEnd w:id="530"/>
    </w:p>
    <w:p w14:paraId="54B223D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1、根据国家环保政策、标准及环境监测要求，制定该项目运行期环境管理规章制度、各种污染物排放指标。</w:t>
      </w:r>
    </w:p>
    <w:p w14:paraId="1F979B3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2、对本项目厂区内的公建设施进行定期维护和检修，确保公建设施的正常运行及管网畅通。</w:t>
      </w:r>
    </w:p>
    <w:p w14:paraId="53AF894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3、生活垃圾收集管理应由专人负责，分类收集，对分散布置的垃圾桶应定期清洗和消毒，生活垃圾定期由环卫部门清运，危险废物委托有危废处理资质单位处理。</w:t>
      </w:r>
    </w:p>
    <w:p w14:paraId="00A09BB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4、应将环保设施运行维护费用计划列入环保投资计划中，确保环保设施运行。</w:t>
      </w:r>
    </w:p>
    <w:p w14:paraId="3C0D4E6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31" w:name="_Toc32053"/>
      <w:bookmarkStart w:id="532" w:name="_Toc17560"/>
      <w:bookmarkStart w:id="533" w:name="_Toc23095"/>
      <w:r>
        <w:rPr>
          <w:rFonts w:hint="eastAsia" w:ascii="Times New Roman" w:hAnsi="Times New Roman" w:eastAsia="宋体" w:cs="Times New Roman"/>
          <w:b/>
          <w:bCs/>
          <w:color w:val="auto"/>
          <w:sz w:val="28"/>
          <w:szCs w:val="28"/>
          <w:lang w:val="en-US" w:eastAsia="zh-CN"/>
        </w:rPr>
        <w:t>9.1.5 排污许可规范管理</w:t>
      </w:r>
      <w:bookmarkEnd w:id="531"/>
      <w:bookmarkEnd w:id="532"/>
      <w:bookmarkEnd w:id="533"/>
    </w:p>
    <w:p w14:paraId="3E119EA8">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9.1.5.1 排污口规范管理</w:t>
      </w:r>
    </w:p>
    <w:p w14:paraId="36CEABD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排污口是企业污染物进入环境或污染环境的通道，强化排污口的管理是实施污染物总量控制的基础工作，也是区域环境管理逐步实现污染物排放科学化、定量化的重要手段。</w:t>
      </w:r>
    </w:p>
    <w:p w14:paraId="54B6340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（1）排污口规范化管理的基本原则</w:t>
      </w:r>
    </w:p>
    <w:p w14:paraId="32A9900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向环境排放污染物的排污口必须规范化；排污口应便于采样与计量监测，便于日常现场监督检查。</w:t>
      </w:r>
    </w:p>
    <w:p w14:paraId="05F0367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（2）排污口技术要求</w:t>
      </w:r>
    </w:p>
    <w:p w14:paraId="66B0F17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排污口的位置必须合理，按《排污口规范化整治技术要求（试行）》（环监〔1996〕470号）要求进行规范化管理；排放污染物的采样点设置应按《污染源监测技术规范》、《排污单位污染物排放口监测点位设置技术规范》（HJ 1405-2024）要求布设。</w:t>
      </w:r>
    </w:p>
    <w:p w14:paraId="2889011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（3）排污口立标管理</w:t>
      </w:r>
    </w:p>
    <w:p w14:paraId="4353F43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企业污染物排放口的标志，应按国家《环境保护图形标志排放口》（15562.1-1995）及《环境保护图形标志 固体废物贮存（处置）场》（15562.2-1995）的规定，设置规范的环境保护图形标志牌。见表9.1-2。</w:t>
      </w:r>
    </w:p>
    <w:p w14:paraId="663E7C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表9.1-2  环境保护图形符号</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9"/>
        <w:gridCol w:w="1771"/>
        <w:gridCol w:w="2028"/>
        <w:gridCol w:w="958"/>
        <w:gridCol w:w="2960"/>
      </w:tblGrid>
      <w:tr w14:paraId="19D0D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469" w:type="pct"/>
            <w:tcBorders>
              <w:tl2br w:val="nil"/>
              <w:tr2bl w:val="nil"/>
            </w:tcBorders>
            <w:vAlign w:val="center"/>
          </w:tcPr>
          <w:p w14:paraId="6A1C49BB">
            <w:pPr>
              <w:pStyle w:val="114"/>
              <w:spacing w:before="0" w:after="0" w:line="240" w:lineRule="auto"/>
              <w:ind w:firstLine="0" w:firstLineChars="0"/>
              <w:textAlignment w:val="auto"/>
              <w:rPr>
                <w:b w:val="0"/>
                <w:bCs/>
                <w:color w:val="auto"/>
                <w:szCs w:val="21"/>
              </w:rPr>
            </w:pPr>
            <w:r>
              <w:rPr>
                <w:b w:val="0"/>
                <w:bCs/>
                <w:color w:val="auto"/>
                <w:szCs w:val="21"/>
              </w:rPr>
              <w:t>序号</w:t>
            </w:r>
          </w:p>
        </w:tc>
        <w:tc>
          <w:tcPr>
            <w:tcW w:w="1039" w:type="pct"/>
            <w:tcBorders>
              <w:tl2br w:val="nil"/>
              <w:tr2bl w:val="nil"/>
            </w:tcBorders>
            <w:vAlign w:val="center"/>
          </w:tcPr>
          <w:p w14:paraId="0006377C">
            <w:pPr>
              <w:pStyle w:val="114"/>
              <w:spacing w:before="0" w:after="0" w:line="240" w:lineRule="auto"/>
              <w:ind w:firstLine="0" w:firstLineChars="0"/>
              <w:textAlignment w:val="auto"/>
              <w:rPr>
                <w:b w:val="0"/>
                <w:bCs/>
                <w:color w:val="auto"/>
                <w:szCs w:val="21"/>
              </w:rPr>
            </w:pPr>
            <w:r>
              <w:rPr>
                <w:b w:val="0"/>
                <w:bCs/>
                <w:color w:val="auto"/>
                <w:szCs w:val="21"/>
              </w:rPr>
              <w:t>提示图形符号</w:t>
            </w:r>
          </w:p>
        </w:tc>
        <w:tc>
          <w:tcPr>
            <w:tcW w:w="1190" w:type="pct"/>
            <w:tcBorders>
              <w:tl2br w:val="nil"/>
              <w:tr2bl w:val="nil"/>
            </w:tcBorders>
            <w:vAlign w:val="center"/>
          </w:tcPr>
          <w:p w14:paraId="74133FD8">
            <w:pPr>
              <w:pStyle w:val="114"/>
              <w:spacing w:before="0" w:after="0" w:line="240" w:lineRule="auto"/>
              <w:ind w:firstLine="0" w:firstLineChars="0"/>
              <w:textAlignment w:val="auto"/>
              <w:rPr>
                <w:b w:val="0"/>
                <w:bCs/>
                <w:color w:val="auto"/>
                <w:szCs w:val="21"/>
              </w:rPr>
            </w:pPr>
            <w:r>
              <w:rPr>
                <w:b w:val="0"/>
                <w:bCs/>
                <w:color w:val="auto"/>
                <w:szCs w:val="21"/>
              </w:rPr>
              <w:t>警告图形符号</w:t>
            </w:r>
          </w:p>
        </w:tc>
        <w:tc>
          <w:tcPr>
            <w:tcW w:w="562" w:type="pct"/>
            <w:tcBorders>
              <w:tl2br w:val="nil"/>
              <w:tr2bl w:val="nil"/>
            </w:tcBorders>
            <w:vAlign w:val="center"/>
          </w:tcPr>
          <w:p w14:paraId="42D0AE70">
            <w:pPr>
              <w:pStyle w:val="114"/>
              <w:spacing w:before="0" w:after="0" w:line="240" w:lineRule="auto"/>
              <w:ind w:firstLine="0" w:firstLineChars="0"/>
              <w:textAlignment w:val="auto"/>
              <w:rPr>
                <w:b w:val="0"/>
                <w:bCs/>
                <w:color w:val="auto"/>
                <w:szCs w:val="21"/>
              </w:rPr>
            </w:pPr>
            <w:r>
              <w:rPr>
                <w:b w:val="0"/>
                <w:bCs/>
                <w:color w:val="auto"/>
                <w:szCs w:val="21"/>
              </w:rPr>
              <w:t>名称</w:t>
            </w:r>
          </w:p>
        </w:tc>
        <w:tc>
          <w:tcPr>
            <w:tcW w:w="1737" w:type="pct"/>
            <w:tcBorders>
              <w:tl2br w:val="nil"/>
              <w:tr2bl w:val="nil"/>
            </w:tcBorders>
            <w:vAlign w:val="center"/>
          </w:tcPr>
          <w:p w14:paraId="36A47B45">
            <w:pPr>
              <w:pStyle w:val="114"/>
              <w:spacing w:before="0" w:after="0" w:line="240" w:lineRule="auto"/>
              <w:ind w:firstLine="0" w:firstLineChars="0"/>
              <w:textAlignment w:val="auto"/>
              <w:rPr>
                <w:b w:val="0"/>
                <w:bCs/>
                <w:color w:val="auto"/>
                <w:szCs w:val="21"/>
              </w:rPr>
            </w:pPr>
            <w:r>
              <w:rPr>
                <w:b w:val="0"/>
                <w:bCs/>
                <w:color w:val="auto"/>
                <w:szCs w:val="21"/>
              </w:rPr>
              <w:t>功能</w:t>
            </w:r>
          </w:p>
        </w:tc>
      </w:tr>
      <w:tr w14:paraId="3D963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5" w:hRule="atLeast"/>
          <w:jc w:val="center"/>
        </w:trPr>
        <w:tc>
          <w:tcPr>
            <w:tcW w:w="469" w:type="pct"/>
            <w:tcBorders>
              <w:tl2br w:val="nil"/>
              <w:tr2bl w:val="nil"/>
            </w:tcBorders>
            <w:vAlign w:val="center"/>
          </w:tcPr>
          <w:p w14:paraId="78867AFB">
            <w:pPr>
              <w:pStyle w:val="114"/>
              <w:spacing w:before="0" w:after="0" w:line="240" w:lineRule="auto"/>
              <w:ind w:firstLine="0" w:firstLineChars="0"/>
              <w:textAlignment w:val="auto"/>
              <w:rPr>
                <w:b w:val="0"/>
                <w:bCs/>
                <w:color w:val="auto"/>
                <w:szCs w:val="21"/>
              </w:rPr>
            </w:pPr>
            <w:r>
              <w:rPr>
                <w:b w:val="0"/>
                <w:bCs/>
                <w:color w:val="auto"/>
                <w:szCs w:val="21"/>
              </w:rPr>
              <w:t>1</w:t>
            </w:r>
          </w:p>
        </w:tc>
        <w:tc>
          <w:tcPr>
            <w:tcW w:w="1039" w:type="pct"/>
            <w:tcBorders>
              <w:tl2br w:val="nil"/>
              <w:tr2bl w:val="nil"/>
            </w:tcBorders>
            <w:vAlign w:val="center"/>
          </w:tcPr>
          <w:p w14:paraId="30D2EC01">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854075" cy="837565"/>
                  <wp:effectExtent l="0" t="0" r="3175" b="635"/>
                  <wp:docPr id="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2"/>
                          <pic:cNvPicPr>
                            <a:picLocks noChangeAspect="1"/>
                          </pic:cNvPicPr>
                        </pic:nvPicPr>
                        <pic:blipFill>
                          <a:blip r:embed="rId116"/>
                          <a:stretch>
                            <a:fillRect/>
                          </a:stretch>
                        </pic:blipFill>
                        <pic:spPr>
                          <a:xfrm>
                            <a:off x="0" y="0"/>
                            <a:ext cx="854075" cy="837565"/>
                          </a:xfrm>
                          <a:prstGeom prst="rect">
                            <a:avLst/>
                          </a:prstGeom>
                          <a:noFill/>
                          <a:ln>
                            <a:noFill/>
                          </a:ln>
                        </pic:spPr>
                      </pic:pic>
                    </a:graphicData>
                  </a:graphic>
                </wp:inline>
              </w:drawing>
            </w:r>
          </w:p>
        </w:tc>
        <w:tc>
          <w:tcPr>
            <w:tcW w:w="1190" w:type="pct"/>
            <w:tcBorders>
              <w:tl2br w:val="nil"/>
              <w:tr2bl w:val="nil"/>
            </w:tcBorders>
            <w:vAlign w:val="center"/>
          </w:tcPr>
          <w:p w14:paraId="3F316A00">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920750" cy="815340"/>
                  <wp:effectExtent l="0" t="0" r="12700" b="3810"/>
                  <wp:docPr id="1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
                          <pic:cNvPicPr>
                            <a:picLocks noChangeAspect="1"/>
                          </pic:cNvPicPr>
                        </pic:nvPicPr>
                        <pic:blipFill>
                          <a:blip r:embed="rId117"/>
                          <a:stretch>
                            <a:fillRect/>
                          </a:stretch>
                        </pic:blipFill>
                        <pic:spPr>
                          <a:xfrm>
                            <a:off x="0" y="0"/>
                            <a:ext cx="920750" cy="815340"/>
                          </a:xfrm>
                          <a:prstGeom prst="rect">
                            <a:avLst/>
                          </a:prstGeom>
                          <a:noFill/>
                          <a:ln>
                            <a:noFill/>
                          </a:ln>
                        </pic:spPr>
                      </pic:pic>
                    </a:graphicData>
                  </a:graphic>
                </wp:inline>
              </w:drawing>
            </w:r>
          </w:p>
        </w:tc>
        <w:tc>
          <w:tcPr>
            <w:tcW w:w="562" w:type="pct"/>
            <w:tcBorders>
              <w:tl2br w:val="nil"/>
              <w:tr2bl w:val="nil"/>
            </w:tcBorders>
            <w:vAlign w:val="center"/>
          </w:tcPr>
          <w:p w14:paraId="2EB4991A">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废水排放口</w:t>
            </w:r>
          </w:p>
        </w:tc>
        <w:tc>
          <w:tcPr>
            <w:tcW w:w="1737" w:type="pct"/>
            <w:tcBorders>
              <w:tl2br w:val="nil"/>
              <w:tr2bl w:val="nil"/>
            </w:tcBorders>
            <w:vAlign w:val="center"/>
          </w:tcPr>
          <w:p w14:paraId="1BEADAAE">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表示废水向水体排放</w:t>
            </w:r>
          </w:p>
        </w:tc>
      </w:tr>
      <w:tr w14:paraId="2AE1D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3" w:hRule="atLeast"/>
          <w:jc w:val="center"/>
        </w:trPr>
        <w:tc>
          <w:tcPr>
            <w:tcW w:w="469" w:type="pct"/>
            <w:tcBorders>
              <w:tl2br w:val="nil"/>
              <w:tr2bl w:val="nil"/>
            </w:tcBorders>
            <w:vAlign w:val="center"/>
          </w:tcPr>
          <w:p w14:paraId="729E5A9B">
            <w:pPr>
              <w:pStyle w:val="114"/>
              <w:spacing w:before="0" w:after="0" w:line="240" w:lineRule="auto"/>
              <w:ind w:firstLine="0" w:firstLineChars="0"/>
              <w:textAlignment w:val="auto"/>
              <w:rPr>
                <w:b w:val="0"/>
                <w:bCs/>
                <w:color w:val="auto"/>
                <w:szCs w:val="21"/>
              </w:rPr>
            </w:pPr>
            <w:r>
              <w:rPr>
                <w:b w:val="0"/>
                <w:bCs/>
                <w:color w:val="auto"/>
                <w:szCs w:val="21"/>
              </w:rPr>
              <w:t>2</w:t>
            </w:r>
          </w:p>
        </w:tc>
        <w:tc>
          <w:tcPr>
            <w:tcW w:w="1039" w:type="pct"/>
            <w:tcBorders>
              <w:tl2br w:val="nil"/>
              <w:tr2bl w:val="nil"/>
            </w:tcBorders>
            <w:vAlign w:val="center"/>
          </w:tcPr>
          <w:p w14:paraId="411D6822">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852170" cy="843915"/>
                  <wp:effectExtent l="0" t="0" r="5080" b="13335"/>
                  <wp:docPr id="1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4"/>
                          <pic:cNvPicPr>
                            <a:picLocks noChangeAspect="1"/>
                          </pic:cNvPicPr>
                        </pic:nvPicPr>
                        <pic:blipFill>
                          <a:blip r:embed="rId118"/>
                          <a:stretch>
                            <a:fillRect/>
                          </a:stretch>
                        </pic:blipFill>
                        <pic:spPr>
                          <a:xfrm>
                            <a:off x="0" y="0"/>
                            <a:ext cx="852170" cy="843915"/>
                          </a:xfrm>
                          <a:prstGeom prst="rect">
                            <a:avLst/>
                          </a:prstGeom>
                          <a:noFill/>
                          <a:ln>
                            <a:noFill/>
                          </a:ln>
                        </pic:spPr>
                      </pic:pic>
                    </a:graphicData>
                  </a:graphic>
                </wp:inline>
              </w:drawing>
            </w:r>
          </w:p>
        </w:tc>
        <w:tc>
          <w:tcPr>
            <w:tcW w:w="1190" w:type="pct"/>
            <w:tcBorders>
              <w:tl2br w:val="nil"/>
              <w:tr2bl w:val="nil"/>
            </w:tcBorders>
            <w:vAlign w:val="center"/>
          </w:tcPr>
          <w:p w14:paraId="4B2841E8">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899795" cy="814705"/>
                  <wp:effectExtent l="0" t="0" r="14605" b="4445"/>
                  <wp:docPr id="1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5"/>
                          <pic:cNvPicPr>
                            <a:picLocks noChangeAspect="1"/>
                          </pic:cNvPicPr>
                        </pic:nvPicPr>
                        <pic:blipFill>
                          <a:blip r:embed="rId119"/>
                          <a:stretch>
                            <a:fillRect/>
                          </a:stretch>
                        </pic:blipFill>
                        <pic:spPr>
                          <a:xfrm>
                            <a:off x="0" y="0"/>
                            <a:ext cx="899795" cy="814705"/>
                          </a:xfrm>
                          <a:prstGeom prst="rect">
                            <a:avLst/>
                          </a:prstGeom>
                          <a:noFill/>
                          <a:ln>
                            <a:noFill/>
                          </a:ln>
                        </pic:spPr>
                      </pic:pic>
                    </a:graphicData>
                  </a:graphic>
                </wp:inline>
              </w:drawing>
            </w:r>
          </w:p>
        </w:tc>
        <w:tc>
          <w:tcPr>
            <w:tcW w:w="562" w:type="pct"/>
            <w:tcBorders>
              <w:tl2br w:val="nil"/>
              <w:tr2bl w:val="nil"/>
            </w:tcBorders>
            <w:vAlign w:val="center"/>
          </w:tcPr>
          <w:p w14:paraId="4D290F76">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废气排放口</w:t>
            </w:r>
          </w:p>
        </w:tc>
        <w:tc>
          <w:tcPr>
            <w:tcW w:w="1737" w:type="pct"/>
            <w:tcBorders>
              <w:tl2br w:val="nil"/>
              <w:tr2bl w:val="nil"/>
            </w:tcBorders>
            <w:vAlign w:val="center"/>
          </w:tcPr>
          <w:p w14:paraId="1D7E26AB">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表示废气向大气环境排放</w:t>
            </w:r>
          </w:p>
        </w:tc>
      </w:tr>
      <w:tr w14:paraId="2C0A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1" w:hRule="atLeast"/>
          <w:jc w:val="center"/>
        </w:trPr>
        <w:tc>
          <w:tcPr>
            <w:tcW w:w="469" w:type="pct"/>
            <w:tcBorders>
              <w:tl2br w:val="nil"/>
              <w:tr2bl w:val="nil"/>
            </w:tcBorders>
            <w:vAlign w:val="center"/>
          </w:tcPr>
          <w:p w14:paraId="78C0BF9F">
            <w:pPr>
              <w:pStyle w:val="114"/>
              <w:spacing w:before="0" w:after="0" w:line="240" w:lineRule="auto"/>
              <w:ind w:firstLine="0" w:firstLineChars="0"/>
              <w:textAlignment w:val="auto"/>
              <w:rPr>
                <w:b w:val="0"/>
                <w:bCs/>
                <w:color w:val="auto"/>
                <w:szCs w:val="21"/>
              </w:rPr>
            </w:pPr>
            <w:r>
              <w:rPr>
                <w:b w:val="0"/>
                <w:bCs/>
                <w:color w:val="auto"/>
                <w:szCs w:val="21"/>
              </w:rPr>
              <w:t>3</w:t>
            </w:r>
          </w:p>
        </w:tc>
        <w:tc>
          <w:tcPr>
            <w:tcW w:w="1039" w:type="pct"/>
            <w:tcBorders>
              <w:tl2br w:val="nil"/>
              <w:tr2bl w:val="nil"/>
            </w:tcBorders>
            <w:vAlign w:val="center"/>
          </w:tcPr>
          <w:p w14:paraId="55D8D7EE">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874395" cy="866775"/>
                  <wp:effectExtent l="0" t="0" r="1905" b="952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120"/>
                          <a:stretch>
                            <a:fillRect/>
                          </a:stretch>
                        </pic:blipFill>
                        <pic:spPr>
                          <a:xfrm>
                            <a:off x="0" y="0"/>
                            <a:ext cx="874395" cy="866775"/>
                          </a:xfrm>
                          <a:prstGeom prst="rect">
                            <a:avLst/>
                          </a:prstGeom>
                          <a:noFill/>
                          <a:ln>
                            <a:noFill/>
                          </a:ln>
                        </pic:spPr>
                      </pic:pic>
                    </a:graphicData>
                  </a:graphic>
                </wp:inline>
              </w:drawing>
            </w:r>
          </w:p>
        </w:tc>
        <w:tc>
          <w:tcPr>
            <w:tcW w:w="1190" w:type="pct"/>
            <w:tcBorders>
              <w:tl2br w:val="nil"/>
              <w:tr2bl w:val="nil"/>
            </w:tcBorders>
            <w:vAlign w:val="center"/>
          </w:tcPr>
          <w:p w14:paraId="4D60B1DB">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946150" cy="898525"/>
                  <wp:effectExtent l="0" t="0" r="6350" b="1587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
                          <pic:cNvPicPr>
                            <a:picLocks noChangeAspect="1"/>
                          </pic:cNvPicPr>
                        </pic:nvPicPr>
                        <pic:blipFill>
                          <a:blip r:embed="rId121"/>
                          <a:stretch>
                            <a:fillRect/>
                          </a:stretch>
                        </pic:blipFill>
                        <pic:spPr>
                          <a:xfrm>
                            <a:off x="0" y="0"/>
                            <a:ext cx="946150" cy="898525"/>
                          </a:xfrm>
                          <a:prstGeom prst="rect">
                            <a:avLst/>
                          </a:prstGeom>
                          <a:noFill/>
                          <a:ln>
                            <a:noFill/>
                          </a:ln>
                        </pic:spPr>
                      </pic:pic>
                    </a:graphicData>
                  </a:graphic>
                </wp:inline>
              </w:drawing>
            </w:r>
          </w:p>
        </w:tc>
        <w:tc>
          <w:tcPr>
            <w:tcW w:w="562" w:type="pct"/>
            <w:tcBorders>
              <w:tl2br w:val="nil"/>
              <w:tr2bl w:val="nil"/>
            </w:tcBorders>
            <w:vAlign w:val="center"/>
          </w:tcPr>
          <w:p w14:paraId="70E306DB">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噪声排放源</w:t>
            </w:r>
          </w:p>
        </w:tc>
        <w:tc>
          <w:tcPr>
            <w:tcW w:w="1737" w:type="pct"/>
            <w:tcBorders>
              <w:tl2br w:val="nil"/>
              <w:tr2bl w:val="nil"/>
            </w:tcBorders>
            <w:vAlign w:val="center"/>
          </w:tcPr>
          <w:p w14:paraId="61407EA7">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表示噪声向外环境排放</w:t>
            </w:r>
          </w:p>
        </w:tc>
      </w:tr>
      <w:tr w14:paraId="72EA0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jc w:val="center"/>
        </w:trPr>
        <w:tc>
          <w:tcPr>
            <w:tcW w:w="469" w:type="pct"/>
            <w:tcBorders>
              <w:tl2br w:val="nil"/>
              <w:tr2bl w:val="nil"/>
            </w:tcBorders>
            <w:vAlign w:val="center"/>
          </w:tcPr>
          <w:p w14:paraId="4D1E1C01">
            <w:pPr>
              <w:pStyle w:val="114"/>
              <w:spacing w:before="0" w:after="0" w:line="240" w:lineRule="auto"/>
              <w:ind w:firstLine="0" w:firstLineChars="0"/>
              <w:textAlignment w:val="auto"/>
              <w:rPr>
                <w:b w:val="0"/>
                <w:bCs/>
                <w:color w:val="auto"/>
                <w:szCs w:val="21"/>
              </w:rPr>
            </w:pPr>
            <w:r>
              <w:rPr>
                <w:b w:val="0"/>
                <w:bCs/>
                <w:color w:val="auto"/>
                <w:szCs w:val="21"/>
              </w:rPr>
              <w:t>4</w:t>
            </w:r>
          </w:p>
        </w:tc>
        <w:tc>
          <w:tcPr>
            <w:tcW w:w="1039" w:type="pct"/>
            <w:tcBorders>
              <w:tl2br w:val="nil"/>
              <w:tr2bl w:val="nil"/>
            </w:tcBorders>
            <w:vAlign w:val="center"/>
          </w:tcPr>
          <w:p w14:paraId="2AF04A43">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852170" cy="860425"/>
                  <wp:effectExtent l="0" t="0" r="5080" b="15875"/>
                  <wp:docPr id="19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8"/>
                          <pic:cNvPicPr>
                            <a:picLocks noChangeAspect="1"/>
                          </pic:cNvPicPr>
                        </pic:nvPicPr>
                        <pic:blipFill>
                          <a:blip r:embed="rId122"/>
                          <a:stretch>
                            <a:fillRect/>
                          </a:stretch>
                        </pic:blipFill>
                        <pic:spPr>
                          <a:xfrm>
                            <a:off x="0" y="0"/>
                            <a:ext cx="852170" cy="860425"/>
                          </a:xfrm>
                          <a:prstGeom prst="rect">
                            <a:avLst/>
                          </a:prstGeom>
                          <a:noFill/>
                          <a:ln>
                            <a:noFill/>
                          </a:ln>
                        </pic:spPr>
                      </pic:pic>
                    </a:graphicData>
                  </a:graphic>
                </wp:inline>
              </w:drawing>
            </w:r>
          </w:p>
        </w:tc>
        <w:tc>
          <w:tcPr>
            <w:tcW w:w="1190" w:type="pct"/>
            <w:tcBorders>
              <w:tl2br w:val="nil"/>
              <w:tr2bl w:val="nil"/>
            </w:tcBorders>
            <w:vAlign w:val="center"/>
          </w:tcPr>
          <w:p w14:paraId="6C6A5121">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982980" cy="837565"/>
                  <wp:effectExtent l="0" t="0" r="7620" b="635"/>
                  <wp:docPr id="19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9"/>
                          <pic:cNvPicPr>
                            <a:picLocks noChangeAspect="1"/>
                          </pic:cNvPicPr>
                        </pic:nvPicPr>
                        <pic:blipFill>
                          <a:blip r:embed="rId123"/>
                          <a:stretch>
                            <a:fillRect/>
                          </a:stretch>
                        </pic:blipFill>
                        <pic:spPr>
                          <a:xfrm>
                            <a:off x="0" y="0"/>
                            <a:ext cx="982980" cy="837565"/>
                          </a:xfrm>
                          <a:prstGeom prst="rect">
                            <a:avLst/>
                          </a:prstGeom>
                          <a:noFill/>
                          <a:ln>
                            <a:noFill/>
                          </a:ln>
                        </pic:spPr>
                      </pic:pic>
                    </a:graphicData>
                  </a:graphic>
                </wp:inline>
              </w:drawing>
            </w:r>
          </w:p>
        </w:tc>
        <w:tc>
          <w:tcPr>
            <w:tcW w:w="562" w:type="pct"/>
            <w:tcBorders>
              <w:tl2br w:val="nil"/>
              <w:tr2bl w:val="nil"/>
            </w:tcBorders>
            <w:vAlign w:val="center"/>
          </w:tcPr>
          <w:p w14:paraId="2FBB77C1">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一般固体废物</w:t>
            </w:r>
          </w:p>
        </w:tc>
        <w:tc>
          <w:tcPr>
            <w:tcW w:w="1737" w:type="pct"/>
            <w:tcBorders>
              <w:tl2br w:val="nil"/>
              <w:tr2bl w:val="nil"/>
            </w:tcBorders>
            <w:vAlign w:val="center"/>
          </w:tcPr>
          <w:p w14:paraId="54579BFE">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表示一般固体废物贮存、处置场</w:t>
            </w:r>
          </w:p>
        </w:tc>
      </w:tr>
      <w:tr w14:paraId="30DD3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5" w:hRule="atLeast"/>
          <w:jc w:val="center"/>
        </w:trPr>
        <w:tc>
          <w:tcPr>
            <w:tcW w:w="469" w:type="pct"/>
            <w:tcBorders>
              <w:tl2br w:val="nil"/>
              <w:tr2bl w:val="nil"/>
            </w:tcBorders>
            <w:vAlign w:val="center"/>
          </w:tcPr>
          <w:p w14:paraId="0768F499">
            <w:pPr>
              <w:pStyle w:val="114"/>
              <w:spacing w:before="0" w:after="0" w:line="240" w:lineRule="auto"/>
              <w:ind w:firstLine="0" w:firstLineChars="0"/>
              <w:textAlignment w:val="auto"/>
              <w:rPr>
                <w:b w:val="0"/>
                <w:bCs/>
                <w:color w:val="auto"/>
                <w:szCs w:val="21"/>
              </w:rPr>
            </w:pPr>
            <w:r>
              <w:rPr>
                <w:b w:val="0"/>
                <w:bCs/>
                <w:color w:val="auto"/>
                <w:szCs w:val="21"/>
              </w:rPr>
              <w:t>5</w:t>
            </w:r>
          </w:p>
        </w:tc>
        <w:tc>
          <w:tcPr>
            <w:tcW w:w="1039" w:type="pct"/>
            <w:tcBorders>
              <w:tl2br w:val="nil"/>
              <w:tr2bl w:val="nil"/>
            </w:tcBorders>
            <w:vAlign w:val="center"/>
          </w:tcPr>
          <w:p w14:paraId="4F5F3083">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w:t>
            </w:r>
          </w:p>
        </w:tc>
        <w:tc>
          <w:tcPr>
            <w:tcW w:w="1190" w:type="pct"/>
            <w:tcBorders>
              <w:tl2br w:val="nil"/>
              <w:tr2bl w:val="nil"/>
            </w:tcBorders>
            <w:vAlign w:val="center"/>
          </w:tcPr>
          <w:p w14:paraId="048E1ADD">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drawing>
                <wp:inline distT="0" distB="0" distL="114300" distR="114300">
                  <wp:extent cx="1021715" cy="641985"/>
                  <wp:effectExtent l="0" t="0" r="6985" b="5715"/>
                  <wp:docPr id="197" name="图片 6" descr="2c3ada9ac3b8ebef67ee0332a6a310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6" descr="2c3ada9ac3b8ebef67ee0332a6a310c7"/>
                          <pic:cNvPicPr>
                            <a:picLocks noChangeAspect="1"/>
                          </pic:cNvPicPr>
                        </pic:nvPicPr>
                        <pic:blipFill>
                          <a:blip r:embed="rId124"/>
                          <a:stretch>
                            <a:fillRect/>
                          </a:stretch>
                        </pic:blipFill>
                        <pic:spPr>
                          <a:xfrm>
                            <a:off x="0" y="0"/>
                            <a:ext cx="1021715" cy="641985"/>
                          </a:xfrm>
                          <a:prstGeom prst="rect">
                            <a:avLst/>
                          </a:prstGeom>
                          <a:noFill/>
                          <a:ln>
                            <a:noFill/>
                          </a:ln>
                        </pic:spPr>
                      </pic:pic>
                    </a:graphicData>
                  </a:graphic>
                </wp:inline>
              </w:drawing>
            </w:r>
          </w:p>
        </w:tc>
        <w:tc>
          <w:tcPr>
            <w:tcW w:w="562" w:type="pct"/>
            <w:tcBorders>
              <w:tl2br w:val="nil"/>
              <w:tr2bl w:val="nil"/>
            </w:tcBorders>
            <w:vAlign w:val="center"/>
          </w:tcPr>
          <w:p w14:paraId="2A1751D7">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危险废物</w:t>
            </w:r>
          </w:p>
        </w:tc>
        <w:tc>
          <w:tcPr>
            <w:tcW w:w="1737" w:type="pct"/>
            <w:tcBorders>
              <w:tl2br w:val="nil"/>
              <w:tr2bl w:val="nil"/>
            </w:tcBorders>
            <w:vAlign w:val="center"/>
          </w:tcPr>
          <w:p w14:paraId="38803F30">
            <w:pPr>
              <w:spacing w:line="240" w:lineRule="auto"/>
              <w:ind w:firstLine="0" w:firstLineChars="0"/>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危险废物贮存、处置场</w:t>
            </w:r>
          </w:p>
        </w:tc>
      </w:tr>
    </w:tbl>
    <w:p w14:paraId="4B0A15B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（4）排污口建档管理</w:t>
      </w:r>
    </w:p>
    <w:p w14:paraId="736D905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要求使用国家环境保护行政主管部门统一印制的《中华人民共和国规范化排污口标志登记证》的要求填写项目有关内容；根据排污口管理档案内容要求，本项目建成后，应建立各主要污染物种类、数量、浓度、排放方式、排放去向、达标情况的台账，并按生态环境部门要求及时上报。</w:t>
      </w:r>
    </w:p>
    <w:p w14:paraId="6679D197">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9.1.5.2 排污许可管理</w:t>
      </w:r>
    </w:p>
    <w:p w14:paraId="298B436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中华人民共和国生态环境部《关于做好环境影响评价制度与排污许可制衔接相关工作的通知》（环办环评〔2017〕84号），本项目属于纳入排污许可管理的建设项目，在本次环境影响报告书中，已按照《污染物源强核算技术指南 锅炉》（HJ991-2018）、《排污许可证申请与核发技术规范 锅炉》及环境影响评价要素导则等技术文件，核定了本项目的产排污环节、污染物种类及污染防治措施，并根据《排污单位自行监测技术指南 火力发电及锅炉》（HJ820-2017）制定了自行监测计划等相关内容。本项目所在厂区已核发排污许可证，待本项目投产运行前建设单位须变更排污许可证。</w:t>
      </w:r>
    </w:p>
    <w:p w14:paraId="2113B2F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34" w:name="_Toc16006"/>
      <w:bookmarkStart w:id="535" w:name="_Toc24698"/>
      <w:bookmarkStart w:id="536" w:name="_Toc19654"/>
      <w:r>
        <w:rPr>
          <w:rFonts w:hint="eastAsia" w:ascii="Times New Roman" w:hAnsi="Times New Roman" w:eastAsia="宋体" w:cs="Times New Roman"/>
          <w:b/>
          <w:bCs/>
          <w:color w:val="auto"/>
          <w:sz w:val="28"/>
          <w:szCs w:val="28"/>
          <w:lang w:val="en-US" w:eastAsia="zh-CN"/>
        </w:rPr>
        <w:t>9.1.6 信息公开</w:t>
      </w:r>
      <w:bookmarkEnd w:id="534"/>
      <w:bookmarkEnd w:id="535"/>
      <w:bookmarkEnd w:id="536"/>
    </w:p>
    <w:p w14:paraId="19B448B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（1）公开建设项目开工前的信息。</w:t>
      </w:r>
    </w:p>
    <w:p w14:paraId="2635980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建设项目开工建设前，建设单位应当向社会公开建设项目开工日期、设计单位、施工单位和环境监理单位、工程基本情况、实际选址选线、拟采取的环境保护措施清单和实施计划、由地方政府或相关部门负责配套的环境保护措施清单和实施计划等，并确保上述信息在整个施工期内均处于公开状态。</w:t>
      </w:r>
    </w:p>
    <w:p w14:paraId="3BB3CF7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（2）公开建设项目施工过程中的信息。</w:t>
      </w:r>
    </w:p>
    <w:p w14:paraId="22F9A69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项目建设过程中，建设单位应当在施工中期向社会公开建设项目环境保护措施进展情况、施工期的环境保护措施落实情况、施工期环境监理情况、环境监测结果等。</w:t>
      </w:r>
    </w:p>
    <w:p w14:paraId="0AE59E19">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（3）公开建设项目建成后的信息。</w:t>
      </w:r>
    </w:p>
    <w:p w14:paraId="6D3B477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建设项目建成后，建设单位应当向社会公开建设项目环评提出的各项环境保护设施和措施执行情况、竣工环境保护验收监测和调查结果。针对主要排放的污染物对环境产生影响的建设项目，投入生产或使用后，应当定期向社会特别是周边社区公开主要污染物排放情况。</w:t>
      </w:r>
    </w:p>
    <w:p w14:paraId="57DB4D70">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37" w:name="_Toc3019"/>
      <w:bookmarkStart w:id="538" w:name="_Toc14148"/>
      <w:bookmarkStart w:id="539" w:name="_Toc28009"/>
      <w:r>
        <w:rPr>
          <w:rFonts w:hint="eastAsia" w:ascii="Times New Roman" w:hAnsi="Times New Roman" w:eastAsia="宋体" w:cs="Times New Roman"/>
          <w:b/>
          <w:bCs/>
          <w:color w:val="auto"/>
        </w:rPr>
        <w:t>9.2 环境监测计划</w:t>
      </w:r>
      <w:bookmarkEnd w:id="537"/>
      <w:bookmarkEnd w:id="538"/>
      <w:bookmarkEnd w:id="539"/>
    </w:p>
    <w:p w14:paraId="7192DE60">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40" w:name="_Toc10049"/>
      <w:bookmarkStart w:id="541" w:name="_Toc13174"/>
      <w:bookmarkStart w:id="542" w:name="_Toc11056"/>
      <w:r>
        <w:rPr>
          <w:rFonts w:hint="eastAsia" w:ascii="Times New Roman" w:hAnsi="Times New Roman" w:eastAsia="宋体" w:cs="Times New Roman"/>
          <w:b/>
          <w:bCs/>
          <w:color w:val="auto"/>
          <w:sz w:val="28"/>
          <w:szCs w:val="28"/>
          <w:lang w:val="en-US" w:eastAsia="zh-CN"/>
        </w:rPr>
        <w:t>9.2.1 环境监测的意义</w:t>
      </w:r>
      <w:bookmarkEnd w:id="540"/>
      <w:bookmarkEnd w:id="541"/>
      <w:bookmarkEnd w:id="542"/>
    </w:p>
    <w:p w14:paraId="625199F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环境监测是企业环境保护的重要组成部分，也是企业的一项规范化制度。通过环境监测，进行数据整理分析，建立监测档案，可为污染源治理，掌握污染物排放变化规律提供依据，为上级环保部门进行区域环境规划、管理执法提供依据。同时，环境监测也是企业实现污染物总量控制，做到清洁生产的重要保证手段之一。</w:t>
      </w:r>
    </w:p>
    <w:p w14:paraId="1310040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43" w:name="_Toc9187"/>
      <w:bookmarkStart w:id="544" w:name="_Toc15909"/>
      <w:bookmarkStart w:id="545" w:name="_Toc28094"/>
      <w:r>
        <w:rPr>
          <w:rFonts w:hint="eastAsia" w:ascii="Times New Roman" w:hAnsi="Times New Roman" w:eastAsia="宋体" w:cs="Times New Roman"/>
          <w:b/>
          <w:bCs/>
          <w:color w:val="auto"/>
          <w:sz w:val="28"/>
          <w:szCs w:val="28"/>
          <w:lang w:val="en-US" w:eastAsia="zh-CN"/>
        </w:rPr>
        <w:t>9.2.2</w:t>
      </w:r>
      <w:r>
        <w:rPr>
          <w:rFonts w:hint="eastAsia" w:ascii="Times New Roman" w:hAnsi="Times New Roman" w:cs="Times New Roman"/>
          <w:b/>
          <w:bCs/>
          <w:color w:val="auto"/>
          <w:sz w:val="28"/>
          <w:szCs w:val="28"/>
          <w:lang w:val="en-US" w:eastAsia="zh-CN"/>
        </w:rPr>
        <w:t xml:space="preserve"> </w:t>
      </w:r>
      <w:r>
        <w:rPr>
          <w:rFonts w:hint="eastAsia" w:ascii="Times New Roman" w:hAnsi="Times New Roman" w:eastAsia="宋体" w:cs="Times New Roman"/>
          <w:b/>
          <w:bCs/>
          <w:color w:val="auto"/>
          <w:sz w:val="28"/>
          <w:szCs w:val="28"/>
          <w:lang w:val="en-US" w:eastAsia="zh-CN"/>
        </w:rPr>
        <w:t>环境监测计划</w:t>
      </w:r>
      <w:bookmarkEnd w:id="543"/>
      <w:bookmarkEnd w:id="544"/>
      <w:bookmarkEnd w:id="545"/>
    </w:p>
    <w:p w14:paraId="3794FF9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根据《环境影响评价技术导则 大气环境（HJ2.2-2018）》“9环境监测计划—一级评价项目按HJ819的要求，提出项目在生产运行阶段的污染源监测计划和环境质量监测计划”。</w:t>
      </w:r>
    </w:p>
    <w:p w14:paraId="53D8F67B">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（1）环境质量监测计划</w:t>
      </w:r>
    </w:p>
    <w:p w14:paraId="31CACA3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根据《环境影响评价技术导则 大气环境》（HJ2.2-2018）中“9.3环境质量监测计划”要求，项目排放污染物P</w:t>
      </w:r>
      <w:r>
        <w:rPr>
          <w:rFonts w:hint="eastAsia" w:ascii="Times New Roman" w:hAnsi="Times New Roman" w:eastAsia="宋体" w:cs="Times New Roman"/>
          <w:color w:val="auto"/>
          <w:sz w:val="24"/>
          <w:szCs w:val="24"/>
          <w:highlight w:val="none"/>
          <w:vertAlign w:val="subscript"/>
          <w:lang w:val="en-US" w:eastAsia="zh-CN"/>
        </w:rPr>
        <w:t>i</w:t>
      </w:r>
      <w:r>
        <w:rPr>
          <w:rFonts w:hint="eastAsia" w:ascii="Times New Roman" w:hAnsi="Times New Roman" w:eastAsia="宋体" w:cs="Times New Roman"/>
          <w:color w:val="auto"/>
          <w:sz w:val="24"/>
          <w:szCs w:val="24"/>
          <w:highlight w:val="none"/>
          <w:lang w:val="en-US" w:eastAsia="zh-CN"/>
        </w:rPr>
        <w:t>≥1%的其他污染物作为环境质量监测因子，本项目无P</w:t>
      </w:r>
      <w:r>
        <w:rPr>
          <w:rFonts w:hint="eastAsia" w:ascii="Times New Roman" w:hAnsi="Times New Roman" w:eastAsia="宋体" w:cs="Times New Roman"/>
          <w:color w:val="auto"/>
          <w:sz w:val="24"/>
          <w:szCs w:val="24"/>
          <w:highlight w:val="none"/>
          <w:vertAlign w:val="subscript"/>
          <w:lang w:val="en-US" w:eastAsia="zh-CN"/>
        </w:rPr>
        <w:t>i</w:t>
      </w:r>
      <w:r>
        <w:rPr>
          <w:rFonts w:hint="eastAsia" w:ascii="Times New Roman" w:hAnsi="Times New Roman" w:eastAsia="宋体" w:cs="Times New Roman"/>
          <w:color w:val="auto"/>
          <w:sz w:val="24"/>
          <w:szCs w:val="24"/>
          <w:highlight w:val="none"/>
          <w:lang w:val="en-US" w:eastAsia="zh-CN"/>
        </w:rPr>
        <w:t>≥1%的其他污染物。</w:t>
      </w:r>
    </w:p>
    <w:p w14:paraId="1B75E49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（2）污染源监测计划</w:t>
      </w:r>
    </w:p>
    <w:p w14:paraId="203770C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本项目运营期污染源监测计划按照《排污单位自行监测技术指南 火力发电及锅炉》（HJ820-2017）中监测要求制定，若企业不具备监测条件进行上述污染源及环境质量监测，可委托有资质的环境监测单位进行监测。污染源监测计划内容见表9.2-3。</w:t>
      </w:r>
    </w:p>
    <w:p w14:paraId="67C7E49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sectPr>
          <w:pgSz w:w="11906" w:h="16838"/>
          <w:pgMar w:top="1440" w:right="1803" w:bottom="1440" w:left="1803" w:header="1191" w:footer="1191" w:gutter="0"/>
          <w:pgBorders>
            <w:top w:val="none" w:sz="0" w:space="0"/>
            <w:left w:val="none" w:sz="0" w:space="0"/>
            <w:bottom w:val="none" w:sz="0" w:space="0"/>
            <w:right w:val="none" w:sz="0" w:space="0"/>
          </w:pgBorders>
          <w:pgNumType w:fmt="decimal"/>
          <w:cols w:space="720" w:num="1"/>
          <w:docGrid w:linePitch="286" w:charSpace="0"/>
        </w:sectPr>
      </w:pPr>
    </w:p>
    <w:p w14:paraId="229419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表9.2-</w:t>
      </w:r>
      <w:r>
        <w:rPr>
          <w:rFonts w:hint="eastAsia" w:ascii="Times New Roman" w:hAnsi="Times New Roman" w:eastAsia="宋体"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 xml:space="preserve">  本项目污染源监测计划一览表</w:t>
      </w:r>
    </w:p>
    <w:tbl>
      <w:tblPr>
        <w:tblStyle w:val="40"/>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422"/>
        <w:gridCol w:w="636"/>
        <w:gridCol w:w="687"/>
        <w:gridCol w:w="691"/>
        <w:gridCol w:w="1672"/>
        <w:gridCol w:w="3537"/>
      </w:tblGrid>
      <w:tr w14:paraId="058E59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8" w:hRule="atLeast"/>
        </w:trPr>
        <w:tc>
          <w:tcPr>
            <w:tcW w:w="342" w:type="pct"/>
            <w:tcBorders>
              <w:top w:val="single" w:color="auto" w:sz="4" w:space="0"/>
              <w:left w:val="single" w:color="auto" w:sz="4" w:space="0"/>
            </w:tcBorders>
            <w:vAlign w:val="center"/>
          </w:tcPr>
          <w:p w14:paraId="14D088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要素</w:t>
            </w:r>
          </w:p>
        </w:tc>
        <w:tc>
          <w:tcPr>
            <w:tcW w:w="766" w:type="pct"/>
            <w:tcBorders>
              <w:top w:val="single" w:color="auto" w:sz="4" w:space="0"/>
            </w:tcBorders>
            <w:vAlign w:val="center"/>
          </w:tcPr>
          <w:p w14:paraId="209F6B8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监测指标</w:t>
            </w:r>
          </w:p>
        </w:tc>
        <w:tc>
          <w:tcPr>
            <w:tcW w:w="342" w:type="pct"/>
            <w:tcBorders>
              <w:top w:val="single" w:color="auto" w:sz="4" w:space="0"/>
            </w:tcBorders>
            <w:vAlign w:val="center"/>
          </w:tcPr>
          <w:p w14:paraId="297A29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排放口</w:t>
            </w:r>
          </w:p>
        </w:tc>
        <w:tc>
          <w:tcPr>
            <w:tcW w:w="370" w:type="pct"/>
            <w:tcBorders>
              <w:top w:val="single" w:color="auto" w:sz="4" w:space="0"/>
            </w:tcBorders>
            <w:vAlign w:val="center"/>
          </w:tcPr>
          <w:p w14:paraId="190B21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监测点位</w:t>
            </w:r>
          </w:p>
        </w:tc>
        <w:tc>
          <w:tcPr>
            <w:tcW w:w="372" w:type="pct"/>
            <w:tcBorders>
              <w:top w:val="single" w:color="auto" w:sz="4" w:space="0"/>
            </w:tcBorders>
            <w:vAlign w:val="center"/>
          </w:tcPr>
          <w:p w14:paraId="687D32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监测频率</w:t>
            </w:r>
          </w:p>
        </w:tc>
        <w:tc>
          <w:tcPr>
            <w:tcW w:w="900" w:type="pct"/>
            <w:tcBorders>
              <w:top w:val="single" w:color="auto" w:sz="4" w:space="0"/>
            </w:tcBorders>
            <w:vAlign w:val="center"/>
          </w:tcPr>
          <w:p w14:paraId="202B22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排放浓度</w:t>
            </w:r>
          </w:p>
        </w:tc>
        <w:tc>
          <w:tcPr>
            <w:tcW w:w="1903" w:type="pct"/>
            <w:tcBorders>
              <w:top w:val="single" w:color="auto" w:sz="4" w:space="0"/>
              <w:right w:val="single" w:color="auto" w:sz="4" w:space="0"/>
            </w:tcBorders>
            <w:vAlign w:val="center"/>
          </w:tcPr>
          <w:p w14:paraId="752068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执行排放标准</w:t>
            </w:r>
          </w:p>
        </w:tc>
      </w:tr>
      <w:tr w14:paraId="631911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342" w:type="pct"/>
            <w:vMerge w:val="restart"/>
            <w:tcBorders>
              <w:left w:val="single" w:color="auto" w:sz="4" w:space="0"/>
            </w:tcBorders>
            <w:vAlign w:val="center"/>
          </w:tcPr>
          <w:p w14:paraId="2E11BC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有组织废气</w:t>
            </w:r>
            <w:r>
              <w:rPr>
                <w:rFonts w:hint="eastAsia" w:ascii="Times New Roman" w:hAnsi="Times New Roman" w:cs="Times New Roman"/>
                <w:color w:val="auto"/>
                <w:sz w:val="21"/>
                <w:szCs w:val="21"/>
                <w:highlight w:val="none"/>
              </w:rPr>
              <w:t>（锅炉烟气）</w:t>
            </w:r>
          </w:p>
        </w:tc>
        <w:tc>
          <w:tcPr>
            <w:tcW w:w="766" w:type="pct"/>
            <w:vAlign w:val="center"/>
          </w:tcPr>
          <w:p w14:paraId="7696C00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颗粒物、二氧化硫、氮氧化物</w:t>
            </w:r>
          </w:p>
        </w:tc>
        <w:tc>
          <w:tcPr>
            <w:tcW w:w="342" w:type="pct"/>
            <w:vMerge w:val="restart"/>
            <w:vAlign w:val="center"/>
          </w:tcPr>
          <w:p w14:paraId="4B142BA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主要排放口（锅炉烟囱）</w:t>
            </w:r>
          </w:p>
        </w:tc>
        <w:tc>
          <w:tcPr>
            <w:tcW w:w="370" w:type="pct"/>
            <w:vAlign w:val="center"/>
          </w:tcPr>
          <w:p w14:paraId="31C7CD7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烟道</w:t>
            </w:r>
          </w:p>
        </w:tc>
        <w:tc>
          <w:tcPr>
            <w:tcW w:w="372" w:type="pct"/>
            <w:vAlign w:val="center"/>
          </w:tcPr>
          <w:p w14:paraId="4836239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自动在线</w:t>
            </w:r>
          </w:p>
          <w:p w14:paraId="047F7B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连续监测</w:t>
            </w:r>
          </w:p>
        </w:tc>
        <w:tc>
          <w:tcPr>
            <w:tcW w:w="900" w:type="pct"/>
            <w:vAlign w:val="center"/>
          </w:tcPr>
          <w:p w14:paraId="587699A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颗粒物≦</w:t>
            </w:r>
            <w:r>
              <w:rPr>
                <w:rFonts w:hint="eastAsia" w:ascii="Times New Roman" w:hAnsi="Times New Roman" w:cs="Times New Roman"/>
                <w:color w:val="auto"/>
                <w:sz w:val="21"/>
                <w:szCs w:val="21"/>
                <w:highlight w:val="none"/>
                <w:lang w:val="en-US" w:eastAsia="zh-CN"/>
              </w:rPr>
              <w:t>50</w:t>
            </w:r>
            <w:r>
              <w:rPr>
                <w:rFonts w:hint="default" w:ascii="Times New Roman" w:hAnsi="Times New Roman" w:cs="Times New Roman"/>
                <w:color w:val="auto"/>
                <w:sz w:val="21"/>
                <w:szCs w:val="21"/>
                <w:highlight w:val="none"/>
              </w:rPr>
              <w:t>mg/m</w:t>
            </w:r>
            <w:r>
              <w:rPr>
                <w:rFonts w:hint="default" w:ascii="Times New Roman" w:hAnsi="Times New Roman" w:cs="Times New Roman"/>
                <w:color w:val="auto"/>
                <w:sz w:val="21"/>
                <w:szCs w:val="21"/>
                <w:highlight w:val="none"/>
                <w:vertAlign w:val="superscript"/>
              </w:rPr>
              <w:t>3</w:t>
            </w:r>
          </w:p>
          <w:p w14:paraId="173850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de-DE"/>
              </w:rPr>
            </w:pPr>
            <w:r>
              <w:rPr>
                <w:rFonts w:hint="default" w:ascii="Times New Roman" w:hAnsi="Times New Roman" w:cs="Times New Roman"/>
                <w:color w:val="auto"/>
                <w:sz w:val="21"/>
                <w:szCs w:val="21"/>
                <w:highlight w:val="none"/>
                <w:lang w:val="de-DE"/>
              </w:rPr>
              <w:t>SO</w:t>
            </w:r>
            <w:r>
              <w:rPr>
                <w:rFonts w:hint="default" w:ascii="Times New Roman" w:hAnsi="Times New Roman" w:cs="Times New Roman"/>
                <w:color w:val="auto"/>
                <w:sz w:val="21"/>
                <w:szCs w:val="21"/>
                <w:highlight w:val="none"/>
                <w:vertAlign w:val="subscript"/>
                <w:lang w:val="de-DE"/>
              </w:rPr>
              <w:t>2</w:t>
            </w:r>
            <w:r>
              <w:rPr>
                <w:rFonts w:hint="default" w:ascii="Times New Roman" w:hAnsi="Times New Roman" w:cs="Times New Roman"/>
                <w:color w:val="auto"/>
                <w:sz w:val="21"/>
                <w:szCs w:val="21"/>
                <w:highlight w:val="none"/>
                <w:lang w:val="de-DE"/>
              </w:rPr>
              <w:t>≦</w:t>
            </w:r>
            <w:r>
              <w:rPr>
                <w:rFonts w:hint="eastAsia" w:ascii="Times New Roman" w:hAnsi="Times New Roman" w:cs="Times New Roman"/>
                <w:color w:val="auto"/>
                <w:sz w:val="21"/>
                <w:szCs w:val="21"/>
                <w:highlight w:val="none"/>
                <w:lang w:val="en-US" w:eastAsia="zh-CN"/>
              </w:rPr>
              <w:t>300</w:t>
            </w:r>
            <w:r>
              <w:rPr>
                <w:rFonts w:hint="default" w:ascii="Times New Roman" w:hAnsi="Times New Roman" w:cs="Times New Roman"/>
                <w:color w:val="auto"/>
                <w:sz w:val="21"/>
                <w:szCs w:val="21"/>
                <w:highlight w:val="none"/>
                <w:lang w:val="de-DE"/>
              </w:rPr>
              <w:t>mg/m</w:t>
            </w:r>
            <w:r>
              <w:rPr>
                <w:rFonts w:hint="default" w:ascii="Times New Roman" w:hAnsi="Times New Roman" w:cs="Times New Roman"/>
                <w:color w:val="auto"/>
                <w:sz w:val="21"/>
                <w:szCs w:val="21"/>
                <w:highlight w:val="none"/>
                <w:vertAlign w:val="superscript"/>
                <w:lang w:val="de-DE"/>
              </w:rPr>
              <w:t>3</w:t>
            </w:r>
          </w:p>
          <w:p w14:paraId="42314F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de-DE"/>
              </w:rPr>
            </w:pPr>
            <w:r>
              <w:rPr>
                <w:rFonts w:hint="default" w:ascii="Times New Roman" w:hAnsi="Times New Roman" w:cs="Times New Roman"/>
                <w:color w:val="auto"/>
                <w:sz w:val="21"/>
                <w:szCs w:val="21"/>
                <w:highlight w:val="none"/>
                <w:lang w:val="de-DE"/>
              </w:rPr>
              <w:t>NO</w:t>
            </w:r>
            <w:r>
              <w:rPr>
                <w:rFonts w:hint="eastAsia" w:ascii="Times New Roman" w:hAnsi="Times New Roman" w:cs="Times New Roman"/>
                <w:color w:val="auto"/>
                <w:sz w:val="21"/>
                <w:szCs w:val="21"/>
                <w:highlight w:val="none"/>
                <w:vertAlign w:val="subscript"/>
                <w:lang w:val="en-US" w:eastAsia="zh-CN"/>
              </w:rPr>
              <w:t>x</w:t>
            </w:r>
            <w:r>
              <w:rPr>
                <w:rFonts w:hint="default" w:ascii="Times New Roman" w:hAnsi="Times New Roman" w:cs="Times New Roman"/>
                <w:color w:val="auto"/>
                <w:sz w:val="21"/>
                <w:szCs w:val="21"/>
                <w:highlight w:val="none"/>
                <w:lang w:val="de-DE"/>
              </w:rPr>
              <w:t>≦</w:t>
            </w:r>
            <w:r>
              <w:rPr>
                <w:rFonts w:hint="eastAsia" w:ascii="Times New Roman" w:hAnsi="Times New Roman" w:cs="Times New Roman"/>
                <w:color w:val="auto"/>
                <w:sz w:val="21"/>
                <w:szCs w:val="21"/>
                <w:highlight w:val="none"/>
                <w:lang w:val="en-US" w:eastAsia="zh-CN"/>
              </w:rPr>
              <w:t>300</w:t>
            </w:r>
            <w:r>
              <w:rPr>
                <w:rFonts w:hint="default" w:ascii="Times New Roman" w:hAnsi="Times New Roman" w:cs="Times New Roman"/>
                <w:color w:val="auto"/>
                <w:sz w:val="21"/>
                <w:szCs w:val="21"/>
                <w:highlight w:val="none"/>
                <w:lang w:val="de-DE"/>
              </w:rPr>
              <w:t>mg/m</w:t>
            </w:r>
            <w:r>
              <w:rPr>
                <w:rFonts w:hint="default" w:ascii="Times New Roman" w:hAnsi="Times New Roman" w:cs="Times New Roman"/>
                <w:color w:val="auto"/>
                <w:sz w:val="21"/>
                <w:szCs w:val="21"/>
                <w:highlight w:val="none"/>
                <w:vertAlign w:val="superscript"/>
                <w:lang w:val="de-DE"/>
              </w:rPr>
              <w:t>3</w:t>
            </w:r>
          </w:p>
        </w:tc>
        <w:tc>
          <w:tcPr>
            <w:tcW w:w="1903" w:type="pct"/>
            <w:vMerge w:val="restart"/>
            <w:tcBorders>
              <w:right w:val="single" w:color="auto" w:sz="4" w:space="0"/>
            </w:tcBorders>
            <w:vAlign w:val="center"/>
          </w:tcPr>
          <w:p w14:paraId="4F51DC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《锅炉大气污染物排放标准》（GB13271-2014）</w:t>
            </w:r>
            <w:r>
              <w:rPr>
                <w:rFonts w:hint="eastAsia" w:ascii="Times New Roman" w:hAnsi="Times New Roman" w:cs="Times New Roman"/>
                <w:color w:val="auto"/>
                <w:sz w:val="21"/>
                <w:szCs w:val="21"/>
                <w:highlight w:val="none"/>
              </w:rPr>
              <w:t>表2新建锅炉大气污染物排放浓度限值</w:t>
            </w:r>
            <w:r>
              <w:rPr>
                <w:rFonts w:hint="default" w:ascii="Times New Roman" w:hAnsi="Times New Roman" w:cs="Times New Roman"/>
                <w:color w:val="auto"/>
                <w:sz w:val="21"/>
                <w:szCs w:val="21"/>
                <w:highlight w:val="none"/>
              </w:rPr>
              <w:t>要求</w:t>
            </w:r>
          </w:p>
        </w:tc>
      </w:tr>
      <w:tr w14:paraId="49C64D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42" w:type="pct"/>
            <w:vMerge w:val="continue"/>
            <w:tcBorders>
              <w:left w:val="single" w:color="auto" w:sz="4" w:space="0"/>
            </w:tcBorders>
            <w:vAlign w:val="center"/>
          </w:tcPr>
          <w:p w14:paraId="70E1B5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766" w:type="pct"/>
            <w:vAlign w:val="center"/>
          </w:tcPr>
          <w:p w14:paraId="2644FEB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汞及其化合物</w:t>
            </w:r>
          </w:p>
        </w:tc>
        <w:tc>
          <w:tcPr>
            <w:tcW w:w="342" w:type="pct"/>
            <w:vMerge w:val="continue"/>
            <w:vAlign w:val="center"/>
          </w:tcPr>
          <w:p w14:paraId="544A66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370" w:type="pct"/>
            <w:vAlign w:val="center"/>
          </w:tcPr>
          <w:p w14:paraId="148EB8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烟道</w:t>
            </w:r>
          </w:p>
        </w:tc>
        <w:tc>
          <w:tcPr>
            <w:tcW w:w="372" w:type="pct"/>
            <w:vAlign w:val="center"/>
          </w:tcPr>
          <w:p w14:paraId="77899E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1次/季度</w:t>
            </w:r>
          </w:p>
        </w:tc>
        <w:tc>
          <w:tcPr>
            <w:tcW w:w="900" w:type="pct"/>
            <w:vAlign w:val="center"/>
          </w:tcPr>
          <w:p w14:paraId="5EC4878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≦0.05mg/m</w:t>
            </w:r>
            <w:r>
              <w:rPr>
                <w:rFonts w:hint="default" w:ascii="Times New Roman" w:hAnsi="Times New Roman" w:cs="Times New Roman"/>
                <w:color w:val="auto"/>
                <w:sz w:val="21"/>
                <w:szCs w:val="21"/>
                <w:highlight w:val="none"/>
                <w:vertAlign w:val="superscript"/>
              </w:rPr>
              <w:t>3</w:t>
            </w:r>
          </w:p>
        </w:tc>
        <w:tc>
          <w:tcPr>
            <w:tcW w:w="1903" w:type="pct"/>
            <w:vMerge w:val="continue"/>
            <w:tcBorders>
              <w:right w:val="single" w:color="auto" w:sz="4" w:space="0"/>
            </w:tcBorders>
            <w:vAlign w:val="center"/>
          </w:tcPr>
          <w:p w14:paraId="315A57A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090629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342" w:type="pct"/>
            <w:vMerge w:val="continue"/>
            <w:tcBorders>
              <w:left w:val="single" w:color="auto" w:sz="4" w:space="0"/>
            </w:tcBorders>
            <w:vAlign w:val="center"/>
          </w:tcPr>
          <w:p w14:paraId="617D26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766" w:type="pct"/>
            <w:vAlign w:val="center"/>
          </w:tcPr>
          <w:p w14:paraId="2EABF1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林格曼黑度</w:t>
            </w:r>
          </w:p>
        </w:tc>
        <w:tc>
          <w:tcPr>
            <w:tcW w:w="342" w:type="pct"/>
            <w:vMerge w:val="continue"/>
            <w:vAlign w:val="center"/>
          </w:tcPr>
          <w:p w14:paraId="0CE206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370" w:type="pct"/>
            <w:vAlign w:val="center"/>
          </w:tcPr>
          <w:p w14:paraId="34A44C8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烟道出口</w:t>
            </w:r>
          </w:p>
        </w:tc>
        <w:tc>
          <w:tcPr>
            <w:tcW w:w="372" w:type="pct"/>
            <w:vAlign w:val="center"/>
          </w:tcPr>
          <w:p w14:paraId="65D2BF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1次/季度</w:t>
            </w:r>
          </w:p>
        </w:tc>
        <w:tc>
          <w:tcPr>
            <w:tcW w:w="900" w:type="pct"/>
            <w:vAlign w:val="center"/>
          </w:tcPr>
          <w:p w14:paraId="443308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1级</w:t>
            </w:r>
          </w:p>
        </w:tc>
        <w:tc>
          <w:tcPr>
            <w:tcW w:w="1903" w:type="pct"/>
            <w:vMerge w:val="continue"/>
            <w:tcBorders>
              <w:right w:val="single" w:color="auto" w:sz="4" w:space="0"/>
            </w:tcBorders>
            <w:vAlign w:val="center"/>
          </w:tcPr>
          <w:p w14:paraId="485656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2EE206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342" w:type="pct"/>
            <w:vMerge w:val="continue"/>
            <w:tcBorders>
              <w:left w:val="single" w:color="auto" w:sz="4" w:space="0"/>
            </w:tcBorders>
            <w:vAlign w:val="center"/>
          </w:tcPr>
          <w:p w14:paraId="2DBEFC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766" w:type="pct"/>
            <w:shd w:val="clear" w:color="auto" w:fill="auto"/>
            <w:vAlign w:val="center"/>
          </w:tcPr>
          <w:p w14:paraId="3FEC13A4">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FF0000"/>
                <w:kern w:val="2"/>
                <w:sz w:val="21"/>
                <w:szCs w:val="21"/>
                <w:highlight w:val="none"/>
                <w:lang w:val="en-US" w:eastAsia="zh-CN" w:bidi="ar-SA"/>
              </w:rPr>
            </w:pPr>
            <w:r>
              <w:rPr>
                <w:rFonts w:hint="default" w:ascii="Times New Roman" w:hAnsi="Times New Roman" w:cs="Times New Roman"/>
                <w:color w:val="FF0000"/>
                <w:sz w:val="21"/>
                <w:szCs w:val="21"/>
                <w:highlight w:val="none"/>
              </w:rPr>
              <w:t>氨</w:t>
            </w:r>
            <w:r>
              <w:rPr>
                <w:rFonts w:hint="eastAsia" w:ascii="Times New Roman" w:hAnsi="Times New Roman" w:cs="Times New Roman"/>
                <w:color w:val="FF0000"/>
                <w:sz w:val="21"/>
                <w:szCs w:val="21"/>
                <w:highlight w:val="none"/>
                <w:lang w:val="en-US" w:eastAsia="zh-CN"/>
              </w:rPr>
              <w:t>气</w:t>
            </w:r>
          </w:p>
        </w:tc>
        <w:tc>
          <w:tcPr>
            <w:tcW w:w="342" w:type="pct"/>
            <w:vMerge w:val="continue"/>
            <w:shd w:val="clear" w:color="auto" w:fill="auto"/>
            <w:vAlign w:val="center"/>
          </w:tcPr>
          <w:p w14:paraId="34E9B018">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FF0000"/>
                <w:kern w:val="2"/>
                <w:sz w:val="21"/>
                <w:szCs w:val="21"/>
                <w:highlight w:val="none"/>
                <w:lang w:val="en-US" w:eastAsia="zh-CN" w:bidi="ar-SA"/>
              </w:rPr>
            </w:pPr>
          </w:p>
        </w:tc>
        <w:tc>
          <w:tcPr>
            <w:tcW w:w="370" w:type="pct"/>
            <w:shd w:val="clear" w:color="auto" w:fill="auto"/>
            <w:vAlign w:val="center"/>
          </w:tcPr>
          <w:p w14:paraId="36DFBF2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FF0000"/>
                <w:kern w:val="2"/>
                <w:sz w:val="21"/>
                <w:szCs w:val="21"/>
                <w:highlight w:val="none"/>
                <w:lang w:val="en-US" w:eastAsia="zh-CN" w:bidi="ar-SA"/>
              </w:rPr>
            </w:pPr>
            <w:r>
              <w:rPr>
                <w:rFonts w:hint="default" w:ascii="Times New Roman" w:hAnsi="Times New Roman" w:cs="Times New Roman"/>
                <w:color w:val="FF0000"/>
                <w:sz w:val="21"/>
                <w:szCs w:val="21"/>
                <w:highlight w:val="none"/>
              </w:rPr>
              <w:t>烟道</w:t>
            </w:r>
          </w:p>
        </w:tc>
        <w:tc>
          <w:tcPr>
            <w:tcW w:w="372" w:type="pct"/>
            <w:shd w:val="clear" w:color="auto" w:fill="auto"/>
            <w:vAlign w:val="center"/>
          </w:tcPr>
          <w:p w14:paraId="60FCD30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FF0000"/>
                <w:kern w:val="2"/>
                <w:sz w:val="21"/>
                <w:szCs w:val="21"/>
                <w:highlight w:val="none"/>
                <w:lang w:val="en-US" w:eastAsia="zh-CN" w:bidi="ar-SA"/>
              </w:rPr>
            </w:pPr>
            <w:r>
              <w:rPr>
                <w:rFonts w:hint="default" w:ascii="Times New Roman" w:hAnsi="Times New Roman" w:cs="Times New Roman"/>
                <w:color w:val="FF0000"/>
                <w:sz w:val="21"/>
                <w:szCs w:val="21"/>
                <w:highlight w:val="none"/>
              </w:rPr>
              <w:t>1次/季度</w:t>
            </w:r>
          </w:p>
        </w:tc>
        <w:tc>
          <w:tcPr>
            <w:tcW w:w="900" w:type="pct"/>
            <w:shd w:val="clear" w:color="auto" w:fill="auto"/>
            <w:vAlign w:val="center"/>
          </w:tcPr>
          <w:p w14:paraId="248BE3E3">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FF0000"/>
                <w:kern w:val="2"/>
                <w:sz w:val="21"/>
                <w:szCs w:val="21"/>
                <w:highlight w:val="none"/>
                <w:lang w:val="en-US" w:eastAsia="zh-CN" w:bidi="ar-SA"/>
              </w:rPr>
            </w:pPr>
            <w:r>
              <w:rPr>
                <w:rFonts w:hint="default" w:ascii="Times New Roman" w:hAnsi="Times New Roman" w:cs="Times New Roman"/>
                <w:color w:val="FF0000"/>
                <w:sz w:val="21"/>
                <w:szCs w:val="21"/>
                <w:highlight w:val="none"/>
              </w:rPr>
              <w:t>≦</w:t>
            </w:r>
            <w:r>
              <w:rPr>
                <w:rFonts w:hint="eastAsia" w:cs="Times New Roman"/>
                <w:color w:val="FF0000"/>
                <w:sz w:val="21"/>
                <w:szCs w:val="21"/>
                <w:highlight w:val="none"/>
                <w:lang w:val="en-US" w:eastAsia="zh-CN"/>
              </w:rPr>
              <w:t>2</w:t>
            </w:r>
            <w:r>
              <w:rPr>
                <w:rFonts w:hint="default" w:ascii="Times New Roman" w:hAnsi="Times New Roman" w:cs="Times New Roman"/>
                <w:color w:val="FF0000"/>
                <w:sz w:val="21"/>
                <w:szCs w:val="21"/>
                <w:highlight w:val="none"/>
              </w:rPr>
              <w:t>.5mg/m</w:t>
            </w:r>
            <w:r>
              <w:rPr>
                <w:rFonts w:hint="default" w:ascii="Times New Roman" w:hAnsi="Times New Roman" w:cs="Times New Roman"/>
                <w:color w:val="FF0000"/>
                <w:sz w:val="21"/>
                <w:szCs w:val="21"/>
                <w:highlight w:val="none"/>
                <w:vertAlign w:val="superscript"/>
              </w:rPr>
              <w:t>3</w:t>
            </w:r>
          </w:p>
        </w:tc>
        <w:tc>
          <w:tcPr>
            <w:tcW w:w="1903" w:type="pct"/>
            <w:tcBorders>
              <w:right w:val="single" w:color="auto" w:sz="4" w:space="0"/>
            </w:tcBorders>
            <w:shd w:val="clear" w:color="auto" w:fill="auto"/>
            <w:vAlign w:val="center"/>
          </w:tcPr>
          <w:p w14:paraId="109DFD71">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FF0000"/>
                <w:kern w:val="2"/>
                <w:sz w:val="21"/>
                <w:szCs w:val="21"/>
                <w:highlight w:val="none"/>
                <w:lang w:val="en-US" w:eastAsia="zh-CN" w:bidi="ar-SA"/>
              </w:rPr>
            </w:pPr>
            <w:r>
              <w:rPr>
                <w:rFonts w:hint="default" w:ascii="Times New Roman" w:hAnsi="Times New Roman" w:cs="Times New Roman"/>
                <w:color w:val="FF0000"/>
                <w:sz w:val="21"/>
                <w:szCs w:val="21"/>
                <w:highlight w:val="none"/>
              </w:rPr>
              <w:t>《恶臭污染物排放标准》（GB14554-93）表</w:t>
            </w:r>
            <w:r>
              <w:rPr>
                <w:rFonts w:hint="eastAsia" w:cs="Times New Roman"/>
                <w:color w:val="FF0000"/>
                <w:sz w:val="21"/>
                <w:szCs w:val="21"/>
                <w:highlight w:val="none"/>
                <w:lang w:val="en-US" w:eastAsia="zh-CN"/>
              </w:rPr>
              <w:t>2</w:t>
            </w:r>
            <w:r>
              <w:rPr>
                <w:rFonts w:hint="default" w:ascii="Times New Roman" w:hAnsi="Times New Roman" w:cs="Times New Roman"/>
                <w:color w:val="FF0000"/>
                <w:sz w:val="21"/>
                <w:szCs w:val="21"/>
                <w:highlight w:val="none"/>
              </w:rPr>
              <w:t>恶臭污染物标准值</w:t>
            </w:r>
          </w:p>
        </w:tc>
      </w:tr>
      <w:tr w14:paraId="2FA48A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42" w:type="pct"/>
            <w:tcBorders>
              <w:left w:val="single" w:color="auto" w:sz="4" w:space="0"/>
            </w:tcBorders>
            <w:vAlign w:val="center"/>
          </w:tcPr>
          <w:p w14:paraId="3F9669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无组织废气</w:t>
            </w:r>
          </w:p>
        </w:tc>
        <w:tc>
          <w:tcPr>
            <w:tcW w:w="766" w:type="pct"/>
            <w:vAlign w:val="center"/>
          </w:tcPr>
          <w:p w14:paraId="00243ED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颗粒物</w:t>
            </w:r>
          </w:p>
        </w:tc>
        <w:tc>
          <w:tcPr>
            <w:tcW w:w="342" w:type="pct"/>
            <w:vAlign w:val="center"/>
          </w:tcPr>
          <w:p w14:paraId="69D95B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370" w:type="pct"/>
            <w:vAlign w:val="center"/>
          </w:tcPr>
          <w:p w14:paraId="016798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厂界</w:t>
            </w:r>
          </w:p>
        </w:tc>
        <w:tc>
          <w:tcPr>
            <w:tcW w:w="372" w:type="pct"/>
            <w:vAlign w:val="center"/>
          </w:tcPr>
          <w:p w14:paraId="7981240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1次/季度</w:t>
            </w:r>
          </w:p>
        </w:tc>
        <w:tc>
          <w:tcPr>
            <w:tcW w:w="900" w:type="pct"/>
            <w:vAlign w:val="center"/>
          </w:tcPr>
          <w:p w14:paraId="15E5A0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≦1.0mg/m</w:t>
            </w:r>
            <w:r>
              <w:rPr>
                <w:rFonts w:hint="default" w:ascii="Times New Roman" w:hAnsi="Times New Roman" w:cs="Times New Roman"/>
                <w:color w:val="auto"/>
                <w:sz w:val="21"/>
                <w:szCs w:val="21"/>
                <w:highlight w:val="none"/>
                <w:vertAlign w:val="superscript"/>
              </w:rPr>
              <w:t>3</w:t>
            </w:r>
          </w:p>
        </w:tc>
        <w:tc>
          <w:tcPr>
            <w:tcW w:w="1903" w:type="pct"/>
            <w:tcBorders>
              <w:right w:val="single" w:color="auto" w:sz="4" w:space="0"/>
            </w:tcBorders>
            <w:vAlign w:val="center"/>
          </w:tcPr>
          <w:p w14:paraId="48FE47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《大气污染物综合排放标准》（GB16297-1996）表2新污染源大气污染物排放限值无组织排放监控浓度限值</w:t>
            </w:r>
          </w:p>
        </w:tc>
      </w:tr>
      <w:tr w14:paraId="68179C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42" w:type="pct"/>
            <w:tcBorders>
              <w:left w:val="single" w:color="auto" w:sz="4" w:space="0"/>
            </w:tcBorders>
            <w:vAlign w:val="center"/>
          </w:tcPr>
          <w:p w14:paraId="650F78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废水</w:t>
            </w:r>
          </w:p>
        </w:tc>
        <w:tc>
          <w:tcPr>
            <w:tcW w:w="766" w:type="pct"/>
            <w:shd w:val="clear" w:color="auto" w:fill="auto"/>
            <w:vAlign w:val="center"/>
          </w:tcPr>
          <w:p w14:paraId="06E3228C">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pH值、悬浮物、化学需氧量、氟化物、硫化物、总砷、总铅、总汞、总镉</w:t>
            </w:r>
          </w:p>
        </w:tc>
        <w:tc>
          <w:tcPr>
            <w:tcW w:w="342" w:type="pct"/>
            <w:shd w:val="clear" w:color="auto" w:fill="auto"/>
            <w:vAlign w:val="center"/>
          </w:tcPr>
          <w:p w14:paraId="3731C8C0">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370" w:type="pct"/>
            <w:shd w:val="clear" w:color="auto" w:fill="auto"/>
            <w:vAlign w:val="center"/>
          </w:tcPr>
          <w:p w14:paraId="7397B7A7">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脱硫废水</w:t>
            </w:r>
          </w:p>
        </w:tc>
        <w:tc>
          <w:tcPr>
            <w:tcW w:w="372" w:type="pct"/>
            <w:shd w:val="clear" w:color="auto" w:fill="auto"/>
            <w:vAlign w:val="center"/>
          </w:tcPr>
          <w:p w14:paraId="2CBD5F3D">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1次/</w:t>
            </w:r>
            <w:r>
              <w:rPr>
                <w:rFonts w:hint="eastAsia" w:cs="Times New Roman"/>
                <w:color w:val="auto"/>
                <w:sz w:val="21"/>
                <w:szCs w:val="21"/>
                <w:highlight w:val="none"/>
                <w:lang w:val="en-US" w:eastAsia="zh-CN"/>
              </w:rPr>
              <w:t>季度</w:t>
            </w:r>
          </w:p>
        </w:tc>
        <w:tc>
          <w:tcPr>
            <w:tcW w:w="2804" w:type="pct"/>
            <w:gridSpan w:val="2"/>
            <w:tcBorders>
              <w:right w:val="single" w:color="auto" w:sz="4" w:space="0"/>
            </w:tcBorders>
            <w:shd w:val="clear" w:color="auto" w:fill="auto"/>
            <w:vAlign w:val="center"/>
          </w:tcPr>
          <w:p w14:paraId="0D1898BF">
            <w:pPr>
              <w:pStyle w:val="3"/>
              <w:keepNext w:val="0"/>
              <w:keepLines w:val="0"/>
              <w:pageBreakBefore w:val="0"/>
              <w:widowControl w:val="0"/>
              <w:kinsoku/>
              <w:wordWrap/>
              <w:overflowPunct/>
              <w:topLinePunct w:val="0"/>
              <w:autoSpaceDE/>
              <w:autoSpaceDN/>
              <w:bidi w:val="0"/>
              <w:adjustRightInd/>
              <w:snapToGrid/>
              <w:spacing w:after="0" w:line="320" w:lineRule="exact"/>
              <w:ind w:left="0" w:leftChars="0" w:firstLine="0" w:firstLineChars="0"/>
              <w:jc w:val="center"/>
              <w:textAlignment w:val="auto"/>
              <w:rPr>
                <w:rFonts w:hint="default" w:ascii="Times New Roman" w:hAnsi="Times New Roman" w:cs="Times New Roman" w:eastAsiaTheme="minorEastAsia"/>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脱硫废水经过絮凝—沉淀—中和进行处理，处理后的废水</w:t>
            </w:r>
            <w:r>
              <w:rPr>
                <w:rFonts w:hint="eastAsia" w:ascii="Times New Roman" w:hAnsi="Times New Roman" w:cs="Times New Roman"/>
                <w:color w:val="auto"/>
                <w:sz w:val="21"/>
                <w:szCs w:val="21"/>
                <w:highlight w:val="none"/>
                <w:lang w:val="en-US" w:eastAsia="zh-CN"/>
              </w:rPr>
              <w:t>回用于脱硫系统及冲渣和厂内降尘</w:t>
            </w:r>
            <w:r>
              <w:rPr>
                <w:rFonts w:hint="default" w:ascii="Times New Roman" w:hAnsi="Times New Roman" w:cs="Times New Roman"/>
                <w:color w:val="auto"/>
                <w:sz w:val="21"/>
                <w:szCs w:val="21"/>
                <w:highlight w:val="none"/>
              </w:rPr>
              <w:t>，不外排。</w:t>
            </w:r>
            <w:r>
              <w:rPr>
                <w:rFonts w:hint="default" w:ascii="Times New Roman" w:hAnsi="Times New Roman" w:cs="Times New Roman"/>
                <w:color w:val="FF0000"/>
                <w:sz w:val="21"/>
                <w:szCs w:val="21"/>
                <w:highlight w:val="none"/>
              </w:rPr>
              <w:t>处理设施出口执行《污水综合排放标准》(GB8978-1996)表1重金属管控要求</w:t>
            </w:r>
          </w:p>
        </w:tc>
      </w:tr>
      <w:tr w14:paraId="4B2E91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0" w:hRule="atLeast"/>
        </w:trPr>
        <w:tc>
          <w:tcPr>
            <w:tcW w:w="342" w:type="pct"/>
            <w:tcBorders>
              <w:left w:val="single" w:color="auto" w:sz="4" w:space="0"/>
            </w:tcBorders>
            <w:vAlign w:val="center"/>
          </w:tcPr>
          <w:p w14:paraId="2317133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雨水</w:t>
            </w:r>
          </w:p>
        </w:tc>
        <w:tc>
          <w:tcPr>
            <w:tcW w:w="766" w:type="pct"/>
            <w:vAlign w:val="center"/>
          </w:tcPr>
          <w:p w14:paraId="12E6BF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化学需氧量</w:t>
            </w:r>
          </w:p>
        </w:tc>
        <w:tc>
          <w:tcPr>
            <w:tcW w:w="342" w:type="pct"/>
            <w:vAlign w:val="center"/>
          </w:tcPr>
          <w:p w14:paraId="5F529A3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370" w:type="pct"/>
            <w:vAlign w:val="center"/>
          </w:tcPr>
          <w:p w14:paraId="697631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雨水排放口</w:t>
            </w:r>
          </w:p>
        </w:tc>
        <w:tc>
          <w:tcPr>
            <w:tcW w:w="372" w:type="pct"/>
            <w:vAlign w:val="center"/>
          </w:tcPr>
          <w:p w14:paraId="21BD47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日</w:t>
            </w:r>
          </w:p>
        </w:tc>
        <w:tc>
          <w:tcPr>
            <w:tcW w:w="2804" w:type="pct"/>
            <w:gridSpan w:val="2"/>
            <w:tcBorders>
              <w:right w:val="single" w:color="auto" w:sz="4" w:space="0"/>
            </w:tcBorders>
            <w:vAlign w:val="center"/>
          </w:tcPr>
          <w:p w14:paraId="14F603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排放口有流动水排放时开展监测，排放期间按日监测</w:t>
            </w:r>
          </w:p>
        </w:tc>
      </w:tr>
      <w:tr w14:paraId="583BAD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342" w:type="pct"/>
            <w:tcBorders>
              <w:left w:val="single" w:color="auto" w:sz="4" w:space="0"/>
              <w:bottom w:val="single" w:color="auto" w:sz="4" w:space="0"/>
            </w:tcBorders>
            <w:vAlign w:val="center"/>
          </w:tcPr>
          <w:p w14:paraId="32D52C3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噪声</w:t>
            </w:r>
          </w:p>
        </w:tc>
        <w:tc>
          <w:tcPr>
            <w:tcW w:w="766" w:type="pct"/>
            <w:tcBorders>
              <w:bottom w:val="single" w:color="auto" w:sz="4" w:space="0"/>
            </w:tcBorders>
            <w:vAlign w:val="center"/>
          </w:tcPr>
          <w:p w14:paraId="6494FF6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厂界噪声等效A声级</w:t>
            </w:r>
          </w:p>
        </w:tc>
        <w:tc>
          <w:tcPr>
            <w:tcW w:w="342" w:type="pct"/>
            <w:tcBorders>
              <w:bottom w:val="single" w:color="auto" w:sz="4" w:space="0"/>
            </w:tcBorders>
            <w:vAlign w:val="center"/>
          </w:tcPr>
          <w:p w14:paraId="43634BC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370" w:type="pct"/>
            <w:tcBorders>
              <w:bottom w:val="single" w:color="auto" w:sz="4" w:space="0"/>
            </w:tcBorders>
            <w:vAlign w:val="center"/>
          </w:tcPr>
          <w:p w14:paraId="2B5D1E6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声源处厂界外</w:t>
            </w:r>
          </w:p>
          <w:p w14:paraId="63D5CC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1m处</w:t>
            </w:r>
          </w:p>
        </w:tc>
        <w:tc>
          <w:tcPr>
            <w:tcW w:w="372" w:type="pct"/>
            <w:tcBorders>
              <w:bottom w:val="single" w:color="auto" w:sz="4" w:space="0"/>
            </w:tcBorders>
            <w:vAlign w:val="center"/>
          </w:tcPr>
          <w:p w14:paraId="4FAE68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1次/</w:t>
            </w:r>
            <w:r>
              <w:rPr>
                <w:rFonts w:hint="eastAsia" w:ascii="Times New Roman" w:hAnsi="Times New Roman" w:cs="Times New Roman"/>
                <w:color w:val="auto"/>
                <w:sz w:val="21"/>
                <w:szCs w:val="21"/>
                <w:highlight w:val="none"/>
              </w:rPr>
              <w:t>月</w:t>
            </w:r>
          </w:p>
        </w:tc>
        <w:tc>
          <w:tcPr>
            <w:tcW w:w="900" w:type="pct"/>
            <w:tcBorders>
              <w:bottom w:val="single" w:color="auto" w:sz="4" w:space="0"/>
            </w:tcBorders>
            <w:vAlign w:val="center"/>
          </w:tcPr>
          <w:p w14:paraId="57CCBA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昼间</w:t>
            </w:r>
            <w:r>
              <w:rPr>
                <w:rFonts w:hint="eastAsia" w:ascii="Times New Roman" w:hAnsi="Times New Roman" w:cs="Times New Roman"/>
                <w:color w:val="auto"/>
                <w:sz w:val="21"/>
                <w:szCs w:val="21"/>
                <w:highlight w:val="none"/>
                <w:lang w:val="en-US" w:eastAsia="zh-CN"/>
              </w:rPr>
              <w:t>60</w:t>
            </w:r>
            <w:r>
              <w:rPr>
                <w:rFonts w:hint="default" w:ascii="Times New Roman" w:hAnsi="Times New Roman" w:cs="Times New Roman"/>
                <w:color w:val="auto"/>
                <w:sz w:val="21"/>
                <w:szCs w:val="21"/>
                <w:highlight w:val="none"/>
              </w:rPr>
              <w:t>dB（A）</w:t>
            </w:r>
          </w:p>
          <w:p w14:paraId="1526AA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夜间</w:t>
            </w:r>
            <w:r>
              <w:rPr>
                <w:rFonts w:hint="eastAsia" w:ascii="Times New Roman" w:hAnsi="Times New Roman" w:cs="Times New Roman"/>
                <w:color w:val="auto"/>
                <w:sz w:val="21"/>
                <w:szCs w:val="21"/>
                <w:highlight w:val="none"/>
                <w:lang w:val="en-US" w:eastAsia="zh-CN"/>
              </w:rPr>
              <w:t>50</w:t>
            </w:r>
            <w:r>
              <w:rPr>
                <w:rFonts w:hint="default" w:ascii="Times New Roman" w:hAnsi="Times New Roman" w:cs="Times New Roman"/>
                <w:color w:val="auto"/>
                <w:sz w:val="21"/>
                <w:szCs w:val="21"/>
                <w:highlight w:val="none"/>
              </w:rPr>
              <w:t>dB（A）</w:t>
            </w:r>
          </w:p>
        </w:tc>
        <w:tc>
          <w:tcPr>
            <w:tcW w:w="1903" w:type="pct"/>
            <w:tcBorders>
              <w:bottom w:val="single" w:color="auto" w:sz="4" w:space="0"/>
              <w:right w:val="single" w:color="auto" w:sz="4" w:space="0"/>
            </w:tcBorders>
            <w:vAlign w:val="center"/>
          </w:tcPr>
          <w:p w14:paraId="43D9BFD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《工业企业厂界环境噪声排放标准》(GB12348-2008)</w:t>
            </w: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rPr>
              <w:t>类</w:t>
            </w:r>
            <w:r>
              <w:rPr>
                <w:rFonts w:hint="eastAsia" w:ascii="Times New Roman" w:hAnsi="Times New Roman" w:cs="Times New Roman"/>
                <w:color w:val="auto"/>
                <w:sz w:val="21"/>
                <w:szCs w:val="21"/>
                <w:highlight w:val="none"/>
              </w:rPr>
              <w:t>标准</w:t>
            </w:r>
          </w:p>
        </w:tc>
      </w:tr>
    </w:tbl>
    <w:p w14:paraId="20C68DE5">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46" w:name="_Toc12158"/>
      <w:bookmarkStart w:id="547" w:name="_Toc23965"/>
      <w:bookmarkStart w:id="548" w:name="_Toc10332"/>
      <w:r>
        <w:rPr>
          <w:rFonts w:hint="eastAsia" w:ascii="Times New Roman" w:hAnsi="Times New Roman" w:eastAsia="宋体" w:cs="Times New Roman"/>
          <w:b/>
          <w:bCs/>
          <w:color w:val="auto"/>
          <w:sz w:val="28"/>
          <w:szCs w:val="28"/>
          <w:lang w:val="en-US" w:eastAsia="zh-CN"/>
        </w:rPr>
        <w:t>9.2.3 环境监测分析方法</w:t>
      </w:r>
      <w:bookmarkEnd w:id="546"/>
      <w:bookmarkEnd w:id="547"/>
      <w:bookmarkEnd w:id="548"/>
    </w:p>
    <w:p w14:paraId="72BC971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优先选用所执行的标准中规定的方法。</w:t>
      </w:r>
    </w:p>
    <w:p w14:paraId="2186780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49" w:name="_Toc17531"/>
      <w:bookmarkStart w:id="550" w:name="_Toc1074"/>
      <w:bookmarkStart w:id="551" w:name="_Toc32737"/>
      <w:r>
        <w:rPr>
          <w:rFonts w:hint="eastAsia" w:ascii="Times New Roman" w:hAnsi="Times New Roman" w:eastAsia="宋体" w:cs="Times New Roman"/>
          <w:b/>
          <w:bCs/>
          <w:color w:val="auto"/>
          <w:sz w:val="28"/>
          <w:szCs w:val="28"/>
          <w:lang w:val="en-US" w:eastAsia="zh-CN"/>
        </w:rPr>
        <w:t>9.2.4 污染物排放清单</w:t>
      </w:r>
      <w:bookmarkEnd w:id="549"/>
      <w:bookmarkEnd w:id="550"/>
      <w:bookmarkEnd w:id="551"/>
    </w:p>
    <w:p w14:paraId="63F2849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本项目污染物排放清单见表9.2-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w:t>
      </w:r>
    </w:p>
    <w:p w14:paraId="3EC62D08">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2B0FD010">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35747FDE">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674C36A4">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p>
    <w:p w14:paraId="213D855B">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表9.2-</w:t>
      </w:r>
      <w:r>
        <w:rPr>
          <w:rFonts w:hint="eastAsia" w:ascii="Times New Roman" w:hAnsi="Times New Roman" w:eastAsia="宋体" w:cs="Times New Roman"/>
          <w:b/>
          <w:bCs/>
          <w:color w:val="auto"/>
          <w:sz w:val="24"/>
          <w:szCs w:val="24"/>
          <w:lang w:eastAsia="zh-CN"/>
        </w:rPr>
        <w:t>4</w:t>
      </w:r>
      <w:r>
        <w:rPr>
          <w:rFonts w:hint="default" w:ascii="Times New Roman" w:hAnsi="Times New Roman" w:eastAsia="宋体" w:cs="Times New Roman"/>
          <w:b/>
          <w:bCs/>
          <w:color w:val="auto"/>
          <w:sz w:val="24"/>
          <w:szCs w:val="24"/>
          <w:lang w:eastAsia="zh-CN"/>
        </w:rPr>
        <w:t xml:space="preserve">  本项目污染物排放清单一览表</w:t>
      </w:r>
    </w:p>
    <w:tbl>
      <w:tblPr>
        <w:tblStyle w:val="4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1"/>
        <w:gridCol w:w="870"/>
        <w:gridCol w:w="2286"/>
        <w:gridCol w:w="794"/>
        <w:gridCol w:w="1320"/>
        <w:gridCol w:w="2774"/>
      </w:tblGrid>
      <w:tr w14:paraId="0E5C5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29" w:type="pct"/>
            <w:tcBorders>
              <w:tl2br w:val="nil"/>
              <w:tr2bl w:val="nil"/>
            </w:tcBorders>
            <w:vAlign w:val="center"/>
          </w:tcPr>
          <w:p w14:paraId="07AE89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种</w:t>
            </w:r>
          </w:p>
          <w:p w14:paraId="25C212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类</w:t>
            </w:r>
          </w:p>
        </w:tc>
        <w:tc>
          <w:tcPr>
            <w:tcW w:w="436" w:type="pct"/>
            <w:tcBorders>
              <w:tl2br w:val="nil"/>
              <w:tr2bl w:val="nil"/>
            </w:tcBorders>
            <w:vAlign w:val="center"/>
          </w:tcPr>
          <w:p w14:paraId="120DC3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污染源</w:t>
            </w:r>
          </w:p>
        </w:tc>
        <w:tc>
          <w:tcPr>
            <w:tcW w:w="468" w:type="pct"/>
            <w:tcBorders>
              <w:tl2br w:val="nil"/>
              <w:tr2bl w:val="nil"/>
            </w:tcBorders>
            <w:vAlign w:val="center"/>
          </w:tcPr>
          <w:p w14:paraId="5D96A0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污染物</w:t>
            </w:r>
          </w:p>
        </w:tc>
        <w:tc>
          <w:tcPr>
            <w:tcW w:w="1232" w:type="pct"/>
            <w:tcBorders>
              <w:tl2br w:val="nil"/>
              <w:tr2bl w:val="nil"/>
            </w:tcBorders>
            <w:vAlign w:val="center"/>
          </w:tcPr>
          <w:p w14:paraId="62083C6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环境保护措施</w:t>
            </w:r>
          </w:p>
        </w:tc>
        <w:tc>
          <w:tcPr>
            <w:tcW w:w="427" w:type="pct"/>
            <w:tcBorders>
              <w:tl2br w:val="nil"/>
              <w:tr2bl w:val="nil"/>
            </w:tcBorders>
            <w:vAlign w:val="center"/>
          </w:tcPr>
          <w:p w14:paraId="42D844E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排放浓度mg/m</w:t>
            </w:r>
            <w:r>
              <w:rPr>
                <w:rFonts w:hint="default" w:ascii="Times New Roman" w:hAnsi="Times New Roman" w:cs="Times New Roman"/>
                <w:color w:val="auto"/>
                <w:sz w:val="21"/>
                <w:szCs w:val="21"/>
                <w:highlight w:val="none"/>
                <w:vertAlign w:val="superscript"/>
              </w:rPr>
              <w:t>3</w:t>
            </w:r>
          </w:p>
        </w:tc>
        <w:tc>
          <w:tcPr>
            <w:tcW w:w="710" w:type="pct"/>
            <w:tcBorders>
              <w:tl2br w:val="nil"/>
              <w:tr2bl w:val="nil"/>
            </w:tcBorders>
            <w:vAlign w:val="center"/>
          </w:tcPr>
          <w:p w14:paraId="4312BD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排放量</w:t>
            </w:r>
          </w:p>
          <w:p w14:paraId="6350D6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t/a</w:t>
            </w:r>
          </w:p>
        </w:tc>
        <w:tc>
          <w:tcPr>
            <w:tcW w:w="1494" w:type="pct"/>
            <w:tcBorders>
              <w:tl2br w:val="nil"/>
              <w:tr2bl w:val="nil"/>
            </w:tcBorders>
            <w:vAlign w:val="center"/>
          </w:tcPr>
          <w:p w14:paraId="42BB788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执行的环境标准</w:t>
            </w:r>
          </w:p>
        </w:tc>
      </w:tr>
      <w:tr w14:paraId="18852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229" w:type="pct"/>
            <w:vMerge w:val="restart"/>
            <w:tcBorders>
              <w:tl2br w:val="nil"/>
              <w:tr2bl w:val="nil"/>
            </w:tcBorders>
            <w:vAlign w:val="center"/>
          </w:tcPr>
          <w:p w14:paraId="4D70CD8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废</w:t>
            </w:r>
          </w:p>
          <w:p w14:paraId="6CE20F1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气</w:t>
            </w:r>
          </w:p>
        </w:tc>
        <w:tc>
          <w:tcPr>
            <w:tcW w:w="436" w:type="pct"/>
            <w:vMerge w:val="restart"/>
            <w:tcBorders>
              <w:tl2br w:val="nil"/>
              <w:tr2bl w:val="nil"/>
            </w:tcBorders>
            <w:vAlign w:val="center"/>
          </w:tcPr>
          <w:p w14:paraId="2C2CA1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rPr>
              <w:t>台</w:t>
            </w:r>
            <w:r>
              <w:rPr>
                <w:rFonts w:hint="eastAsia" w:ascii="Times New Roman" w:hAnsi="Times New Roman" w:cs="Times New Roman"/>
                <w:color w:val="auto"/>
                <w:sz w:val="21"/>
                <w:szCs w:val="21"/>
                <w:highlight w:val="none"/>
                <w:lang w:val="en-US" w:eastAsia="zh-CN"/>
              </w:rPr>
              <w:t>42</w:t>
            </w:r>
            <w:r>
              <w:rPr>
                <w:rFonts w:hint="eastAsia" w:ascii="Times New Roman" w:hAnsi="Times New Roman" w:cs="Times New Roman"/>
                <w:color w:val="auto"/>
                <w:sz w:val="21"/>
                <w:szCs w:val="21"/>
                <w:highlight w:val="none"/>
              </w:rPr>
              <w:t>MW热水锅炉</w:t>
            </w:r>
          </w:p>
        </w:tc>
        <w:tc>
          <w:tcPr>
            <w:tcW w:w="468" w:type="pct"/>
            <w:tcBorders>
              <w:tl2br w:val="nil"/>
              <w:tr2bl w:val="nil"/>
            </w:tcBorders>
            <w:vAlign w:val="center"/>
          </w:tcPr>
          <w:p w14:paraId="5184FD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颗粒物</w:t>
            </w:r>
          </w:p>
        </w:tc>
        <w:tc>
          <w:tcPr>
            <w:tcW w:w="1232" w:type="pct"/>
            <w:tcBorders>
              <w:tl2br w:val="nil"/>
              <w:tr2bl w:val="nil"/>
            </w:tcBorders>
            <w:vAlign w:val="center"/>
          </w:tcPr>
          <w:p w14:paraId="6B0BDA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布袋除尘器，除尘效率99.</w:t>
            </w:r>
            <w:r>
              <w:rPr>
                <w:rFonts w:hint="eastAsia" w:ascii="Times New Roman" w:hAnsi="Times New Roman" w:cs="Times New Roman"/>
                <w:color w:val="auto"/>
                <w:sz w:val="21"/>
                <w:szCs w:val="21"/>
                <w:highlight w:val="none"/>
              </w:rPr>
              <w:t>8</w:t>
            </w:r>
            <w:r>
              <w:rPr>
                <w:rFonts w:hint="default" w:ascii="Times New Roman" w:hAnsi="Times New Roman" w:cs="Times New Roman"/>
                <w:color w:val="auto"/>
                <w:sz w:val="21"/>
                <w:szCs w:val="21"/>
                <w:highlight w:val="none"/>
              </w:rPr>
              <w:t>%。</w:t>
            </w:r>
          </w:p>
        </w:tc>
        <w:tc>
          <w:tcPr>
            <w:tcW w:w="427" w:type="pct"/>
            <w:tcBorders>
              <w:tl2br w:val="nil"/>
              <w:tr2bl w:val="nil"/>
            </w:tcBorders>
            <w:vAlign w:val="center"/>
          </w:tcPr>
          <w:p w14:paraId="4C4B7B2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val="en-US" w:eastAsia="zh-CN"/>
              </w:rPr>
              <w:t>28.183</w:t>
            </w:r>
          </w:p>
        </w:tc>
        <w:tc>
          <w:tcPr>
            <w:tcW w:w="710" w:type="pct"/>
            <w:tcBorders>
              <w:tl2br w:val="nil"/>
              <w:tr2bl w:val="nil"/>
            </w:tcBorders>
            <w:vAlign w:val="center"/>
          </w:tcPr>
          <w:p w14:paraId="025D18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6.990</w:t>
            </w:r>
          </w:p>
        </w:tc>
        <w:tc>
          <w:tcPr>
            <w:tcW w:w="1494" w:type="pct"/>
            <w:vMerge w:val="restart"/>
            <w:tcBorders>
              <w:tl2br w:val="nil"/>
              <w:tr2bl w:val="nil"/>
            </w:tcBorders>
            <w:vAlign w:val="center"/>
          </w:tcPr>
          <w:p w14:paraId="4204D4E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《锅炉大气污染物排放标准》(GB13271-2014)表2的限值要求</w:t>
            </w:r>
          </w:p>
        </w:tc>
      </w:tr>
      <w:tr w14:paraId="083BC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229" w:type="pct"/>
            <w:vMerge w:val="continue"/>
            <w:tcBorders>
              <w:tl2br w:val="nil"/>
              <w:tr2bl w:val="nil"/>
            </w:tcBorders>
            <w:vAlign w:val="center"/>
          </w:tcPr>
          <w:p w14:paraId="16EF79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vMerge w:val="continue"/>
            <w:tcBorders>
              <w:tl2br w:val="nil"/>
              <w:tr2bl w:val="nil"/>
            </w:tcBorders>
            <w:vAlign w:val="center"/>
          </w:tcPr>
          <w:p w14:paraId="6E938C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68" w:type="pct"/>
            <w:tcBorders>
              <w:tl2br w:val="nil"/>
              <w:tr2bl w:val="nil"/>
            </w:tcBorders>
            <w:vAlign w:val="center"/>
          </w:tcPr>
          <w:p w14:paraId="2AD466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SO</w:t>
            </w:r>
            <w:r>
              <w:rPr>
                <w:rFonts w:hint="default" w:ascii="Times New Roman" w:hAnsi="Times New Roman" w:cs="Times New Roman"/>
                <w:color w:val="auto"/>
                <w:sz w:val="21"/>
                <w:szCs w:val="21"/>
                <w:highlight w:val="none"/>
                <w:vertAlign w:val="subscript"/>
              </w:rPr>
              <w:t>2</w:t>
            </w:r>
          </w:p>
        </w:tc>
        <w:tc>
          <w:tcPr>
            <w:tcW w:w="1232" w:type="pct"/>
            <w:tcBorders>
              <w:tl2br w:val="nil"/>
              <w:tr2bl w:val="nil"/>
            </w:tcBorders>
            <w:vAlign w:val="center"/>
          </w:tcPr>
          <w:p w14:paraId="67EC7D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氧化镁</w:t>
            </w:r>
            <w:r>
              <w:rPr>
                <w:rFonts w:hint="eastAsia" w:ascii="Times New Roman" w:hAnsi="Times New Roman" w:cs="Times New Roman"/>
                <w:color w:val="auto"/>
                <w:sz w:val="21"/>
                <w:szCs w:val="21"/>
                <w:highlight w:val="none"/>
              </w:rPr>
              <w:t>法</w:t>
            </w:r>
            <w:r>
              <w:rPr>
                <w:rFonts w:hint="default" w:ascii="Times New Roman" w:hAnsi="Times New Roman" w:cs="Times New Roman"/>
                <w:color w:val="auto"/>
                <w:sz w:val="21"/>
                <w:szCs w:val="21"/>
                <w:highlight w:val="none"/>
              </w:rPr>
              <w:t>脱硫，脱硫效率≥9</w:t>
            </w:r>
            <w:r>
              <w:rPr>
                <w:rFonts w:hint="eastAsia" w:ascii="Times New Roman" w:hAnsi="Times New Roman" w:cs="Times New Roman"/>
                <w:color w:val="auto"/>
                <w:sz w:val="21"/>
                <w:szCs w:val="21"/>
                <w:highlight w:val="none"/>
                <w:lang w:val="en-US" w:eastAsia="zh-CN"/>
              </w:rPr>
              <w:t>0</w:t>
            </w:r>
            <w:r>
              <w:rPr>
                <w:rFonts w:hint="default" w:ascii="Times New Roman" w:hAnsi="Times New Roman" w:cs="Times New Roman"/>
                <w:color w:val="auto"/>
                <w:sz w:val="21"/>
                <w:szCs w:val="21"/>
                <w:highlight w:val="none"/>
              </w:rPr>
              <w:t>%。</w:t>
            </w:r>
          </w:p>
        </w:tc>
        <w:tc>
          <w:tcPr>
            <w:tcW w:w="427" w:type="pct"/>
            <w:tcBorders>
              <w:tl2br w:val="nil"/>
              <w:tr2bl w:val="nil"/>
            </w:tcBorders>
            <w:vAlign w:val="center"/>
          </w:tcPr>
          <w:p w14:paraId="4AC01EE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val="en-US" w:eastAsia="zh-CN"/>
              </w:rPr>
              <w:t>45.916</w:t>
            </w:r>
          </w:p>
        </w:tc>
        <w:tc>
          <w:tcPr>
            <w:tcW w:w="710" w:type="pct"/>
            <w:tcBorders>
              <w:tl2br w:val="nil"/>
              <w:tr2bl w:val="nil"/>
            </w:tcBorders>
            <w:vAlign w:val="center"/>
          </w:tcPr>
          <w:p w14:paraId="5F5740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cs="Times New Roman"/>
                <w:color w:val="auto"/>
                <w:sz w:val="21"/>
                <w:szCs w:val="21"/>
                <w:highlight w:val="none"/>
                <w:lang w:val="en-US" w:eastAsia="zh-CN"/>
              </w:rPr>
              <w:t>11.388</w:t>
            </w:r>
          </w:p>
        </w:tc>
        <w:tc>
          <w:tcPr>
            <w:tcW w:w="1494" w:type="pct"/>
            <w:vMerge w:val="continue"/>
            <w:tcBorders>
              <w:tl2br w:val="nil"/>
              <w:tr2bl w:val="nil"/>
            </w:tcBorders>
            <w:vAlign w:val="center"/>
          </w:tcPr>
          <w:p w14:paraId="7BFFF26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43493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29" w:type="pct"/>
            <w:vMerge w:val="continue"/>
            <w:tcBorders>
              <w:tl2br w:val="nil"/>
              <w:tr2bl w:val="nil"/>
            </w:tcBorders>
            <w:vAlign w:val="center"/>
          </w:tcPr>
          <w:p w14:paraId="0D7CEE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vMerge w:val="continue"/>
            <w:tcBorders>
              <w:tl2br w:val="nil"/>
              <w:tr2bl w:val="nil"/>
            </w:tcBorders>
            <w:vAlign w:val="center"/>
          </w:tcPr>
          <w:p w14:paraId="1469D4E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68" w:type="pct"/>
            <w:tcBorders>
              <w:tl2br w:val="nil"/>
              <w:tr2bl w:val="nil"/>
            </w:tcBorders>
            <w:vAlign w:val="center"/>
          </w:tcPr>
          <w:p w14:paraId="392F6D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NO</w:t>
            </w:r>
            <w:r>
              <w:rPr>
                <w:rFonts w:hint="default" w:ascii="Times New Roman" w:hAnsi="Times New Roman" w:cs="Times New Roman"/>
                <w:color w:val="auto"/>
                <w:sz w:val="21"/>
                <w:szCs w:val="21"/>
                <w:highlight w:val="none"/>
                <w:vertAlign w:val="subscript"/>
              </w:rPr>
              <w:t>x</w:t>
            </w:r>
          </w:p>
        </w:tc>
        <w:tc>
          <w:tcPr>
            <w:tcW w:w="1232" w:type="pct"/>
            <w:tcBorders>
              <w:tl2br w:val="nil"/>
              <w:tr2bl w:val="nil"/>
            </w:tcBorders>
            <w:vAlign w:val="center"/>
          </w:tcPr>
          <w:p w14:paraId="2FB5D88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SNCR-</w:t>
            </w:r>
            <w:r>
              <w:rPr>
                <w:rFonts w:hint="default" w:ascii="Times New Roman" w:hAnsi="Times New Roman" w:cs="Times New Roman"/>
                <w:color w:val="auto"/>
                <w:sz w:val="21"/>
                <w:szCs w:val="21"/>
                <w:highlight w:val="none"/>
              </w:rPr>
              <w:t>SCR脱硝，脱硝效率</w:t>
            </w:r>
            <w:r>
              <w:rPr>
                <w:rFonts w:hint="eastAsia" w:cs="Times New Roman"/>
                <w:color w:val="auto"/>
                <w:sz w:val="21"/>
                <w:szCs w:val="21"/>
                <w:highlight w:val="none"/>
                <w:lang w:val="en-US" w:eastAsia="zh-CN"/>
              </w:rPr>
              <w:t>6</w:t>
            </w:r>
            <w:r>
              <w:rPr>
                <w:rFonts w:hint="eastAsia" w:ascii="Times New Roman" w:hAnsi="Times New Roman" w:cs="Times New Roman"/>
                <w:color w:val="auto"/>
                <w:sz w:val="21"/>
                <w:szCs w:val="21"/>
                <w:highlight w:val="none"/>
                <w:lang w:val="en-US" w:eastAsia="zh-CN"/>
              </w:rPr>
              <w:t>5</w:t>
            </w:r>
            <w:r>
              <w:rPr>
                <w:rFonts w:hint="default" w:ascii="Times New Roman" w:hAnsi="Times New Roman" w:cs="Times New Roman"/>
                <w:color w:val="auto"/>
                <w:sz w:val="21"/>
                <w:szCs w:val="21"/>
                <w:highlight w:val="none"/>
              </w:rPr>
              <w:t>%。</w:t>
            </w:r>
          </w:p>
        </w:tc>
        <w:tc>
          <w:tcPr>
            <w:tcW w:w="427" w:type="pct"/>
            <w:tcBorders>
              <w:tl2br w:val="nil"/>
              <w:tr2bl w:val="nil"/>
            </w:tcBorders>
            <w:vAlign w:val="center"/>
          </w:tcPr>
          <w:p w14:paraId="0C3CFD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val="en-US" w:eastAsia="zh-CN"/>
              </w:rPr>
              <w:t>175</w:t>
            </w:r>
          </w:p>
        </w:tc>
        <w:tc>
          <w:tcPr>
            <w:tcW w:w="710" w:type="pct"/>
            <w:tcBorders>
              <w:tl2br w:val="nil"/>
              <w:tr2bl w:val="nil"/>
            </w:tcBorders>
            <w:vAlign w:val="center"/>
          </w:tcPr>
          <w:p w14:paraId="038FE40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54.422</w:t>
            </w:r>
          </w:p>
        </w:tc>
        <w:tc>
          <w:tcPr>
            <w:tcW w:w="1494" w:type="pct"/>
            <w:vMerge w:val="continue"/>
            <w:tcBorders>
              <w:tl2br w:val="nil"/>
              <w:tr2bl w:val="nil"/>
            </w:tcBorders>
            <w:vAlign w:val="center"/>
          </w:tcPr>
          <w:p w14:paraId="0234F8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122FB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229" w:type="pct"/>
            <w:vMerge w:val="continue"/>
            <w:tcBorders>
              <w:tl2br w:val="nil"/>
              <w:tr2bl w:val="nil"/>
            </w:tcBorders>
            <w:vAlign w:val="center"/>
          </w:tcPr>
          <w:p w14:paraId="2EAD36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vMerge w:val="continue"/>
            <w:tcBorders>
              <w:tl2br w:val="nil"/>
              <w:tr2bl w:val="nil"/>
            </w:tcBorders>
            <w:vAlign w:val="center"/>
          </w:tcPr>
          <w:p w14:paraId="22A11D9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68" w:type="pct"/>
            <w:tcBorders>
              <w:tl2br w:val="nil"/>
              <w:tr2bl w:val="nil"/>
            </w:tcBorders>
            <w:vAlign w:val="center"/>
          </w:tcPr>
          <w:p w14:paraId="339535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汞及其化合物</w:t>
            </w:r>
          </w:p>
        </w:tc>
        <w:tc>
          <w:tcPr>
            <w:tcW w:w="1232" w:type="pct"/>
            <w:tcBorders>
              <w:tl2br w:val="nil"/>
              <w:tr2bl w:val="nil"/>
            </w:tcBorders>
            <w:vAlign w:val="center"/>
          </w:tcPr>
          <w:p w14:paraId="4C69E0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协同去除效率</w:t>
            </w:r>
            <w:r>
              <w:rPr>
                <w:rFonts w:hint="eastAsia" w:ascii="Times New Roman" w:hAnsi="Times New Roman" w:cs="Times New Roman"/>
                <w:color w:val="auto"/>
                <w:sz w:val="21"/>
                <w:szCs w:val="21"/>
                <w:highlight w:val="none"/>
              </w:rPr>
              <w:t>7</w:t>
            </w:r>
            <w:r>
              <w:rPr>
                <w:rFonts w:hint="default" w:ascii="Times New Roman" w:hAnsi="Times New Roman" w:cs="Times New Roman"/>
                <w:color w:val="auto"/>
                <w:sz w:val="21"/>
                <w:szCs w:val="21"/>
                <w:highlight w:val="none"/>
              </w:rPr>
              <w:t>0%</w:t>
            </w:r>
          </w:p>
        </w:tc>
        <w:tc>
          <w:tcPr>
            <w:tcW w:w="427" w:type="pct"/>
            <w:tcBorders>
              <w:tl2br w:val="nil"/>
              <w:tr2bl w:val="nil"/>
            </w:tcBorders>
            <w:vAlign w:val="center"/>
          </w:tcPr>
          <w:p w14:paraId="43DAE5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0.00</w:t>
            </w:r>
            <w:r>
              <w:rPr>
                <w:rFonts w:hint="eastAsia" w:cs="Times New Roman"/>
                <w:color w:val="auto"/>
                <w:sz w:val="21"/>
                <w:szCs w:val="21"/>
                <w:highlight w:val="none"/>
                <w:lang w:val="en-US" w:eastAsia="zh-CN"/>
              </w:rPr>
              <w:t>56</w:t>
            </w:r>
          </w:p>
        </w:tc>
        <w:tc>
          <w:tcPr>
            <w:tcW w:w="710" w:type="pct"/>
            <w:tcBorders>
              <w:tl2br w:val="nil"/>
              <w:tr2bl w:val="nil"/>
            </w:tcBorders>
            <w:vAlign w:val="center"/>
          </w:tcPr>
          <w:p w14:paraId="1056D64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0.001</w:t>
            </w:r>
            <w:r>
              <w:rPr>
                <w:rFonts w:hint="eastAsia" w:cs="Times New Roman"/>
                <w:color w:val="auto"/>
                <w:sz w:val="21"/>
                <w:szCs w:val="21"/>
                <w:highlight w:val="none"/>
                <w:lang w:val="en-US" w:eastAsia="zh-CN"/>
              </w:rPr>
              <w:t>4</w:t>
            </w:r>
          </w:p>
        </w:tc>
        <w:tc>
          <w:tcPr>
            <w:tcW w:w="1494" w:type="pct"/>
            <w:vMerge w:val="continue"/>
            <w:tcBorders>
              <w:tl2br w:val="nil"/>
              <w:tr2bl w:val="nil"/>
            </w:tcBorders>
            <w:vAlign w:val="center"/>
          </w:tcPr>
          <w:p w14:paraId="5B66FA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791F9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229" w:type="pct"/>
            <w:vMerge w:val="continue"/>
            <w:tcBorders>
              <w:tl2br w:val="nil"/>
              <w:tr2bl w:val="nil"/>
            </w:tcBorders>
            <w:vAlign w:val="center"/>
          </w:tcPr>
          <w:p w14:paraId="732A72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vMerge w:val="continue"/>
            <w:tcBorders>
              <w:tl2br w:val="nil"/>
              <w:tr2bl w:val="nil"/>
            </w:tcBorders>
            <w:vAlign w:val="center"/>
          </w:tcPr>
          <w:p w14:paraId="4BFE76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68" w:type="pct"/>
            <w:tcBorders>
              <w:tl2br w:val="nil"/>
              <w:tr2bl w:val="nil"/>
            </w:tcBorders>
            <w:vAlign w:val="center"/>
          </w:tcPr>
          <w:p w14:paraId="7B82A3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烟气黑度</w:t>
            </w:r>
          </w:p>
        </w:tc>
        <w:tc>
          <w:tcPr>
            <w:tcW w:w="1232" w:type="pct"/>
            <w:tcBorders>
              <w:tl2br w:val="nil"/>
              <w:tr2bl w:val="nil"/>
            </w:tcBorders>
            <w:vAlign w:val="center"/>
          </w:tcPr>
          <w:p w14:paraId="60AD88C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w:t>
            </w:r>
          </w:p>
        </w:tc>
        <w:tc>
          <w:tcPr>
            <w:tcW w:w="427" w:type="pct"/>
            <w:tcBorders>
              <w:tl2br w:val="nil"/>
              <w:tr2bl w:val="nil"/>
            </w:tcBorders>
            <w:vAlign w:val="center"/>
          </w:tcPr>
          <w:p w14:paraId="522353B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w:t>
            </w:r>
          </w:p>
        </w:tc>
        <w:tc>
          <w:tcPr>
            <w:tcW w:w="710" w:type="pct"/>
            <w:tcBorders>
              <w:tl2br w:val="nil"/>
              <w:tr2bl w:val="nil"/>
            </w:tcBorders>
            <w:vAlign w:val="center"/>
          </w:tcPr>
          <w:p w14:paraId="5D3483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w:t>
            </w:r>
          </w:p>
        </w:tc>
        <w:tc>
          <w:tcPr>
            <w:tcW w:w="1494" w:type="pct"/>
            <w:vMerge w:val="continue"/>
            <w:tcBorders>
              <w:tl2br w:val="nil"/>
              <w:tr2bl w:val="nil"/>
            </w:tcBorders>
            <w:vAlign w:val="center"/>
          </w:tcPr>
          <w:p w14:paraId="73E7E9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2432B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229" w:type="pct"/>
            <w:vMerge w:val="continue"/>
            <w:tcBorders>
              <w:tl2br w:val="nil"/>
              <w:tr2bl w:val="nil"/>
            </w:tcBorders>
            <w:vAlign w:val="center"/>
          </w:tcPr>
          <w:p w14:paraId="7C74107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vMerge w:val="continue"/>
            <w:tcBorders>
              <w:tl2br w:val="nil"/>
              <w:tr2bl w:val="nil"/>
            </w:tcBorders>
            <w:vAlign w:val="center"/>
          </w:tcPr>
          <w:p w14:paraId="615015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68" w:type="pct"/>
            <w:tcBorders>
              <w:tl2br w:val="nil"/>
              <w:tr2bl w:val="nil"/>
            </w:tcBorders>
            <w:vAlign w:val="center"/>
          </w:tcPr>
          <w:p w14:paraId="74B906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eastAsiaTheme="minorEastAsia"/>
                <w:color w:val="FF0000"/>
                <w:sz w:val="21"/>
                <w:szCs w:val="21"/>
                <w:highlight w:val="none"/>
                <w:lang w:val="en-US" w:eastAsia="zh-CN"/>
              </w:rPr>
            </w:pPr>
            <w:r>
              <w:rPr>
                <w:rFonts w:hint="eastAsia" w:cs="Times New Roman"/>
                <w:color w:val="FF0000"/>
                <w:sz w:val="21"/>
                <w:szCs w:val="21"/>
                <w:highlight w:val="none"/>
                <w:lang w:val="en-US" w:eastAsia="zh-CN"/>
              </w:rPr>
              <w:t>NH</w:t>
            </w:r>
            <w:r>
              <w:rPr>
                <w:rFonts w:hint="eastAsia" w:cs="Times New Roman"/>
                <w:color w:val="FF0000"/>
                <w:sz w:val="21"/>
                <w:szCs w:val="21"/>
                <w:highlight w:val="none"/>
                <w:vertAlign w:val="subscript"/>
                <w:lang w:val="en-US" w:eastAsia="zh-CN"/>
              </w:rPr>
              <w:t>3</w:t>
            </w:r>
          </w:p>
        </w:tc>
        <w:tc>
          <w:tcPr>
            <w:tcW w:w="1232" w:type="pct"/>
            <w:tcBorders>
              <w:tl2br w:val="nil"/>
              <w:tr2bl w:val="nil"/>
            </w:tcBorders>
            <w:vAlign w:val="center"/>
          </w:tcPr>
          <w:p w14:paraId="1FA9253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eastAsiaTheme="minorEastAsia"/>
                <w:color w:val="FF0000"/>
                <w:sz w:val="21"/>
                <w:szCs w:val="21"/>
                <w:highlight w:val="none"/>
                <w:lang w:val="en-US" w:eastAsia="zh-CN"/>
              </w:rPr>
            </w:pPr>
            <w:r>
              <w:rPr>
                <w:rFonts w:hint="eastAsia" w:cs="Times New Roman"/>
                <w:color w:val="FF0000"/>
                <w:sz w:val="21"/>
                <w:szCs w:val="21"/>
                <w:highlight w:val="none"/>
                <w:lang w:val="en-US" w:eastAsia="zh-CN"/>
              </w:rPr>
              <w:t>/</w:t>
            </w:r>
          </w:p>
        </w:tc>
        <w:tc>
          <w:tcPr>
            <w:tcW w:w="427" w:type="pct"/>
            <w:tcBorders>
              <w:tl2br w:val="nil"/>
              <w:tr2bl w:val="nil"/>
            </w:tcBorders>
            <w:vAlign w:val="center"/>
          </w:tcPr>
          <w:p w14:paraId="73DA2B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eastAsiaTheme="minorEastAsia"/>
                <w:color w:val="FF0000"/>
                <w:sz w:val="21"/>
                <w:szCs w:val="21"/>
                <w:highlight w:val="none"/>
                <w:lang w:val="en-US" w:eastAsia="zh-CN"/>
              </w:rPr>
            </w:pPr>
            <w:r>
              <w:rPr>
                <w:rFonts w:hint="eastAsia" w:cs="Times New Roman"/>
                <w:color w:val="FF0000"/>
                <w:sz w:val="21"/>
                <w:szCs w:val="21"/>
                <w:highlight w:val="none"/>
                <w:lang w:val="en-US" w:eastAsia="zh-CN"/>
              </w:rPr>
              <w:t>2.5</w:t>
            </w:r>
          </w:p>
        </w:tc>
        <w:tc>
          <w:tcPr>
            <w:tcW w:w="710" w:type="pct"/>
            <w:tcBorders>
              <w:tl2br w:val="nil"/>
              <w:tr2bl w:val="nil"/>
            </w:tcBorders>
            <w:vAlign w:val="center"/>
          </w:tcPr>
          <w:p w14:paraId="727894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eastAsiaTheme="minorEastAsia"/>
                <w:color w:val="FF0000"/>
                <w:sz w:val="21"/>
                <w:szCs w:val="21"/>
                <w:highlight w:val="none"/>
                <w:lang w:val="en-US" w:eastAsia="zh-CN"/>
              </w:rPr>
            </w:pPr>
            <w:r>
              <w:rPr>
                <w:rFonts w:hint="eastAsia" w:cs="Times New Roman"/>
                <w:color w:val="FF0000"/>
                <w:sz w:val="21"/>
                <w:szCs w:val="21"/>
                <w:highlight w:val="none"/>
                <w:lang w:val="en-US" w:eastAsia="zh-CN"/>
              </w:rPr>
              <w:t>0.78</w:t>
            </w:r>
          </w:p>
        </w:tc>
        <w:tc>
          <w:tcPr>
            <w:tcW w:w="1494" w:type="pct"/>
            <w:tcBorders>
              <w:tl2br w:val="nil"/>
              <w:tr2bl w:val="nil"/>
            </w:tcBorders>
            <w:vAlign w:val="center"/>
          </w:tcPr>
          <w:p w14:paraId="61A6DB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FF0000"/>
                <w:sz w:val="21"/>
                <w:szCs w:val="21"/>
                <w:highlight w:val="none"/>
              </w:rPr>
            </w:pPr>
            <w:r>
              <w:rPr>
                <w:rFonts w:hint="eastAsia" w:ascii="Times New Roman" w:hAnsi="Times New Roman" w:cs="Times New Roman"/>
                <w:color w:val="FF0000"/>
                <w:sz w:val="21"/>
                <w:szCs w:val="21"/>
                <w:highlight w:val="none"/>
                <w:lang w:val="en-US" w:eastAsia="zh-CN"/>
              </w:rPr>
              <w:t>《恶臭污染物排放标准》（GB14554-93）</w:t>
            </w:r>
          </w:p>
        </w:tc>
      </w:tr>
      <w:tr w14:paraId="467D7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3" w:hRule="atLeast"/>
          <w:jc w:val="center"/>
        </w:trPr>
        <w:tc>
          <w:tcPr>
            <w:tcW w:w="229" w:type="pct"/>
            <w:vMerge w:val="continue"/>
            <w:tcBorders>
              <w:tl2br w:val="nil"/>
              <w:tr2bl w:val="nil"/>
            </w:tcBorders>
            <w:vAlign w:val="center"/>
          </w:tcPr>
          <w:p w14:paraId="24A04F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tcBorders>
              <w:tl2br w:val="nil"/>
              <w:tr2bl w:val="nil"/>
            </w:tcBorders>
            <w:vAlign w:val="center"/>
          </w:tcPr>
          <w:p w14:paraId="143A19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rPr>
              <w:t>煤库</w:t>
            </w:r>
            <w:r>
              <w:rPr>
                <w:rFonts w:hint="default" w:ascii="Times New Roman" w:hAnsi="Times New Roman" w:cs="Times New Roman"/>
                <w:color w:val="auto"/>
                <w:sz w:val="21"/>
                <w:szCs w:val="21"/>
                <w:highlight w:val="none"/>
              </w:rPr>
              <w:t>、输煤栈桥</w:t>
            </w:r>
            <w:r>
              <w:rPr>
                <w:rFonts w:hint="eastAsia" w:ascii="Times New Roman" w:hAnsi="Times New Roman" w:cs="Times New Roman"/>
                <w:color w:val="auto"/>
                <w:sz w:val="21"/>
                <w:szCs w:val="21"/>
                <w:highlight w:val="none"/>
              </w:rPr>
              <w:t>、</w:t>
            </w:r>
            <w:r>
              <w:rPr>
                <w:rFonts w:hint="default" w:ascii="Times New Roman" w:hAnsi="Times New Roman" w:cs="Times New Roman"/>
                <w:color w:val="auto"/>
                <w:sz w:val="21"/>
                <w:szCs w:val="21"/>
                <w:highlight w:val="none"/>
              </w:rPr>
              <w:t>碎煤机室</w:t>
            </w:r>
            <w:r>
              <w:rPr>
                <w:rFonts w:hint="eastAsia"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灰渣仓</w:t>
            </w:r>
          </w:p>
        </w:tc>
        <w:tc>
          <w:tcPr>
            <w:tcW w:w="468" w:type="pct"/>
            <w:tcBorders>
              <w:tl2br w:val="nil"/>
              <w:tr2bl w:val="nil"/>
            </w:tcBorders>
            <w:vAlign w:val="center"/>
          </w:tcPr>
          <w:p w14:paraId="15BE8D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颗粒物</w:t>
            </w:r>
          </w:p>
        </w:tc>
        <w:tc>
          <w:tcPr>
            <w:tcW w:w="2370" w:type="pct"/>
            <w:gridSpan w:val="3"/>
            <w:tcBorders>
              <w:tl2br w:val="nil"/>
              <w:tr2bl w:val="nil"/>
            </w:tcBorders>
            <w:vAlign w:val="center"/>
          </w:tcPr>
          <w:p w14:paraId="27B4924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煤库</w:t>
            </w:r>
            <w:r>
              <w:rPr>
                <w:rFonts w:hint="eastAsia"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灰渣仓、</w:t>
            </w:r>
            <w:r>
              <w:rPr>
                <w:rFonts w:hint="default" w:ascii="Times New Roman" w:hAnsi="Times New Roman" w:cs="Times New Roman"/>
                <w:color w:val="auto"/>
                <w:sz w:val="21"/>
                <w:szCs w:val="21"/>
                <w:highlight w:val="none"/>
              </w:rPr>
              <w:t>输煤栈桥、碎煤机室全封闭；</w:t>
            </w:r>
          </w:p>
        </w:tc>
        <w:tc>
          <w:tcPr>
            <w:tcW w:w="1494" w:type="pct"/>
            <w:tcBorders>
              <w:tl2br w:val="nil"/>
              <w:tr2bl w:val="nil"/>
            </w:tcBorders>
            <w:vAlign w:val="center"/>
          </w:tcPr>
          <w:p w14:paraId="59C85C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《大气污染物综合排放标准》表2新污染源大气污染物排放标准中无组织排放监控浓度限值1.0mg/m3</w:t>
            </w:r>
          </w:p>
        </w:tc>
      </w:tr>
      <w:tr w14:paraId="67750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 w:hRule="atLeast"/>
          <w:jc w:val="center"/>
        </w:trPr>
        <w:tc>
          <w:tcPr>
            <w:tcW w:w="229" w:type="pct"/>
            <w:vMerge w:val="restart"/>
            <w:tcBorders>
              <w:tl2br w:val="nil"/>
              <w:tr2bl w:val="nil"/>
            </w:tcBorders>
            <w:vAlign w:val="center"/>
          </w:tcPr>
          <w:p w14:paraId="38C823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废</w:t>
            </w:r>
          </w:p>
          <w:p w14:paraId="134BEF7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水</w:t>
            </w:r>
          </w:p>
        </w:tc>
        <w:tc>
          <w:tcPr>
            <w:tcW w:w="436" w:type="pct"/>
            <w:tcBorders>
              <w:tl2br w:val="nil"/>
              <w:tr2bl w:val="nil"/>
            </w:tcBorders>
            <w:vAlign w:val="center"/>
          </w:tcPr>
          <w:p w14:paraId="1D4E14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工业废水</w:t>
            </w:r>
          </w:p>
        </w:tc>
        <w:tc>
          <w:tcPr>
            <w:tcW w:w="468" w:type="pct"/>
            <w:tcBorders>
              <w:tl2br w:val="nil"/>
              <w:tr2bl w:val="nil"/>
            </w:tcBorders>
            <w:vAlign w:val="center"/>
          </w:tcPr>
          <w:p w14:paraId="1B4D1D2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pH值、悬浮物、化学需氧量、氟化物、硫化物、总砷、总铅、总汞、总镉</w:t>
            </w:r>
          </w:p>
        </w:tc>
        <w:tc>
          <w:tcPr>
            <w:tcW w:w="3864" w:type="pct"/>
            <w:gridSpan w:val="4"/>
            <w:tcBorders>
              <w:tl2br w:val="nil"/>
              <w:tr2bl w:val="nil"/>
            </w:tcBorders>
            <w:vAlign w:val="center"/>
          </w:tcPr>
          <w:p w14:paraId="720CCA4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厂区生产废水</w:t>
            </w:r>
            <w:r>
              <w:rPr>
                <w:rFonts w:hint="eastAsia" w:ascii="Times New Roman" w:hAnsi="Times New Roman" w:cs="Times New Roman"/>
                <w:color w:val="auto"/>
                <w:sz w:val="21"/>
                <w:szCs w:val="21"/>
                <w:highlight w:val="none"/>
              </w:rPr>
              <w:t>全部回用</w:t>
            </w:r>
            <w:r>
              <w:rPr>
                <w:rFonts w:hint="default" w:ascii="Times New Roman" w:hAnsi="Times New Roman" w:cs="Times New Roman"/>
                <w:color w:val="auto"/>
                <w:sz w:val="21"/>
                <w:szCs w:val="21"/>
                <w:highlight w:val="none"/>
              </w:rPr>
              <w:t>，</w:t>
            </w:r>
            <w:r>
              <w:rPr>
                <w:rFonts w:hint="eastAsia" w:ascii="Times New Roman" w:hAnsi="Times New Roman" w:cs="Times New Roman"/>
                <w:color w:val="auto"/>
                <w:sz w:val="21"/>
                <w:szCs w:val="21"/>
                <w:highlight w:val="none"/>
              </w:rPr>
              <w:t>不外排。</w:t>
            </w:r>
          </w:p>
        </w:tc>
      </w:tr>
      <w:tr w14:paraId="0D591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229" w:type="pct"/>
            <w:vMerge w:val="continue"/>
            <w:tcBorders>
              <w:tl2br w:val="nil"/>
              <w:tr2bl w:val="nil"/>
            </w:tcBorders>
            <w:vAlign w:val="center"/>
          </w:tcPr>
          <w:p w14:paraId="572092D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tcBorders>
              <w:tl2br w:val="nil"/>
              <w:tr2bl w:val="nil"/>
            </w:tcBorders>
            <w:vAlign w:val="center"/>
          </w:tcPr>
          <w:p w14:paraId="7EC23B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生活污水</w:t>
            </w:r>
          </w:p>
        </w:tc>
        <w:tc>
          <w:tcPr>
            <w:tcW w:w="468" w:type="pct"/>
            <w:tcBorders>
              <w:tl2br w:val="nil"/>
              <w:tr2bl w:val="nil"/>
            </w:tcBorders>
            <w:vAlign w:val="center"/>
          </w:tcPr>
          <w:p w14:paraId="080A6F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COD、氨氮</w:t>
            </w:r>
          </w:p>
        </w:tc>
        <w:tc>
          <w:tcPr>
            <w:tcW w:w="3864" w:type="pct"/>
            <w:gridSpan w:val="4"/>
            <w:tcBorders>
              <w:tl2br w:val="nil"/>
              <w:tr2bl w:val="nil"/>
            </w:tcBorders>
            <w:vAlign w:val="center"/>
          </w:tcPr>
          <w:p w14:paraId="203DBE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本项目不新增员工，不新增生活污水。</w:t>
            </w:r>
            <w:r>
              <w:rPr>
                <w:rFonts w:hint="eastAsia" w:ascii="Times New Roman" w:hAnsi="Times New Roman" w:cs="Times New Roman"/>
                <w:color w:val="auto"/>
                <w:sz w:val="21"/>
                <w:szCs w:val="21"/>
                <w:highlight w:val="none"/>
              </w:rPr>
              <w:t>现有生活污水通过市政污水管网进入</w:t>
            </w:r>
            <w:r>
              <w:rPr>
                <w:rFonts w:hint="eastAsia" w:ascii="Times New Roman" w:hAnsi="Times New Roman" w:cs="Times New Roman"/>
                <w:color w:val="auto"/>
                <w:sz w:val="21"/>
                <w:szCs w:val="21"/>
                <w:highlight w:val="none"/>
                <w:lang w:val="en-US" w:eastAsia="zh-CN"/>
              </w:rPr>
              <w:t>八五二农场</w:t>
            </w:r>
            <w:r>
              <w:rPr>
                <w:rFonts w:hint="eastAsia" w:ascii="Times New Roman" w:hAnsi="Times New Roman" w:cs="Times New Roman"/>
                <w:color w:val="auto"/>
                <w:sz w:val="21"/>
                <w:szCs w:val="21"/>
                <w:highlight w:val="none"/>
              </w:rPr>
              <w:t>污水处理厂进行处理，达到《城镇污水处理厂污染物排放标准》（GB18918-2002）中的一级A标准后，排水进入</w:t>
            </w:r>
            <w:r>
              <w:rPr>
                <w:rFonts w:hint="eastAsia" w:ascii="Times New Roman" w:hAnsi="Times New Roman" w:cs="Times New Roman"/>
                <w:color w:val="auto"/>
                <w:sz w:val="21"/>
                <w:szCs w:val="21"/>
                <w:highlight w:val="none"/>
                <w:lang w:val="en-US" w:eastAsia="zh-CN"/>
              </w:rPr>
              <w:t>蛤蟆通</w:t>
            </w:r>
            <w:r>
              <w:rPr>
                <w:rFonts w:hint="eastAsia" w:ascii="Times New Roman" w:hAnsi="Times New Roman" w:cs="Times New Roman"/>
                <w:color w:val="auto"/>
                <w:sz w:val="21"/>
                <w:szCs w:val="21"/>
                <w:highlight w:val="none"/>
              </w:rPr>
              <w:t>河。</w:t>
            </w:r>
          </w:p>
        </w:tc>
      </w:tr>
      <w:tr w14:paraId="655EB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229" w:type="pct"/>
            <w:tcBorders>
              <w:tl2br w:val="nil"/>
              <w:tr2bl w:val="nil"/>
            </w:tcBorders>
            <w:vAlign w:val="center"/>
          </w:tcPr>
          <w:p w14:paraId="494F275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噪</w:t>
            </w:r>
          </w:p>
          <w:p w14:paraId="2270286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声</w:t>
            </w:r>
          </w:p>
        </w:tc>
        <w:tc>
          <w:tcPr>
            <w:tcW w:w="436" w:type="pct"/>
            <w:tcBorders>
              <w:tl2br w:val="nil"/>
              <w:tr2bl w:val="nil"/>
            </w:tcBorders>
            <w:vAlign w:val="center"/>
          </w:tcPr>
          <w:p w14:paraId="09B9BA4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水泵、风机等</w:t>
            </w:r>
          </w:p>
        </w:tc>
        <w:tc>
          <w:tcPr>
            <w:tcW w:w="468" w:type="pct"/>
            <w:tcBorders>
              <w:tl2br w:val="nil"/>
              <w:tr2bl w:val="nil"/>
            </w:tcBorders>
            <w:vAlign w:val="center"/>
          </w:tcPr>
          <w:p w14:paraId="1418F26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噪声</w:t>
            </w:r>
          </w:p>
        </w:tc>
        <w:tc>
          <w:tcPr>
            <w:tcW w:w="2370" w:type="pct"/>
            <w:gridSpan w:val="3"/>
            <w:tcBorders>
              <w:tl2br w:val="nil"/>
              <w:tr2bl w:val="nil"/>
            </w:tcBorders>
            <w:vAlign w:val="center"/>
          </w:tcPr>
          <w:p w14:paraId="508E78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隔振、隔声、消声等噪声防治措施</w:t>
            </w:r>
          </w:p>
        </w:tc>
        <w:tc>
          <w:tcPr>
            <w:tcW w:w="1494" w:type="pct"/>
            <w:tcBorders>
              <w:tl2br w:val="nil"/>
              <w:tr2bl w:val="nil"/>
            </w:tcBorders>
            <w:vAlign w:val="center"/>
          </w:tcPr>
          <w:p w14:paraId="7AD4F2F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《工业企业厂界环境噪声排放标准》（GB12348-2008）</w:t>
            </w: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rPr>
              <w:t>类标准要求</w:t>
            </w:r>
          </w:p>
        </w:tc>
      </w:tr>
      <w:tr w14:paraId="1BE8F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229" w:type="pct"/>
            <w:vMerge w:val="restart"/>
            <w:tcBorders>
              <w:tl2br w:val="nil"/>
              <w:tr2bl w:val="nil"/>
            </w:tcBorders>
            <w:vAlign w:val="center"/>
          </w:tcPr>
          <w:p w14:paraId="5943A2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固体废物</w:t>
            </w:r>
          </w:p>
        </w:tc>
        <w:tc>
          <w:tcPr>
            <w:tcW w:w="436" w:type="pct"/>
            <w:tcBorders>
              <w:tl2br w:val="nil"/>
              <w:tr2bl w:val="nil"/>
            </w:tcBorders>
            <w:vAlign w:val="center"/>
          </w:tcPr>
          <w:p w14:paraId="069F52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除灰渣系统</w:t>
            </w:r>
          </w:p>
        </w:tc>
        <w:tc>
          <w:tcPr>
            <w:tcW w:w="468" w:type="pct"/>
            <w:tcBorders>
              <w:tl2br w:val="nil"/>
              <w:tr2bl w:val="nil"/>
            </w:tcBorders>
            <w:vAlign w:val="center"/>
          </w:tcPr>
          <w:p w14:paraId="06EC704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val="en-US" w:eastAsia="zh-CN"/>
              </w:rPr>
              <w:t>灰渣</w:t>
            </w:r>
          </w:p>
        </w:tc>
        <w:tc>
          <w:tcPr>
            <w:tcW w:w="1659" w:type="pct"/>
            <w:gridSpan w:val="2"/>
            <w:vMerge w:val="restart"/>
            <w:tcBorders>
              <w:tl2br w:val="nil"/>
              <w:tr2bl w:val="nil"/>
            </w:tcBorders>
            <w:vAlign w:val="center"/>
          </w:tcPr>
          <w:p w14:paraId="1841D8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外售综合利用</w:t>
            </w:r>
          </w:p>
        </w:tc>
        <w:tc>
          <w:tcPr>
            <w:tcW w:w="710" w:type="pct"/>
            <w:tcBorders>
              <w:tl2br w:val="nil"/>
              <w:tr2bl w:val="nil"/>
            </w:tcBorders>
            <w:vAlign w:val="center"/>
          </w:tcPr>
          <w:p w14:paraId="789AA8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22575.962</w:t>
            </w:r>
            <w:r>
              <w:rPr>
                <w:rFonts w:hint="default" w:ascii="Times New Roman" w:hAnsi="Times New Roman" w:cs="Times New Roman"/>
                <w:color w:val="auto"/>
                <w:sz w:val="21"/>
                <w:szCs w:val="21"/>
                <w:highlight w:val="none"/>
              </w:rPr>
              <w:t>t/a</w:t>
            </w:r>
          </w:p>
        </w:tc>
        <w:tc>
          <w:tcPr>
            <w:tcW w:w="1494" w:type="pct"/>
            <w:vMerge w:val="restart"/>
            <w:tcBorders>
              <w:tl2br w:val="nil"/>
              <w:tr2bl w:val="nil"/>
            </w:tcBorders>
            <w:vAlign w:val="center"/>
          </w:tcPr>
          <w:p w14:paraId="53B3E1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val="en-US" w:eastAsia="zh-CN"/>
              </w:rPr>
              <w:t>固体废物合理处置，</w:t>
            </w:r>
            <w:r>
              <w:rPr>
                <w:rFonts w:hint="default" w:ascii="Times New Roman" w:hAnsi="Times New Roman" w:cs="Times New Roman"/>
                <w:color w:val="auto"/>
                <w:sz w:val="21"/>
                <w:szCs w:val="21"/>
                <w:highlight w:val="none"/>
              </w:rPr>
              <w:t>处置率100%</w:t>
            </w:r>
            <w:r>
              <w:rPr>
                <w:rFonts w:hint="eastAsia" w:ascii="Times New Roman" w:hAnsi="Times New Roman" w:cs="Times New Roman"/>
                <w:color w:val="auto"/>
                <w:sz w:val="21"/>
                <w:szCs w:val="21"/>
                <w:highlight w:val="none"/>
                <w:lang w:eastAsia="zh-CN"/>
              </w:rPr>
              <w:t>，《一般工业固体废物贮存和填埋污染控制标准》（GB18599-2020）</w:t>
            </w:r>
          </w:p>
        </w:tc>
      </w:tr>
      <w:tr w14:paraId="7044B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229" w:type="pct"/>
            <w:vMerge w:val="continue"/>
            <w:tcBorders>
              <w:tl2br w:val="nil"/>
              <w:tr2bl w:val="nil"/>
            </w:tcBorders>
            <w:vAlign w:val="center"/>
          </w:tcPr>
          <w:p w14:paraId="34CEEE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tcBorders>
              <w:tl2br w:val="nil"/>
              <w:tr2bl w:val="nil"/>
            </w:tcBorders>
            <w:vAlign w:val="center"/>
          </w:tcPr>
          <w:p w14:paraId="1A56D2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eastAsiaTheme="minorEastAsia"/>
                <w:color w:val="auto"/>
                <w:sz w:val="21"/>
                <w:szCs w:val="21"/>
                <w:highlight w:val="none"/>
                <w:lang w:val="en-US" w:eastAsia="zh-CN"/>
              </w:rPr>
            </w:pPr>
            <w:r>
              <w:rPr>
                <w:rFonts w:hint="eastAsia" w:cs="Times New Roman"/>
                <w:color w:val="auto"/>
                <w:sz w:val="21"/>
                <w:szCs w:val="21"/>
                <w:highlight w:val="none"/>
                <w:lang w:val="en-US" w:eastAsia="zh-CN"/>
              </w:rPr>
              <w:t>脱硫塔</w:t>
            </w:r>
          </w:p>
        </w:tc>
        <w:tc>
          <w:tcPr>
            <w:tcW w:w="468" w:type="pct"/>
            <w:tcBorders>
              <w:tl2br w:val="nil"/>
              <w:tr2bl w:val="nil"/>
            </w:tcBorders>
            <w:vAlign w:val="center"/>
          </w:tcPr>
          <w:p w14:paraId="4CFBA24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脱硫副产物</w:t>
            </w:r>
          </w:p>
        </w:tc>
        <w:tc>
          <w:tcPr>
            <w:tcW w:w="1659" w:type="pct"/>
            <w:gridSpan w:val="2"/>
            <w:vMerge w:val="continue"/>
            <w:tcBorders>
              <w:tl2br w:val="nil"/>
              <w:tr2bl w:val="nil"/>
            </w:tcBorders>
            <w:vAlign w:val="center"/>
          </w:tcPr>
          <w:p w14:paraId="702B5D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710" w:type="pct"/>
            <w:tcBorders>
              <w:tl2br w:val="nil"/>
              <w:tr2bl w:val="nil"/>
            </w:tcBorders>
            <w:vAlign w:val="center"/>
          </w:tcPr>
          <w:p w14:paraId="156B6F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237.257t</w:t>
            </w:r>
            <w:r>
              <w:rPr>
                <w:rFonts w:hint="eastAsia" w:ascii="Times New Roman" w:hAnsi="Times New Roman" w:cs="Times New Roman"/>
                <w:color w:val="auto"/>
                <w:sz w:val="21"/>
                <w:szCs w:val="21"/>
                <w:highlight w:val="none"/>
              </w:rPr>
              <w:t>/a</w:t>
            </w:r>
          </w:p>
        </w:tc>
        <w:tc>
          <w:tcPr>
            <w:tcW w:w="1494" w:type="pct"/>
            <w:vMerge w:val="continue"/>
            <w:tcBorders>
              <w:tl2br w:val="nil"/>
              <w:tr2bl w:val="nil"/>
            </w:tcBorders>
            <w:vAlign w:val="center"/>
          </w:tcPr>
          <w:p w14:paraId="75740DA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03CC1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229" w:type="pct"/>
            <w:vMerge w:val="continue"/>
            <w:tcBorders>
              <w:tl2br w:val="nil"/>
              <w:tr2bl w:val="nil"/>
            </w:tcBorders>
            <w:vAlign w:val="center"/>
          </w:tcPr>
          <w:p w14:paraId="4FCF8BE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tcBorders>
              <w:tl2br w:val="nil"/>
              <w:tr2bl w:val="nil"/>
            </w:tcBorders>
            <w:vAlign w:val="center"/>
          </w:tcPr>
          <w:p w14:paraId="30D4E0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除尘系统</w:t>
            </w:r>
          </w:p>
        </w:tc>
        <w:tc>
          <w:tcPr>
            <w:tcW w:w="468" w:type="pct"/>
            <w:tcBorders>
              <w:tl2br w:val="nil"/>
              <w:tr2bl w:val="nil"/>
            </w:tcBorders>
            <w:vAlign w:val="center"/>
          </w:tcPr>
          <w:p w14:paraId="7BAB5C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废布袋</w:t>
            </w:r>
          </w:p>
        </w:tc>
        <w:tc>
          <w:tcPr>
            <w:tcW w:w="1659" w:type="pct"/>
            <w:gridSpan w:val="2"/>
            <w:tcBorders>
              <w:tl2br w:val="nil"/>
              <w:tr2bl w:val="nil"/>
            </w:tcBorders>
            <w:vAlign w:val="center"/>
          </w:tcPr>
          <w:p w14:paraId="6D9156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由厂家回收，不在厂区内堆存。</w:t>
            </w:r>
          </w:p>
        </w:tc>
        <w:tc>
          <w:tcPr>
            <w:tcW w:w="710" w:type="pct"/>
            <w:tcBorders>
              <w:tl2br w:val="nil"/>
              <w:tr2bl w:val="nil"/>
            </w:tcBorders>
            <w:vAlign w:val="center"/>
          </w:tcPr>
          <w:p w14:paraId="0A7631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0.1t/a</w:t>
            </w:r>
          </w:p>
        </w:tc>
        <w:tc>
          <w:tcPr>
            <w:tcW w:w="1494" w:type="pct"/>
            <w:vMerge w:val="continue"/>
            <w:tcBorders>
              <w:tl2br w:val="nil"/>
              <w:tr2bl w:val="nil"/>
            </w:tcBorders>
            <w:vAlign w:val="center"/>
          </w:tcPr>
          <w:p w14:paraId="2103C3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699D6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229" w:type="pct"/>
            <w:vMerge w:val="continue"/>
            <w:tcBorders>
              <w:tl2br w:val="nil"/>
              <w:tr2bl w:val="nil"/>
            </w:tcBorders>
            <w:vAlign w:val="center"/>
          </w:tcPr>
          <w:p w14:paraId="56D44B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tcBorders>
              <w:tl2br w:val="nil"/>
              <w:tr2bl w:val="nil"/>
            </w:tcBorders>
            <w:vAlign w:val="center"/>
          </w:tcPr>
          <w:p w14:paraId="79AD6B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软化水处理</w:t>
            </w:r>
          </w:p>
        </w:tc>
        <w:tc>
          <w:tcPr>
            <w:tcW w:w="468" w:type="pct"/>
            <w:tcBorders>
              <w:tl2br w:val="nil"/>
              <w:tr2bl w:val="nil"/>
            </w:tcBorders>
            <w:vAlign w:val="center"/>
          </w:tcPr>
          <w:p w14:paraId="6858C2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废离子交换树脂</w:t>
            </w:r>
          </w:p>
        </w:tc>
        <w:tc>
          <w:tcPr>
            <w:tcW w:w="1659" w:type="pct"/>
            <w:gridSpan w:val="2"/>
            <w:tcBorders>
              <w:tl2br w:val="nil"/>
              <w:tr2bl w:val="nil"/>
            </w:tcBorders>
            <w:vAlign w:val="center"/>
          </w:tcPr>
          <w:p w14:paraId="6DB08F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更换时厂家回收，不在厂区内暂存</w:t>
            </w:r>
          </w:p>
        </w:tc>
        <w:tc>
          <w:tcPr>
            <w:tcW w:w="710" w:type="pct"/>
            <w:tcBorders>
              <w:tl2br w:val="nil"/>
              <w:tr2bl w:val="nil"/>
            </w:tcBorders>
            <w:vAlign w:val="center"/>
          </w:tcPr>
          <w:p w14:paraId="73DD62C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1t/a</w:t>
            </w:r>
          </w:p>
        </w:tc>
        <w:tc>
          <w:tcPr>
            <w:tcW w:w="1494" w:type="pct"/>
            <w:vMerge w:val="continue"/>
            <w:tcBorders>
              <w:tl2br w:val="nil"/>
              <w:tr2bl w:val="nil"/>
            </w:tcBorders>
            <w:vAlign w:val="center"/>
          </w:tcPr>
          <w:p w14:paraId="2E0BDE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00663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9" w:type="pct"/>
            <w:vMerge w:val="continue"/>
            <w:tcBorders>
              <w:tl2br w:val="nil"/>
              <w:tr2bl w:val="nil"/>
            </w:tcBorders>
            <w:vAlign w:val="center"/>
          </w:tcPr>
          <w:p w14:paraId="5A6BAD2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bookmarkStart w:id="552" w:name="_Toc27596"/>
            <w:bookmarkStart w:id="553" w:name="_Toc10965"/>
          </w:p>
        </w:tc>
        <w:tc>
          <w:tcPr>
            <w:tcW w:w="436" w:type="pct"/>
            <w:tcBorders>
              <w:tl2br w:val="nil"/>
              <w:tr2bl w:val="nil"/>
            </w:tcBorders>
            <w:vAlign w:val="center"/>
          </w:tcPr>
          <w:p w14:paraId="0037012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初期雨水收集池</w:t>
            </w:r>
          </w:p>
        </w:tc>
        <w:tc>
          <w:tcPr>
            <w:tcW w:w="468" w:type="pct"/>
            <w:tcBorders>
              <w:tl2br w:val="nil"/>
              <w:tr2bl w:val="nil"/>
            </w:tcBorders>
            <w:vAlign w:val="center"/>
          </w:tcPr>
          <w:p w14:paraId="70F035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沉渣</w:t>
            </w:r>
          </w:p>
        </w:tc>
        <w:tc>
          <w:tcPr>
            <w:tcW w:w="1659" w:type="pct"/>
            <w:gridSpan w:val="2"/>
            <w:tcBorders>
              <w:tl2br w:val="nil"/>
              <w:tr2bl w:val="nil"/>
            </w:tcBorders>
            <w:vAlign w:val="center"/>
          </w:tcPr>
          <w:p w14:paraId="39B93A9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厂区除渣水、初期雨水裹挟沉渣排入</w:t>
            </w:r>
            <w:r>
              <w:rPr>
                <w:rFonts w:hint="eastAsia" w:ascii="Times New Roman" w:hAnsi="Times New Roman" w:cs="Times New Roman"/>
                <w:color w:val="auto"/>
                <w:sz w:val="21"/>
                <w:szCs w:val="21"/>
                <w:highlight w:val="none"/>
                <w:lang w:val="en-US" w:eastAsia="zh-CN"/>
              </w:rPr>
              <w:t>初期雨水收集</w:t>
            </w:r>
            <w:r>
              <w:rPr>
                <w:rFonts w:hint="default" w:ascii="Times New Roman" w:hAnsi="Times New Roman" w:cs="Times New Roman"/>
                <w:color w:val="auto"/>
                <w:sz w:val="21"/>
                <w:szCs w:val="21"/>
                <w:highlight w:val="none"/>
              </w:rPr>
              <w:t>池，沉渣定期清掏作为燃料入炉燃烧。</w:t>
            </w:r>
          </w:p>
        </w:tc>
        <w:tc>
          <w:tcPr>
            <w:tcW w:w="710" w:type="pct"/>
            <w:tcBorders>
              <w:tl2br w:val="nil"/>
              <w:tr2bl w:val="nil"/>
            </w:tcBorders>
            <w:vAlign w:val="center"/>
          </w:tcPr>
          <w:p w14:paraId="3FBA72D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0.1t/a</w:t>
            </w:r>
          </w:p>
        </w:tc>
        <w:tc>
          <w:tcPr>
            <w:tcW w:w="1494" w:type="pct"/>
            <w:vMerge w:val="continue"/>
            <w:tcBorders>
              <w:tl2br w:val="nil"/>
              <w:tr2bl w:val="nil"/>
            </w:tcBorders>
            <w:vAlign w:val="center"/>
          </w:tcPr>
          <w:p w14:paraId="16DD53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r w14:paraId="2C62E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9" w:type="pct"/>
            <w:vMerge w:val="continue"/>
            <w:tcBorders>
              <w:tl2br w:val="nil"/>
              <w:tr2bl w:val="nil"/>
            </w:tcBorders>
            <w:vAlign w:val="center"/>
          </w:tcPr>
          <w:p w14:paraId="718F9F5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tcBorders>
              <w:tl2br w:val="nil"/>
              <w:tr2bl w:val="nil"/>
            </w:tcBorders>
            <w:shd w:val="clear" w:color="auto" w:fill="auto"/>
            <w:vAlign w:val="center"/>
          </w:tcPr>
          <w:p w14:paraId="6773D2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脱硝系统</w:t>
            </w:r>
          </w:p>
        </w:tc>
        <w:tc>
          <w:tcPr>
            <w:tcW w:w="468" w:type="pct"/>
            <w:tcBorders>
              <w:tl2br w:val="nil"/>
              <w:tr2bl w:val="nil"/>
            </w:tcBorders>
            <w:shd w:val="clear" w:color="auto" w:fill="auto"/>
            <w:vAlign w:val="center"/>
          </w:tcPr>
          <w:p w14:paraId="4AB732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废脱硝催化剂</w:t>
            </w:r>
          </w:p>
        </w:tc>
        <w:tc>
          <w:tcPr>
            <w:tcW w:w="1659" w:type="pct"/>
            <w:gridSpan w:val="2"/>
            <w:tcBorders>
              <w:tl2br w:val="nil"/>
              <w:tr2bl w:val="nil"/>
            </w:tcBorders>
            <w:shd w:val="clear" w:color="auto" w:fill="auto"/>
            <w:vAlign w:val="center"/>
          </w:tcPr>
          <w:p w14:paraId="525678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废脱硝催化剂属于危险废物，厂家定期更换，委托有资质单位运走、处置，不在厂区暂存</w:t>
            </w:r>
          </w:p>
        </w:tc>
        <w:tc>
          <w:tcPr>
            <w:tcW w:w="710" w:type="pct"/>
            <w:tcBorders>
              <w:tl2br w:val="nil"/>
              <w:tr2bl w:val="nil"/>
            </w:tcBorders>
            <w:shd w:val="clear" w:color="auto" w:fill="auto"/>
            <w:vAlign w:val="center"/>
          </w:tcPr>
          <w:p w14:paraId="286BA7F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20m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/3a</w:t>
            </w:r>
          </w:p>
        </w:tc>
        <w:tc>
          <w:tcPr>
            <w:tcW w:w="1494" w:type="pct"/>
            <w:vMerge w:val="restart"/>
            <w:tcBorders>
              <w:tl2br w:val="nil"/>
              <w:tr2bl w:val="nil"/>
            </w:tcBorders>
            <w:vAlign w:val="center"/>
          </w:tcPr>
          <w:p w14:paraId="47338CC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委托</w:t>
            </w:r>
            <w:r>
              <w:rPr>
                <w:rFonts w:hint="eastAsia" w:ascii="Times New Roman" w:hAnsi="Times New Roman" w:cs="Times New Roman"/>
                <w:color w:val="auto"/>
                <w:sz w:val="21"/>
                <w:szCs w:val="21"/>
                <w:highlight w:val="none"/>
                <w:lang w:val="en-US" w:eastAsia="zh-CN"/>
              </w:rPr>
              <w:t>有资质单位处理，</w:t>
            </w:r>
            <w:r>
              <w:rPr>
                <w:rFonts w:hint="default" w:ascii="Times New Roman" w:hAnsi="Times New Roman" w:cs="Times New Roman"/>
                <w:color w:val="auto"/>
                <w:sz w:val="21"/>
                <w:szCs w:val="21"/>
                <w:highlight w:val="none"/>
              </w:rPr>
              <w:t>处置率100%</w:t>
            </w:r>
            <w:r>
              <w:rPr>
                <w:rFonts w:hint="eastAsia"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rPr>
              <w:t>《危险废物贮存污染控制标准》（GB18597-20</w:t>
            </w:r>
            <w:r>
              <w:rPr>
                <w:rFonts w:hint="eastAsia" w:ascii="Times New Roman" w:hAnsi="Times New Roman" w:cs="Times New Roman"/>
                <w:color w:val="auto"/>
                <w:sz w:val="21"/>
                <w:szCs w:val="21"/>
                <w:highlight w:val="none"/>
                <w:lang w:val="en-US" w:eastAsia="zh-CN"/>
              </w:rPr>
              <w:t>23</w:t>
            </w:r>
            <w:r>
              <w:rPr>
                <w:rFonts w:hint="default" w:ascii="Times New Roman" w:hAnsi="Times New Roman" w:cs="Times New Roman"/>
                <w:color w:val="auto"/>
                <w:sz w:val="21"/>
                <w:szCs w:val="21"/>
                <w:highlight w:val="none"/>
              </w:rPr>
              <w:t>）</w:t>
            </w:r>
          </w:p>
        </w:tc>
      </w:tr>
      <w:tr w14:paraId="51B85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9" w:type="pct"/>
            <w:vMerge w:val="continue"/>
            <w:tcBorders>
              <w:tl2br w:val="nil"/>
              <w:tr2bl w:val="nil"/>
            </w:tcBorders>
            <w:vAlign w:val="center"/>
          </w:tcPr>
          <w:p w14:paraId="2F473F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c>
          <w:tcPr>
            <w:tcW w:w="436" w:type="pct"/>
            <w:tcBorders>
              <w:tl2br w:val="nil"/>
              <w:tr2bl w:val="nil"/>
            </w:tcBorders>
            <w:vAlign w:val="center"/>
          </w:tcPr>
          <w:p w14:paraId="214F88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设备维修</w:t>
            </w:r>
          </w:p>
        </w:tc>
        <w:tc>
          <w:tcPr>
            <w:tcW w:w="468" w:type="pct"/>
            <w:tcBorders>
              <w:tl2br w:val="nil"/>
              <w:tr2bl w:val="nil"/>
            </w:tcBorders>
            <w:vAlign w:val="center"/>
          </w:tcPr>
          <w:p w14:paraId="239D785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废矿物油</w:t>
            </w:r>
          </w:p>
        </w:tc>
        <w:tc>
          <w:tcPr>
            <w:tcW w:w="1659" w:type="pct"/>
            <w:gridSpan w:val="2"/>
            <w:tcBorders>
              <w:tl2br w:val="nil"/>
              <w:tr2bl w:val="nil"/>
            </w:tcBorders>
            <w:vAlign w:val="center"/>
          </w:tcPr>
          <w:p w14:paraId="51B8D8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GB"/>
              </w:rPr>
              <w:t>危废</w:t>
            </w:r>
            <w:r>
              <w:rPr>
                <w:rFonts w:hint="eastAsia" w:ascii="Times New Roman" w:hAnsi="Times New Roman" w:cs="Times New Roman"/>
                <w:color w:val="auto"/>
                <w:sz w:val="21"/>
                <w:szCs w:val="21"/>
                <w:highlight w:val="none"/>
                <w:lang w:eastAsia="zh-CN"/>
              </w:rPr>
              <w:t>贮存点</w:t>
            </w:r>
            <w:r>
              <w:rPr>
                <w:rFonts w:hint="default" w:ascii="Times New Roman" w:hAnsi="Times New Roman" w:cs="Times New Roman"/>
                <w:color w:val="auto"/>
                <w:sz w:val="21"/>
                <w:szCs w:val="21"/>
                <w:highlight w:val="none"/>
              </w:rPr>
              <w:t>暂存后委托有危废处理资质的单位</w:t>
            </w:r>
            <w:r>
              <w:rPr>
                <w:rFonts w:hint="default" w:ascii="Times New Roman" w:hAnsi="Times New Roman" w:cs="Times New Roman"/>
                <w:color w:val="auto"/>
                <w:sz w:val="21"/>
                <w:szCs w:val="21"/>
                <w:highlight w:val="none"/>
                <w:lang w:val="en-GB"/>
              </w:rPr>
              <w:t>统一处理</w:t>
            </w:r>
          </w:p>
        </w:tc>
        <w:tc>
          <w:tcPr>
            <w:tcW w:w="710" w:type="pct"/>
            <w:tcBorders>
              <w:tl2br w:val="nil"/>
              <w:tr2bl w:val="nil"/>
            </w:tcBorders>
            <w:vAlign w:val="center"/>
          </w:tcPr>
          <w:p w14:paraId="4B962AF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0.2t/a</w:t>
            </w:r>
          </w:p>
        </w:tc>
        <w:tc>
          <w:tcPr>
            <w:tcW w:w="1494" w:type="pct"/>
            <w:vMerge w:val="continue"/>
            <w:tcBorders>
              <w:tl2br w:val="nil"/>
              <w:tr2bl w:val="nil"/>
            </w:tcBorders>
            <w:vAlign w:val="center"/>
          </w:tcPr>
          <w:p w14:paraId="608865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rPr>
            </w:pPr>
          </w:p>
        </w:tc>
      </w:tr>
    </w:tbl>
    <w:p w14:paraId="23E6869A">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54" w:name="_Toc25285"/>
      <w:r>
        <w:rPr>
          <w:rFonts w:hint="eastAsia" w:ascii="Times New Roman" w:hAnsi="Times New Roman" w:eastAsia="宋体" w:cs="Times New Roman"/>
          <w:b/>
          <w:bCs/>
          <w:color w:val="auto"/>
        </w:rPr>
        <w:t>9.3 环保设施竣工验收</w:t>
      </w:r>
      <w:bookmarkEnd w:id="552"/>
      <w:bookmarkEnd w:id="553"/>
      <w:bookmarkEnd w:id="554"/>
    </w:p>
    <w:p w14:paraId="555A2E2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本项目环保设施“三同时”竣工环境保护验收主要内容见表9.3-1。</w:t>
      </w:r>
    </w:p>
    <w:p w14:paraId="7620FBF3">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表9.3-1  环保设施“三同时”竣工环境保护验收项目一览表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1"/>
        <w:gridCol w:w="1126"/>
        <w:gridCol w:w="4064"/>
        <w:gridCol w:w="427"/>
        <w:gridCol w:w="3176"/>
      </w:tblGrid>
      <w:tr w14:paraId="41370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tcBorders>
              <w:tl2br w:val="nil"/>
              <w:tr2bl w:val="nil"/>
            </w:tcBorders>
            <w:vAlign w:val="center"/>
          </w:tcPr>
          <w:p w14:paraId="036510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种类</w:t>
            </w:r>
          </w:p>
        </w:tc>
        <w:tc>
          <w:tcPr>
            <w:tcW w:w="605" w:type="pct"/>
            <w:tcBorders>
              <w:tl2br w:val="nil"/>
              <w:tr2bl w:val="nil"/>
            </w:tcBorders>
            <w:vAlign w:val="center"/>
          </w:tcPr>
          <w:p w14:paraId="0231FFB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污染源</w:t>
            </w:r>
          </w:p>
        </w:tc>
        <w:tc>
          <w:tcPr>
            <w:tcW w:w="2189" w:type="pct"/>
            <w:tcBorders>
              <w:tl2br w:val="nil"/>
              <w:tr2bl w:val="nil"/>
            </w:tcBorders>
            <w:vAlign w:val="center"/>
          </w:tcPr>
          <w:p w14:paraId="086F619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环境保护措施</w:t>
            </w:r>
          </w:p>
        </w:tc>
        <w:tc>
          <w:tcPr>
            <w:tcW w:w="228" w:type="pct"/>
            <w:tcBorders>
              <w:tl2br w:val="nil"/>
              <w:tr2bl w:val="nil"/>
            </w:tcBorders>
            <w:vAlign w:val="center"/>
          </w:tcPr>
          <w:p w14:paraId="1579D3A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套</w:t>
            </w:r>
          </w:p>
        </w:tc>
        <w:tc>
          <w:tcPr>
            <w:tcW w:w="1710" w:type="pct"/>
            <w:tcBorders>
              <w:tl2br w:val="nil"/>
              <w:tr2bl w:val="nil"/>
            </w:tcBorders>
            <w:vAlign w:val="center"/>
          </w:tcPr>
          <w:p w14:paraId="68A560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验收标准</w:t>
            </w:r>
          </w:p>
        </w:tc>
      </w:tr>
      <w:tr w14:paraId="2AF0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restart"/>
            <w:tcBorders>
              <w:tl2br w:val="nil"/>
              <w:tr2bl w:val="nil"/>
            </w:tcBorders>
            <w:vAlign w:val="center"/>
          </w:tcPr>
          <w:p w14:paraId="6BB572F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废气</w:t>
            </w:r>
          </w:p>
        </w:tc>
        <w:tc>
          <w:tcPr>
            <w:tcW w:w="605" w:type="pct"/>
            <w:vMerge w:val="restart"/>
            <w:tcBorders>
              <w:tl2br w:val="nil"/>
              <w:tr2bl w:val="nil"/>
            </w:tcBorders>
            <w:vAlign w:val="center"/>
          </w:tcPr>
          <w:p w14:paraId="740E90F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rPr>
              <w:t>×4</w:t>
            </w:r>
            <w:r>
              <w:rPr>
                <w:rFonts w:hint="eastAsia"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rPr>
              <w:t>MW热水锅炉</w:t>
            </w:r>
          </w:p>
        </w:tc>
        <w:tc>
          <w:tcPr>
            <w:tcW w:w="2189" w:type="pct"/>
            <w:tcBorders>
              <w:tl2br w:val="nil"/>
              <w:tr2bl w:val="nil"/>
            </w:tcBorders>
            <w:vAlign w:val="center"/>
          </w:tcPr>
          <w:p w14:paraId="5F9975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布袋除尘器，除尘效率99.</w:t>
            </w:r>
            <w:r>
              <w:rPr>
                <w:rFonts w:hint="eastAsia" w:ascii="Times New Roman" w:hAnsi="Times New Roman" w:cs="Times New Roman"/>
                <w:color w:val="auto"/>
                <w:sz w:val="21"/>
                <w:szCs w:val="21"/>
                <w:highlight w:val="none"/>
                <w:lang w:val="en-US" w:eastAsia="zh-CN"/>
              </w:rPr>
              <w:t>8</w:t>
            </w:r>
            <w:r>
              <w:rPr>
                <w:rFonts w:hint="eastAsia" w:ascii="Times New Roman" w:hAnsi="Times New Roman" w:cs="Times New Roman"/>
                <w:color w:val="auto"/>
                <w:sz w:val="21"/>
                <w:szCs w:val="21"/>
                <w:highlight w:val="none"/>
              </w:rPr>
              <w:t>%</w:t>
            </w:r>
          </w:p>
        </w:tc>
        <w:tc>
          <w:tcPr>
            <w:tcW w:w="228" w:type="pct"/>
            <w:tcBorders>
              <w:tl2br w:val="nil"/>
              <w:tr2bl w:val="nil"/>
            </w:tcBorders>
            <w:vAlign w:val="center"/>
          </w:tcPr>
          <w:p w14:paraId="2948F3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1</w:t>
            </w:r>
          </w:p>
        </w:tc>
        <w:tc>
          <w:tcPr>
            <w:tcW w:w="1710" w:type="pct"/>
            <w:vMerge w:val="restart"/>
            <w:tcBorders>
              <w:tl2br w:val="nil"/>
              <w:tr2bl w:val="nil"/>
            </w:tcBorders>
            <w:vAlign w:val="center"/>
          </w:tcPr>
          <w:p w14:paraId="37E60D5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《锅炉大气污染物排放标准》（GB13271-2014）表</w:t>
            </w:r>
            <w:r>
              <w:rPr>
                <w:rFonts w:hint="eastAsia"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rPr>
              <w:t>中燃煤锅炉大气污染物排放限值</w:t>
            </w:r>
          </w:p>
        </w:tc>
      </w:tr>
      <w:tr w14:paraId="71620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6FAF43B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vMerge w:val="continue"/>
            <w:tcBorders>
              <w:tl2br w:val="nil"/>
              <w:tr2bl w:val="nil"/>
            </w:tcBorders>
            <w:vAlign w:val="center"/>
          </w:tcPr>
          <w:p w14:paraId="1B25067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2189" w:type="pct"/>
            <w:tcBorders>
              <w:tl2br w:val="nil"/>
              <w:tr2bl w:val="nil"/>
            </w:tcBorders>
            <w:vAlign w:val="center"/>
          </w:tcPr>
          <w:p w14:paraId="44C394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氧化镁</w:t>
            </w:r>
            <w:r>
              <w:rPr>
                <w:rFonts w:hint="eastAsia" w:ascii="Times New Roman" w:hAnsi="Times New Roman" w:cs="Times New Roman"/>
                <w:color w:val="auto"/>
                <w:sz w:val="21"/>
                <w:szCs w:val="21"/>
                <w:highlight w:val="none"/>
              </w:rPr>
              <w:t>法脱硫，脱硫效率≥9</w:t>
            </w:r>
            <w:r>
              <w:rPr>
                <w:rFonts w:hint="eastAsia"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rPr>
              <w:t>%</w:t>
            </w:r>
          </w:p>
        </w:tc>
        <w:tc>
          <w:tcPr>
            <w:tcW w:w="228" w:type="pct"/>
            <w:tcBorders>
              <w:tl2br w:val="nil"/>
              <w:tr2bl w:val="nil"/>
            </w:tcBorders>
            <w:vAlign w:val="center"/>
          </w:tcPr>
          <w:p w14:paraId="419198C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1</w:t>
            </w:r>
          </w:p>
        </w:tc>
        <w:tc>
          <w:tcPr>
            <w:tcW w:w="1710" w:type="pct"/>
            <w:vMerge w:val="continue"/>
            <w:tcBorders>
              <w:tl2br w:val="nil"/>
              <w:tr2bl w:val="nil"/>
            </w:tcBorders>
            <w:vAlign w:val="center"/>
          </w:tcPr>
          <w:p w14:paraId="7E15D23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66C08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5059BB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vMerge w:val="continue"/>
            <w:tcBorders>
              <w:tl2br w:val="nil"/>
              <w:tr2bl w:val="nil"/>
            </w:tcBorders>
            <w:vAlign w:val="center"/>
          </w:tcPr>
          <w:p w14:paraId="24724DA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2189" w:type="pct"/>
            <w:tcBorders>
              <w:tl2br w:val="nil"/>
              <w:tr2bl w:val="nil"/>
            </w:tcBorders>
            <w:vAlign w:val="center"/>
          </w:tcPr>
          <w:p w14:paraId="6231C7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SNCR-SCR脱硝，脱硝效率≥</w:t>
            </w:r>
            <w:r>
              <w:rPr>
                <w:rFonts w:hint="eastAsia" w:cs="Times New Roman"/>
                <w:color w:val="auto"/>
                <w:sz w:val="21"/>
                <w:szCs w:val="21"/>
                <w:highlight w:val="none"/>
                <w:lang w:val="en-US" w:eastAsia="zh-CN"/>
              </w:rPr>
              <w:t>6</w:t>
            </w:r>
            <w:r>
              <w:rPr>
                <w:rFonts w:hint="eastAsia" w:ascii="Times New Roman" w:hAnsi="Times New Roman" w:cs="Times New Roman"/>
                <w:color w:val="auto"/>
                <w:sz w:val="21"/>
                <w:szCs w:val="21"/>
                <w:highlight w:val="none"/>
                <w:lang w:val="en-US" w:eastAsia="zh-CN"/>
              </w:rPr>
              <w:t>5</w:t>
            </w:r>
            <w:r>
              <w:rPr>
                <w:rFonts w:hint="eastAsia" w:ascii="Times New Roman" w:hAnsi="Times New Roman" w:cs="Times New Roman"/>
                <w:color w:val="auto"/>
                <w:sz w:val="21"/>
                <w:szCs w:val="21"/>
                <w:highlight w:val="none"/>
              </w:rPr>
              <w:t>%。</w:t>
            </w:r>
          </w:p>
        </w:tc>
        <w:tc>
          <w:tcPr>
            <w:tcW w:w="228" w:type="pct"/>
            <w:tcBorders>
              <w:tl2br w:val="nil"/>
              <w:tr2bl w:val="nil"/>
            </w:tcBorders>
            <w:vAlign w:val="center"/>
          </w:tcPr>
          <w:p w14:paraId="214DD8D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val="en-US" w:eastAsia="zh-CN"/>
              </w:rPr>
              <w:t>1</w:t>
            </w:r>
          </w:p>
        </w:tc>
        <w:tc>
          <w:tcPr>
            <w:tcW w:w="1710" w:type="pct"/>
            <w:vMerge w:val="continue"/>
            <w:tcBorders>
              <w:tl2br w:val="nil"/>
              <w:tr2bl w:val="nil"/>
            </w:tcBorders>
            <w:vAlign w:val="center"/>
          </w:tcPr>
          <w:p w14:paraId="0B49E3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150CA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416CDC7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vMerge w:val="continue"/>
            <w:tcBorders>
              <w:tl2br w:val="nil"/>
              <w:tr2bl w:val="nil"/>
            </w:tcBorders>
            <w:vAlign w:val="center"/>
          </w:tcPr>
          <w:p w14:paraId="486F920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2189" w:type="pct"/>
            <w:tcBorders>
              <w:tl2br w:val="nil"/>
              <w:tr2bl w:val="nil"/>
            </w:tcBorders>
            <w:vAlign w:val="center"/>
          </w:tcPr>
          <w:p w14:paraId="4EA4B4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汞及其化合物：协同去除效率70%</w:t>
            </w:r>
          </w:p>
        </w:tc>
        <w:tc>
          <w:tcPr>
            <w:tcW w:w="228" w:type="pct"/>
            <w:tcBorders>
              <w:tl2br w:val="nil"/>
              <w:tr2bl w:val="nil"/>
            </w:tcBorders>
            <w:vAlign w:val="center"/>
          </w:tcPr>
          <w:p w14:paraId="643999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w:t>
            </w:r>
          </w:p>
        </w:tc>
        <w:tc>
          <w:tcPr>
            <w:tcW w:w="1710" w:type="pct"/>
            <w:vMerge w:val="continue"/>
            <w:tcBorders>
              <w:tl2br w:val="nil"/>
              <w:tr2bl w:val="nil"/>
            </w:tcBorders>
            <w:vAlign w:val="center"/>
          </w:tcPr>
          <w:p w14:paraId="15D4138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4FEFD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7E1870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vMerge w:val="continue"/>
            <w:tcBorders>
              <w:tl2br w:val="nil"/>
              <w:tr2bl w:val="nil"/>
            </w:tcBorders>
            <w:vAlign w:val="center"/>
          </w:tcPr>
          <w:p w14:paraId="7297259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2189" w:type="pct"/>
            <w:tcBorders>
              <w:tl2br w:val="nil"/>
              <w:tr2bl w:val="nil"/>
            </w:tcBorders>
            <w:vAlign w:val="center"/>
          </w:tcPr>
          <w:p w14:paraId="603621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eastAsiaTheme="minorEastAsia"/>
                <w:color w:val="FF0000"/>
                <w:sz w:val="21"/>
                <w:szCs w:val="21"/>
                <w:highlight w:val="none"/>
                <w:lang w:val="en-US" w:eastAsia="zh-CN"/>
              </w:rPr>
            </w:pPr>
            <w:r>
              <w:rPr>
                <w:rFonts w:hint="eastAsia" w:cs="Times New Roman"/>
                <w:color w:val="FF0000"/>
                <w:sz w:val="21"/>
                <w:szCs w:val="21"/>
                <w:highlight w:val="none"/>
                <w:lang w:val="en-US" w:eastAsia="zh-CN"/>
              </w:rPr>
              <w:t>氨逃逸，合理控制喷淋量以及其分布的均匀性，同时采用控制反应区内温度及足够的停留时间等措施，确保氨与烟气中氮氧化物具备良好的接触，降低氨的逃逸量</w:t>
            </w:r>
          </w:p>
        </w:tc>
        <w:tc>
          <w:tcPr>
            <w:tcW w:w="228" w:type="pct"/>
            <w:tcBorders>
              <w:tl2br w:val="nil"/>
              <w:tr2bl w:val="nil"/>
            </w:tcBorders>
            <w:vAlign w:val="center"/>
          </w:tcPr>
          <w:p w14:paraId="09C12AB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eastAsiaTheme="minorEastAsia"/>
                <w:color w:val="FF0000"/>
                <w:sz w:val="21"/>
                <w:szCs w:val="21"/>
                <w:highlight w:val="none"/>
                <w:lang w:val="en-US" w:eastAsia="zh-CN"/>
              </w:rPr>
            </w:pPr>
            <w:r>
              <w:rPr>
                <w:rFonts w:hint="eastAsia" w:cs="Times New Roman"/>
                <w:color w:val="FF0000"/>
                <w:sz w:val="21"/>
                <w:szCs w:val="21"/>
                <w:highlight w:val="none"/>
                <w:lang w:val="en-US" w:eastAsia="zh-CN"/>
              </w:rPr>
              <w:t>/</w:t>
            </w:r>
          </w:p>
        </w:tc>
        <w:tc>
          <w:tcPr>
            <w:tcW w:w="1710" w:type="pct"/>
            <w:tcBorders>
              <w:tl2br w:val="nil"/>
              <w:tr2bl w:val="nil"/>
            </w:tcBorders>
            <w:vAlign w:val="center"/>
          </w:tcPr>
          <w:p w14:paraId="4FBEBBE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FF0000"/>
                <w:sz w:val="21"/>
                <w:szCs w:val="21"/>
                <w:highlight w:val="none"/>
              </w:rPr>
            </w:pPr>
            <w:r>
              <w:rPr>
                <w:rFonts w:hint="eastAsia" w:ascii="Times New Roman" w:hAnsi="Times New Roman" w:cs="Times New Roman"/>
                <w:color w:val="FF0000"/>
                <w:sz w:val="21"/>
                <w:szCs w:val="21"/>
                <w:highlight w:val="none"/>
              </w:rPr>
              <w:t>《恶臭污染物排放标准》（GB14554-93）表2恶臭污染物排放限值要求</w:t>
            </w:r>
          </w:p>
        </w:tc>
      </w:tr>
      <w:tr w14:paraId="4CF0B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10D4266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vMerge w:val="continue"/>
            <w:tcBorders>
              <w:tl2br w:val="nil"/>
              <w:tr2bl w:val="nil"/>
            </w:tcBorders>
            <w:vAlign w:val="center"/>
          </w:tcPr>
          <w:p w14:paraId="5FA3BE1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2189" w:type="pct"/>
            <w:tcBorders>
              <w:tl2br w:val="nil"/>
              <w:tr2bl w:val="nil"/>
            </w:tcBorders>
            <w:vAlign w:val="center"/>
          </w:tcPr>
          <w:p w14:paraId="28786E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1套烟气在线连续监测装置</w:t>
            </w:r>
          </w:p>
        </w:tc>
        <w:tc>
          <w:tcPr>
            <w:tcW w:w="228" w:type="pct"/>
            <w:tcBorders>
              <w:tl2br w:val="nil"/>
              <w:tr2bl w:val="nil"/>
            </w:tcBorders>
            <w:vAlign w:val="center"/>
          </w:tcPr>
          <w:p w14:paraId="7C604C9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1</w:t>
            </w:r>
          </w:p>
        </w:tc>
        <w:tc>
          <w:tcPr>
            <w:tcW w:w="1710" w:type="pct"/>
            <w:tcBorders>
              <w:tl2br w:val="nil"/>
              <w:tr2bl w:val="nil"/>
            </w:tcBorders>
            <w:vAlign w:val="center"/>
          </w:tcPr>
          <w:p w14:paraId="1991632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实现实时监控，与当地生态环境局联网。</w:t>
            </w:r>
          </w:p>
        </w:tc>
      </w:tr>
      <w:tr w14:paraId="19366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7677259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vMerge w:val="continue"/>
            <w:tcBorders>
              <w:tl2br w:val="nil"/>
              <w:tr2bl w:val="nil"/>
            </w:tcBorders>
            <w:vAlign w:val="center"/>
          </w:tcPr>
          <w:p w14:paraId="23BFE6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2189" w:type="pct"/>
            <w:tcBorders>
              <w:tl2br w:val="nil"/>
              <w:tr2bl w:val="nil"/>
            </w:tcBorders>
            <w:vAlign w:val="center"/>
          </w:tcPr>
          <w:p w14:paraId="69CAC9D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100</w:t>
            </w:r>
            <w:r>
              <w:rPr>
                <w:rFonts w:hint="eastAsia" w:ascii="Times New Roman" w:hAnsi="Times New Roman" w:cs="Times New Roman"/>
                <w:color w:val="auto"/>
                <w:sz w:val="21"/>
                <w:szCs w:val="21"/>
                <w:highlight w:val="none"/>
              </w:rPr>
              <w:t>m高烟囱</w:t>
            </w:r>
          </w:p>
        </w:tc>
        <w:tc>
          <w:tcPr>
            <w:tcW w:w="228" w:type="pct"/>
            <w:tcBorders>
              <w:tl2br w:val="nil"/>
              <w:tr2bl w:val="nil"/>
            </w:tcBorders>
            <w:vAlign w:val="center"/>
          </w:tcPr>
          <w:p w14:paraId="49B2D2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1</w:t>
            </w:r>
          </w:p>
        </w:tc>
        <w:tc>
          <w:tcPr>
            <w:tcW w:w="1710" w:type="pct"/>
            <w:tcBorders>
              <w:tl2br w:val="nil"/>
              <w:tr2bl w:val="nil"/>
            </w:tcBorders>
            <w:vAlign w:val="center"/>
          </w:tcPr>
          <w:p w14:paraId="21AF621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10</w:t>
            </w:r>
            <w:r>
              <w:rPr>
                <w:rFonts w:hint="eastAsia" w:ascii="Times New Roman" w:hAnsi="Times New Roman" w:cs="Times New Roman"/>
                <w:color w:val="auto"/>
                <w:sz w:val="21"/>
                <w:szCs w:val="21"/>
                <w:highlight w:val="none"/>
              </w:rPr>
              <w:t>0m高烟囱</w:t>
            </w:r>
          </w:p>
        </w:tc>
      </w:tr>
      <w:tr w14:paraId="23048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626C51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22A54D7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rPr>
              <w:t>煤库、输煤栈桥、碎煤机室、</w:t>
            </w:r>
            <w:r>
              <w:rPr>
                <w:rFonts w:hint="eastAsia" w:ascii="Times New Roman" w:hAnsi="Times New Roman" w:cs="Times New Roman"/>
                <w:color w:val="auto"/>
                <w:sz w:val="21"/>
                <w:szCs w:val="21"/>
                <w:highlight w:val="none"/>
                <w:lang w:val="en-US" w:eastAsia="zh-CN"/>
              </w:rPr>
              <w:t>灰渣仓</w:t>
            </w:r>
          </w:p>
        </w:tc>
        <w:tc>
          <w:tcPr>
            <w:tcW w:w="2189" w:type="pct"/>
            <w:tcBorders>
              <w:tl2br w:val="nil"/>
              <w:tr2bl w:val="nil"/>
            </w:tcBorders>
            <w:vAlign w:val="center"/>
          </w:tcPr>
          <w:p w14:paraId="3DBC755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煤库</w:t>
            </w:r>
            <w:r>
              <w:rPr>
                <w:rFonts w:hint="eastAsia"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rPr>
              <w:t>输煤栈桥、碎煤机室</w:t>
            </w:r>
            <w:r>
              <w:rPr>
                <w:rFonts w:hint="eastAsia"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灰渣仓</w:t>
            </w:r>
            <w:r>
              <w:rPr>
                <w:rFonts w:hint="eastAsia" w:ascii="Times New Roman" w:hAnsi="Times New Roman" w:cs="Times New Roman"/>
                <w:color w:val="auto"/>
                <w:sz w:val="21"/>
                <w:szCs w:val="21"/>
                <w:highlight w:val="none"/>
              </w:rPr>
              <w:t>全封闭</w:t>
            </w:r>
            <w:r>
              <w:rPr>
                <w:rFonts w:hint="eastAsia" w:ascii="Times New Roman" w:hAnsi="Times New Roman" w:cs="Times New Roman"/>
                <w:color w:val="auto"/>
                <w:sz w:val="21"/>
                <w:szCs w:val="21"/>
                <w:highlight w:val="none"/>
                <w:lang w:val="en-US" w:eastAsia="zh-CN"/>
              </w:rPr>
              <w:t>洒水降尘</w:t>
            </w:r>
          </w:p>
        </w:tc>
        <w:tc>
          <w:tcPr>
            <w:tcW w:w="228" w:type="pct"/>
            <w:tcBorders>
              <w:tl2br w:val="nil"/>
              <w:tr2bl w:val="nil"/>
            </w:tcBorders>
            <w:vAlign w:val="center"/>
          </w:tcPr>
          <w:p w14:paraId="13EEE0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w:t>
            </w:r>
          </w:p>
        </w:tc>
        <w:tc>
          <w:tcPr>
            <w:tcW w:w="1710" w:type="pct"/>
            <w:tcBorders>
              <w:tl2br w:val="nil"/>
              <w:tr2bl w:val="nil"/>
            </w:tcBorders>
            <w:vAlign w:val="center"/>
          </w:tcPr>
          <w:p w14:paraId="3F046F1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《大气污染物综合排放标准》(GB16297-1996)</w:t>
            </w:r>
          </w:p>
          <w:p w14:paraId="224FE7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表2新污染源大气污染物排放标准</w:t>
            </w:r>
          </w:p>
        </w:tc>
      </w:tr>
      <w:tr w14:paraId="38C0E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restart"/>
            <w:tcBorders>
              <w:tl2br w:val="nil"/>
              <w:tr2bl w:val="nil"/>
            </w:tcBorders>
            <w:vAlign w:val="center"/>
          </w:tcPr>
          <w:p w14:paraId="43CEB9B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废水</w:t>
            </w:r>
          </w:p>
        </w:tc>
        <w:tc>
          <w:tcPr>
            <w:tcW w:w="605" w:type="pct"/>
            <w:tcBorders>
              <w:tl2br w:val="nil"/>
              <w:tr2bl w:val="nil"/>
            </w:tcBorders>
            <w:vAlign w:val="center"/>
          </w:tcPr>
          <w:p w14:paraId="370B61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生活污水、生产废水</w:t>
            </w:r>
          </w:p>
        </w:tc>
        <w:tc>
          <w:tcPr>
            <w:tcW w:w="4128" w:type="pct"/>
            <w:gridSpan w:val="3"/>
            <w:tcBorders>
              <w:tl2br w:val="nil"/>
              <w:tr2bl w:val="nil"/>
            </w:tcBorders>
            <w:vAlign w:val="center"/>
          </w:tcPr>
          <w:p w14:paraId="3A8E27D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本项目不新增员工，不新增生活污水。</w:t>
            </w:r>
            <w:r>
              <w:rPr>
                <w:rFonts w:hint="default" w:ascii="Times New Roman" w:hAnsi="Times New Roman" w:cs="Times New Roman"/>
                <w:color w:val="auto"/>
                <w:sz w:val="21"/>
                <w:szCs w:val="21"/>
                <w:highlight w:val="none"/>
              </w:rPr>
              <w:t>本项目不新增员工，不新增生活污水。</w:t>
            </w:r>
            <w:r>
              <w:rPr>
                <w:rFonts w:hint="eastAsia" w:ascii="Times New Roman" w:hAnsi="Times New Roman" w:cs="Times New Roman"/>
                <w:color w:val="auto"/>
                <w:sz w:val="21"/>
                <w:szCs w:val="21"/>
                <w:highlight w:val="none"/>
              </w:rPr>
              <w:t>现有生活污水通过市政污水管网进入</w:t>
            </w:r>
            <w:r>
              <w:rPr>
                <w:rFonts w:hint="eastAsia" w:ascii="Times New Roman" w:hAnsi="Times New Roman" w:cs="Times New Roman"/>
                <w:color w:val="auto"/>
                <w:sz w:val="21"/>
                <w:szCs w:val="21"/>
                <w:highlight w:val="none"/>
                <w:lang w:val="en-US" w:eastAsia="zh-CN"/>
              </w:rPr>
              <w:t>八五二农场</w:t>
            </w:r>
            <w:r>
              <w:rPr>
                <w:rFonts w:hint="eastAsia" w:ascii="Times New Roman" w:hAnsi="Times New Roman" w:cs="Times New Roman"/>
                <w:color w:val="auto"/>
                <w:sz w:val="21"/>
                <w:szCs w:val="21"/>
                <w:highlight w:val="none"/>
              </w:rPr>
              <w:t>污水处理厂进行处理，达到《城镇污水处理厂污染物排放标准》（GB18918-2002）中的一级A标准后，排水进入</w:t>
            </w:r>
            <w:r>
              <w:rPr>
                <w:rFonts w:hint="eastAsia" w:ascii="Times New Roman" w:hAnsi="Times New Roman" w:cs="Times New Roman"/>
                <w:color w:val="auto"/>
                <w:sz w:val="21"/>
                <w:szCs w:val="21"/>
                <w:highlight w:val="none"/>
                <w:lang w:val="en-US" w:eastAsia="zh-CN"/>
              </w:rPr>
              <w:t>蛤蟆通</w:t>
            </w:r>
            <w:r>
              <w:rPr>
                <w:rFonts w:hint="eastAsia" w:ascii="Times New Roman" w:hAnsi="Times New Roman" w:cs="Times New Roman"/>
                <w:color w:val="auto"/>
                <w:sz w:val="21"/>
                <w:szCs w:val="21"/>
                <w:highlight w:val="none"/>
              </w:rPr>
              <w:t>河。</w:t>
            </w:r>
            <w:r>
              <w:rPr>
                <w:rFonts w:hint="default" w:ascii="Times New Roman" w:hAnsi="Times New Roman" w:cs="Times New Roman"/>
                <w:color w:val="auto"/>
                <w:sz w:val="21"/>
                <w:szCs w:val="21"/>
                <w:highlight w:val="none"/>
              </w:rPr>
              <w:t>厂区生产废水</w:t>
            </w:r>
            <w:r>
              <w:rPr>
                <w:rFonts w:hint="eastAsia" w:ascii="Times New Roman" w:hAnsi="Times New Roman" w:cs="Times New Roman"/>
                <w:color w:val="auto"/>
                <w:sz w:val="21"/>
                <w:szCs w:val="21"/>
                <w:highlight w:val="none"/>
              </w:rPr>
              <w:t>全部回用</w:t>
            </w:r>
            <w:r>
              <w:rPr>
                <w:rFonts w:hint="default" w:ascii="Times New Roman" w:hAnsi="Times New Roman" w:cs="Times New Roman"/>
                <w:color w:val="auto"/>
                <w:sz w:val="21"/>
                <w:szCs w:val="21"/>
                <w:highlight w:val="none"/>
              </w:rPr>
              <w:t>，</w:t>
            </w:r>
            <w:r>
              <w:rPr>
                <w:rFonts w:hint="eastAsia" w:ascii="Times New Roman" w:hAnsi="Times New Roman" w:cs="Times New Roman"/>
                <w:color w:val="auto"/>
                <w:sz w:val="21"/>
                <w:szCs w:val="21"/>
                <w:highlight w:val="none"/>
              </w:rPr>
              <w:t>不外排。</w:t>
            </w:r>
          </w:p>
        </w:tc>
      </w:tr>
      <w:tr w14:paraId="7CE0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288A760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5610E0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地下水防渗措施</w:t>
            </w:r>
          </w:p>
        </w:tc>
        <w:tc>
          <w:tcPr>
            <w:tcW w:w="4128" w:type="pct"/>
            <w:gridSpan w:val="3"/>
            <w:tcBorders>
              <w:tl2br w:val="nil"/>
              <w:tr2bl w:val="nil"/>
            </w:tcBorders>
            <w:vAlign w:val="center"/>
          </w:tcPr>
          <w:p w14:paraId="584784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①重点防渗区为危废贮存</w:t>
            </w:r>
            <w:r>
              <w:rPr>
                <w:rFonts w:hint="eastAsia" w:ascii="Times New Roman" w:hAnsi="Times New Roman" w:cs="Times New Roman"/>
                <w:color w:val="auto"/>
                <w:sz w:val="21"/>
                <w:szCs w:val="21"/>
                <w:highlight w:val="none"/>
                <w:lang w:val="en-US" w:eastAsia="zh-CN"/>
              </w:rPr>
              <w:t>点</w:t>
            </w:r>
            <w:r>
              <w:rPr>
                <w:rFonts w:hint="eastAsia" w:ascii="Times New Roman" w:hAnsi="Times New Roman" w:cs="Times New Roman"/>
                <w:color w:val="auto"/>
                <w:sz w:val="21"/>
                <w:szCs w:val="21"/>
                <w:highlight w:val="none"/>
              </w:rPr>
              <w:t>。重点防渗区危险废物贮存点需满足《危险废物贮存污染控制标准》（GB18597-2023）要求，采用高密度聚乙烯HDPE膜处理，土工膜厚度不应小于2mm，防渗系数不大于10</w:t>
            </w:r>
            <w:r>
              <w:rPr>
                <w:rFonts w:hint="eastAsia" w:ascii="Times New Roman" w:hAnsi="Times New Roman" w:cs="Times New Roman"/>
                <w:color w:val="auto"/>
                <w:sz w:val="21"/>
                <w:szCs w:val="21"/>
                <w:highlight w:val="none"/>
                <w:vertAlign w:val="superscript"/>
              </w:rPr>
              <w:t>-10</w:t>
            </w:r>
            <w:r>
              <w:rPr>
                <w:rFonts w:hint="eastAsia" w:ascii="Times New Roman" w:hAnsi="Times New Roman" w:cs="Times New Roman"/>
                <w:color w:val="auto"/>
                <w:sz w:val="21"/>
                <w:szCs w:val="21"/>
                <w:highlight w:val="none"/>
              </w:rPr>
              <w:t>cm/s，埋深不宜小于300mm，膜上、下应设置保护层；重点防渗区防渗层的防渗性能不应低于6.0m，厚渗透系数为1×10</w:t>
            </w:r>
            <w:r>
              <w:rPr>
                <w:rFonts w:hint="eastAsia" w:ascii="Times New Roman" w:hAnsi="Times New Roman" w:cs="Times New Roman"/>
                <w:color w:val="auto"/>
                <w:sz w:val="21"/>
                <w:szCs w:val="21"/>
                <w:highlight w:val="none"/>
                <w:vertAlign w:val="superscript"/>
              </w:rPr>
              <w:t>-7</w:t>
            </w:r>
            <w:r>
              <w:rPr>
                <w:rFonts w:hint="eastAsia" w:ascii="Times New Roman" w:hAnsi="Times New Roman" w:cs="Times New Roman"/>
                <w:color w:val="auto"/>
                <w:sz w:val="21"/>
                <w:szCs w:val="21"/>
                <w:highlight w:val="none"/>
              </w:rPr>
              <w:t>cm/s的黏土层的防渗性能。②</w:t>
            </w:r>
            <w:r>
              <w:rPr>
                <w:rFonts w:hint="default" w:ascii="Times New Roman" w:hAnsi="Times New Roman" w:cs="Times New Roman"/>
                <w:color w:val="auto"/>
                <w:sz w:val="21"/>
                <w:szCs w:val="21"/>
                <w:highlight w:val="none"/>
                <w:lang w:val="zh-CN" w:eastAsia="zh-CN"/>
              </w:rPr>
              <w:t>一般防渗区主要包括</w:t>
            </w:r>
            <w:r>
              <w:rPr>
                <w:rFonts w:hint="eastAsia" w:ascii="Times New Roman" w:hAnsi="Times New Roman" w:cs="Times New Roman"/>
                <w:color w:val="auto"/>
                <w:sz w:val="21"/>
                <w:szCs w:val="21"/>
                <w:highlight w:val="none"/>
                <w:lang w:val="en-US" w:eastAsia="zh-CN"/>
              </w:rPr>
              <w:t>脱硫副产品间</w:t>
            </w:r>
            <w:r>
              <w:rPr>
                <w:rFonts w:hint="default" w:ascii="Times New Roman" w:hAnsi="Times New Roman" w:cs="Times New Roman"/>
                <w:color w:val="auto"/>
                <w:sz w:val="21"/>
                <w:szCs w:val="21"/>
                <w:highlight w:val="none"/>
                <w:lang w:val="zh-CN" w:eastAsia="zh-CN"/>
              </w:rPr>
              <w:t>、消防水泵房、消防水池等</w:t>
            </w:r>
            <w:r>
              <w:rPr>
                <w:rFonts w:hint="eastAsia" w:ascii="Times New Roman" w:hAnsi="Times New Roman" w:cs="Times New Roman"/>
                <w:color w:val="auto"/>
                <w:sz w:val="21"/>
                <w:szCs w:val="21"/>
                <w:highlight w:val="none"/>
              </w:rPr>
              <w:t>，一般防渗区的地面可采用抗渗混凝土作为其防渗层，混凝土强度等级不低于C25，抗渗混凝土等级不低于P6，厚度不小于100mm。一般防渗区防渗层的防渗性能不应低于1.5m厚，渗透系数为1×10</w:t>
            </w:r>
            <w:r>
              <w:rPr>
                <w:rFonts w:hint="eastAsia" w:ascii="Times New Roman" w:hAnsi="Times New Roman" w:cs="Times New Roman"/>
                <w:color w:val="auto"/>
                <w:sz w:val="21"/>
                <w:szCs w:val="21"/>
                <w:highlight w:val="none"/>
                <w:vertAlign w:val="superscript"/>
              </w:rPr>
              <w:t>-7</w:t>
            </w:r>
            <w:r>
              <w:rPr>
                <w:rFonts w:hint="eastAsia" w:ascii="Times New Roman" w:hAnsi="Times New Roman" w:cs="Times New Roman"/>
                <w:color w:val="auto"/>
                <w:sz w:val="21"/>
                <w:szCs w:val="21"/>
                <w:highlight w:val="none"/>
              </w:rPr>
              <w:t>cm/s的黏土层的防渗性能。③简单防渗区（非污染防治区）为除重点防渗区、一般防渗区外的厂区（绿化区除外），简单防渗区进行地表硬化处理，防渗性能应不大于1×10</w:t>
            </w:r>
            <w:r>
              <w:rPr>
                <w:rFonts w:hint="eastAsia" w:ascii="Times New Roman" w:hAnsi="Times New Roman" w:cs="Times New Roman"/>
                <w:color w:val="auto"/>
                <w:sz w:val="21"/>
                <w:szCs w:val="21"/>
                <w:highlight w:val="none"/>
                <w:vertAlign w:val="superscript"/>
              </w:rPr>
              <w:t>-6</w:t>
            </w:r>
            <w:r>
              <w:rPr>
                <w:rFonts w:hint="eastAsia" w:ascii="Times New Roman" w:hAnsi="Times New Roman" w:cs="Times New Roman"/>
                <w:color w:val="auto"/>
                <w:sz w:val="21"/>
                <w:szCs w:val="21"/>
                <w:highlight w:val="none"/>
              </w:rPr>
              <w:t>cm/s。</w:t>
            </w:r>
          </w:p>
        </w:tc>
      </w:tr>
      <w:tr w14:paraId="19346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tcBorders>
              <w:tl2br w:val="nil"/>
              <w:tr2bl w:val="nil"/>
            </w:tcBorders>
            <w:vAlign w:val="center"/>
          </w:tcPr>
          <w:p w14:paraId="48D01EF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噪声</w:t>
            </w:r>
          </w:p>
        </w:tc>
        <w:tc>
          <w:tcPr>
            <w:tcW w:w="605" w:type="pct"/>
            <w:tcBorders>
              <w:tl2br w:val="nil"/>
              <w:tr2bl w:val="nil"/>
            </w:tcBorders>
            <w:vAlign w:val="center"/>
          </w:tcPr>
          <w:p w14:paraId="05EFB1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循环水泵、风机等</w:t>
            </w:r>
          </w:p>
        </w:tc>
        <w:tc>
          <w:tcPr>
            <w:tcW w:w="2418" w:type="pct"/>
            <w:gridSpan w:val="2"/>
            <w:tcBorders>
              <w:tl2br w:val="nil"/>
              <w:tr2bl w:val="nil"/>
            </w:tcBorders>
            <w:vAlign w:val="center"/>
          </w:tcPr>
          <w:p w14:paraId="5C99485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采取报告中环境保护措施章节提到的隔声、减振</w:t>
            </w:r>
            <w:r>
              <w:rPr>
                <w:rFonts w:hint="eastAsia" w:ascii="Times New Roman" w:hAnsi="Times New Roman" w:cs="Times New Roman"/>
                <w:color w:val="auto"/>
                <w:sz w:val="21"/>
                <w:szCs w:val="21"/>
                <w:highlight w:val="none"/>
              </w:rPr>
              <w:t>、消声措施</w:t>
            </w:r>
          </w:p>
        </w:tc>
        <w:tc>
          <w:tcPr>
            <w:tcW w:w="1710" w:type="pct"/>
            <w:tcBorders>
              <w:tl2br w:val="nil"/>
              <w:tr2bl w:val="nil"/>
            </w:tcBorders>
            <w:vAlign w:val="center"/>
          </w:tcPr>
          <w:p w14:paraId="245DB9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厂界要满足《工业企业厂界环境噪声排放标准》（GB12348-2008）表1工业企业厂界环境噪声排放限值中</w:t>
            </w:r>
            <w:r>
              <w:rPr>
                <w:rFonts w:hint="eastAsia" w:ascii="Times New Roman" w:hAnsi="Times New Roman" w:cs="Times New Roman"/>
                <w:color w:val="auto"/>
                <w:sz w:val="21"/>
                <w:szCs w:val="21"/>
                <w:highlight w:val="none"/>
                <w:lang w:val="en-US" w:eastAsia="zh-CN"/>
              </w:rPr>
              <w:t>2</w:t>
            </w:r>
            <w:r>
              <w:rPr>
                <w:rFonts w:hint="eastAsia" w:ascii="Times New Roman" w:hAnsi="Times New Roman" w:cs="Times New Roman"/>
                <w:color w:val="auto"/>
                <w:sz w:val="21"/>
                <w:szCs w:val="21"/>
                <w:highlight w:val="none"/>
              </w:rPr>
              <w:t>类声环境功能区标准</w:t>
            </w:r>
          </w:p>
        </w:tc>
      </w:tr>
      <w:tr w14:paraId="564AA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restart"/>
            <w:tcBorders>
              <w:tl2br w:val="nil"/>
              <w:tr2bl w:val="nil"/>
            </w:tcBorders>
            <w:vAlign w:val="center"/>
          </w:tcPr>
          <w:p w14:paraId="00E890C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固体废物</w:t>
            </w:r>
          </w:p>
        </w:tc>
        <w:tc>
          <w:tcPr>
            <w:tcW w:w="605" w:type="pct"/>
            <w:tcBorders>
              <w:tl2br w:val="nil"/>
              <w:tr2bl w:val="nil"/>
            </w:tcBorders>
            <w:vAlign w:val="center"/>
          </w:tcPr>
          <w:p w14:paraId="0102271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生活区</w:t>
            </w:r>
          </w:p>
        </w:tc>
        <w:tc>
          <w:tcPr>
            <w:tcW w:w="2418" w:type="pct"/>
            <w:gridSpan w:val="2"/>
            <w:tcBorders>
              <w:tl2br w:val="nil"/>
              <w:tr2bl w:val="nil"/>
            </w:tcBorders>
            <w:vAlign w:val="center"/>
          </w:tcPr>
          <w:p w14:paraId="670E205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不新增工作人员，不新增生活垃圾。</w:t>
            </w:r>
          </w:p>
        </w:tc>
        <w:tc>
          <w:tcPr>
            <w:tcW w:w="1710" w:type="pct"/>
            <w:vMerge w:val="restart"/>
            <w:tcBorders>
              <w:tl2br w:val="nil"/>
              <w:tr2bl w:val="nil"/>
            </w:tcBorders>
            <w:vAlign w:val="center"/>
          </w:tcPr>
          <w:p w14:paraId="7E290E7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rPr>
              <w:t>固体废物合理处置，处置率100%</w:t>
            </w:r>
            <w:r>
              <w:rPr>
                <w:rFonts w:hint="eastAsia" w:ascii="Times New Roman" w:hAnsi="Times New Roman" w:cs="Times New Roman"/>
                <w:color w:val="auto"/>
                <w:sz w:val="21"/>
                <w:szCs w:val="21"/>
                <w:highlight w:val="none"/>
                <w:lang w:eastAsia="zh-CN"/>
              </w:rPr>
              <w:t>；</w:t>
            </w:r>
          </w:p>
          <w:p w14:paraId="0B121FD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eastAsia="zh-CN"/>
              </w:rPr>
              <w:t>《一般工业固体废物贮存和填埋污染控制标准》（GB18599-2020）</w:t>
            </w:r>
          </w:p>
        </w:tc>
      </w:tr>
      <w:tr w14:paraId="72011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2E9D0C1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001E420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除灰渣系统</w:t>
            </w:r>
          </w:p>
        </w:tc>
        <w:tc>
          <w:tcPr>
            <w:tcW w:w="2418" w:type="pct"/>
            <w:gridSpan w:val="2"/>
            <w:tcBorders>
              <w:tl2br w:val="nil"/>
              <w:tr2bl w:val="nil"/>
            </w:tcBorders>
            <w:vAlign w:val="center"/>
          </w:tcPr>
          <w:p w14:paraId="33D8F4C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锅炉飞</w:t>
            </w:r>
            <w:r>
              <w:rPr>
                <w:rFonts w:hint="eastAsia" w:ascii="Times New Roman" w:hAnsi="Times New Roman" w:cs="Times New Roman"/>
                <w:color w:val="auto"/>
                <w:sz w:val="21"/>
                <w:szCs w:val="21"/>
                <w:highlight w:val="none"/>
                <w:lang w:val="en-US" w:eastAsia="zh-CN"/>
              </w:rPr>
              <w:t>灰渣集中收集</w:t>
            </w:r>
            <w:r>
              <w:rPr>
                <w:rFonts w:hint="eastAsia" w:ascii="Times New Roman" w:hAnsi="Times New Roman" w:cs="Times New Roman"/>
                <w:color w:val="auto"/>
                <w:sz w:val="21"/>
                <w:szCs w:val="21"/>
                <w:highlight w:val="none"/>
              </w:rPr>
              <w:t>外售综合利用。</w:t>
            </w:r>
          </w:p>
        </w:tc>
        <w:tc>
          <w:tcPr>
            <w:tcW w:w="1710" w:type="pct"/>
            <w:vMerge w:val="continue"/>
            <w:tcBorders>
              <w:tl2br w:val="nil"/>
              <w:tr2bl w:val="nil"/>
            </w:tcBorders>
            <w:vAlign w:val="center"/>
          </w:tcPr>
          <w:p w14:paraId="5F81A5C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6BF5D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229A351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5C35A57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除尘系统</w:t>
            </w:r>
          </w:p>
        </w:tc>
        <w:tc>
          <w:tcPr>
            <w:tcW w:w="2418" w:type="pct"/>
            <w:gridSpan w:val="2"/>
            <w:tcBorders>
              <w:tl2br w:val="nil"/>
              <w:tr2bl w:val="nil"/>
            </w:tcBorders>
            <w:vAlign w:val="center"/>
          </w:tcPr>
          <w:p w14:paraId="5C312C8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废布袋由厂家定期更换回收，不在厂区堆存。</w:t>
            </w:r>
          </w:p>
        </w:tc>
        <w:tc>
          <w:tcPr>
            <w:tcW w:w="1710" w:type="pct"/>
            <w:vMerge w:val="continue"/>
            <w:tcBorders>
              <w:tl2br w:val="nil"/>
              <w:tr2bl w:val="nil"/>
            </w:tcBorders>
            <w:vAlign w:val="center"/>
          </w:tcPr>
          <w:p w14:paraId="2B3DA03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35DBF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189306D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15FCDC0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脱硫系统</w:t>
            </w:r>
          </w:p>
        </w:tc>
        <w:tc>
          <w:tcPr>
            <w:tcW w:w="2418" w:type="pct"/>
            <w:gridSpan w:val="2"/>
            <w:tcBorders>
              <w:tl2br w:val="nil"/>
              <w:tr2bl w:val="nil"/>
            </w:tcBorders>
            <w:vAlign w:val="center"/>
          </w:tcPr>
          <w:p w14:paraId="74D6079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脱硫</w:t>
            </w:r>
            <w:r>
              <w:rPr>
                <w:rFonts w:hint="eastAsia" w:ascii="Times New Roman" w:hAnsi="Times New Roman" w:cs="Times New Roman"/>
                <w:color w:val="auto"/>
                <w:sz w:val="21"/>
                <w:szCs w:val="21"/>
                <w:highlight w:val="none"/>
                <w:lang w:val="en-US" w:eastAsia="zh-CN"/>
              </w:rPr>
              <w:t>副产物暂存于脱硫副产物间</w:t>
            </w:r>
            <w:r>
              <w:rPr>
                <w:rFonts w:hint="eastAsia"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集中收集外售综合利用。</w:t>
            </w:r>
          </w:p>
        </w:tc>
        <w:tc>
          <w:tcPr>
            <w:tcW w:w="1710" w:type="pct"/>
            <w:vMerge w:val="continue"/>
            <w:tcBorders>
              <w:tl2br w:val="nil"/>
              <w:tr2bl w:val="nil"/>
            </w:tcBorders>
            <w:vAlign w:val="center"/>
          </w:tcPr>
          <w:p w14:paraId="37AB307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499C4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47DDA33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27162E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水处理系统</w:t>
            </w:r>
          </w:p>
        </w:tc>
        <w:tc>
          <w:tcPr>
            <w:tcW w:w="2418" w:type="pct"/>
            <w:gridSpan w:val="2"/>
            <w:tcBorders>
              <w:tl2br w:val="nil"/>
              <w:tr2bl w:val="nil"/>
            </w:tcBorders>
            <w:vAlign w:val="center"/>
          </w:tcPr>
          <w:p w14:paraId="1D23AAE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废离子交换树脂由更换厂家回收，不在厂区贮存。</w:t>
            </w:r>
          </w:p>
        </w:tc>
        <w:tc>
          <w:tcPr>
            <w:tcW w:w="1710" w:type="pct"/>
            <w:vMerge w:val="continue"/>
            <w:tcBorders>
              <w:tl2br w:val="nil"/>
              <w:tr2bl w:val="nil"/>
            </w:tcBorders>
            <w:vAlign w:val="center"/>
          </w:tcPr>
          <w:p w14:paraId="18C5DE2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2D0A1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14AE5F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192FD21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初期雨水收集池</w:t>
            </w:r>
            <w:r>
              <w:rPr>
                <w:rFonts w:hint="eastAsia" w:ascii="Times New Roman" w:hAnsi="Times New Roman" w:cs="Times New Roman"/>
                <w:color w:val="auto"/>
                <w:sz w:val="21"/>
                <w:szCs w:val="21"/>
                <w:highlight w:val="none"/>
              </w:rPr>
              <w:t>沉渣</w:t>
            </w:r>
          </w:p>
        </w:tc>
        <w:tc>
          <w:tcPr>
            <w:tcW w:w="2418" w:type="pct"/>
            <w:gridSpan w:val="2"/>
            <w:tcBorders>
              <w:tl2br w:val="nil"/>
              <w:tr2bl w:val="nil"/>
            </w:tcBorders>
            <w:vAlign w:val="center"/>
          </w:tcPr>
          <w:p w14:paraId="31E9B84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rPr>
              <w:t>沉渣定期清掏作为燃料入炉燃烧</w:t>
            </w:r>
            <w:r>
              <w:rPr>
                <w:rFonts w:hint="eastAsia" w:ascii="Times New Roman" w:hAnsi="Times New Roman"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不在厂区贮存。</w:t>
            </w:r>
          </w:p>
        </w:tc>
        <w:tc>
          <w:tcPr>
            <w:tcW w:w="1710" w:type="pct"/>
            <w:vMerge w:val="continue"/>
            <w:tcBorders>
              <w:tl2br w:val="nil"/>
              <w:tr2bl w:val="nil"/>
            </w:tcBorders>
            <w:vAlign w:val="center"/>
          </w:tcPr>
          <w:p w14:paraId="17EE857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3C72C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65" w:type="pct"/>
            <w:vMerge w:val="continue"/>
            <w:tcBorders>
              <w:tl2br w:val="nil"/>
              <w:tr2bl w:val="nil"/>
            </w:tcBorders>
            <w:vAlign w:val="center"/>
          </w:tcPr>
          <w:p w14:paraId="56AA34C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053A063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脱硝系统</w:t>
            </w:r>
          </w:p>
        </w:tc>
        <w:tc>
          <w:tcPr>
            <w:tcW w:w="2418" w:type="pct"/>
            <w:gridSpan w:val="2"/>
            <w:tcBorders>
              <w:tl2br w:val="nil"/>
              <w:tr2bl w:val="nil"/>
            </w:tcBorders>
            <w:vAlign w:val="center"/>
          </w:tcPr>
          <w:p w14:paraId="527F2B8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废脱硝催化剂属于危险废物，厂家定期更换，委托有资质单位拉运、处置，不在厂区暂存。</w:t>
            </w:r>
          </w:p>
        </w:tc>
        <w:tc>
          <w:tcPr>
            <w:tcW w:w="1710" w:type="pct"/>
            <w:vMerge w:val="restart"/>
            <w:tcBorders>
              <w:tl2br w:val="nil"/>
              <w:tr2bl w:val="nil"/>
            </w:tcBorders>
            <w:vAlign w:val="center"/>
          </w:tcPr>
          <w:p w14:paraId="13295BB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委托有危废处理资质单位进行处理，</w:t>
            </w:r>
            <w:r>
              <w:rPr>
                <w:rFonts w:hint="eastAsia" w:ascii="Times New Roman" w:hAnsi="Times New Roman" w:cs="Times New Roman"/>
                <w:color w:val="auto"/>
                <w:sz w:val="21"/>
                <w:szCs w:val="21"/>
                <w:highlight w:val="none"/>
              </w:rPr>
              <w:t>处置率100%</w:t>
            </w:r>
            <w:r>
              <w:rPr>
                <w:rFonts w:hint="eastAsia"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rPr>
              <w:t>《危险废物贮存污染控制标准》（GB18597-20</w:t>
            </w:r>
            <w:r>
              <w:rPr>
                <w:rFonts w:hint="eastAsia" w:ascii="Times New Roman" w:hAnsi="Times New Roman" w:cs="Times New Roman"/>
                <w:color w:val="auto"/>
                <w:sz w:val="21"/>
                <w:szCs w:val="21"/>
                <w:highlight w:val="none"/>
                <w:lang w:val="en-US" w:eastAsia="zh-CN"/>
              </w:rPr>
              <w:t>23</w:t>
            </w:r>
            <w:r>
              <w:rPr>
                <w:rFonts w:hint="default" w:ascii="Times New Roman" w:hAnsi="Times New Roman" w:cs="Times New Roman"/>
                <w:color w:val="auto"/>
                <w:sz w:val="21"/>
                <w:szCs w:val="21"/>
                <w:highlight w:val="none"/>
              </w:rPr>
              <w:t>）</w:t>
            </w:r>
          </w:p>
        </w:tc>
      </w:tr>
      <w:tr w14:paraId="368C2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65" w:type="pct"/>
            <w:vMerge w:val="continue"/>
            <w:tcBorders>
              <w:tl2br w:val="nil"/>
              <w:tr2bl w:val="nil"/>
            </w:tcBorders>
            <w:vAlign w:val="center"/>
          </w:tcPr>
          <w:p w14:paraId="2BCB3D2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c>
          <w:tcPr>
            <w:tcW w:w="605" w:type="pct"/>
            <w:tcBorders>
              <w:tl2br w:val="nil"/>
              <w:tr2bl w:val="nil"/>
            </w:tcBorders>
            <w:vAlign w:val="center"/>
          </w:tcPr>
          <w:p w14:paraId="58091CD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设备维修</w:t>
            </w:r>
          </w:p>
        </w:tc>
        <w:tc>
          <w:tcPr>
            <w:tcW w:w="2418" w:type="pct"/>
            <w:gridSpan w:val="2"/>
            <w:tcBorders>
              <w:tl2br w:val="nil"/>
              <w:tr2bl w:val="nil"/>
            </w:tcBorders>
            <w:vAlign w:val="center"/>
          </w:tcPr>
          <w:p w14:paraId="5572E28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设备维修产生的废矿物油由</w:t>
            </w:r>
            <w:r>
              <w:rPr>
                <w:rFonts w:hint="eastAsia" w:ascii="Times New Roman" w:hAnsi="Times New Roman" w:cs="Times New Roman"/>
                <w:color w:val="auto"/>
                <w:sz w:val="21"/>
                <w:szCs w:val="21"/>
                <w:highlight w:val="none"/>
                <w:lang w:val="en-GB"/>
              </w:rPr>
              <w:t>危废</w:t>
            </w:r>
            <w:r>
              <w:rPr>
                <w:rFonts w:hint="eastAsia" w:ascii="Times New Roman" w:hAnsi="Times New Roman" w:cs="Times New Roman"/>
                <w:color w:val="auto"/>
                <w:sz w:val="21"/>
                <w:szCs w:val="21"/>
                <w:highlight w:val="none"/>
                <w:lang w:eastAsia="zh-CN"/>
              </w:rPr>
              <w:t>贮存点</w:t>
            </w:r>
            <w:r>
              <w:rPr>
                <w:rFonts w:hint="eastAsia" w:ascii="Times New Roman" w:hAnsi="Times New Roman" w:cs="Times New Roman"/>
                <w:color w:val="auto"/>
                <w:sz w:val="21"/>
                <w:szCs w:val="21"/>
                <w:highlight w:val="none"/>
              </w:rPr>
              <w:t>暂存后委托有危废处理资质的单位</w:t>
            </w:r>
            <w:r>
              <w:rPr>
                <w:rFonts w:hint="eastAsia" w:ascii="Times New Roman" w:hAnsi="Times New Roman" w:cs="Times New Roman"/>
                <w:color w:val="auto"/>
                <w:sz w:val="21"/>
                <w:szCs w:val="21"/>
                <w:highlight w:val="none"/>
                <w:lang w:val="en-GB"/>
              </w:rPr>
              <w:t>统一处理</w:t>
            </w:r>
          </w:p>
        </w:tc>
        <w:tc>
          <w:tcPr>
            <w:tcW w:w="1710" w:type="pct"/>
            <w:vMerge w:val="continue"/>
            <w:tcBorders>
              <w:tl2br w:val="nil"/>
              <w:tr2bl w:val="nil"/>
            </w:tcBorders>
            <w:vAlign w:val="center"/>
          </w:tcPr>
          <w:p w14:paraId="6F8AD89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p>
        </w:tc>
      </w:tr>
      <w:tr w14:paraId="5ACF6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1" w:type="pct"/>
            <w:gridSpan w:val="2"/>
            <w:tcBorders>
              <w:tl2br w:val="nil"/>
              <w:tr2bl w:val="nil"/>
            </w:tcBorders>
            <w:vAlign w:val="center"/>
          </w:tcPr>
          <w:p w14:paraId="4C770F3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环境管理</w:t>
            </w:r>
          </w:p>
        </w:tc>
        <w:tc>
          <w:tcPr>
            <w:tcW w:w="4128" w:type="pct"/>
            <w:gridSpan w:val="3"/>
            <w:tcBorders>
              <w:tl2br w:val="nil"/>
              <w:tr2bl w:val="nil"/>
            </w:tcBorders>
            <w:vAlign w:val="center"/>
          </w:tcPr>
          <w:p w14:paraId="2C306FB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规范化排放口标志，满足《环境保护图形标志—排放口（源）》</w:t>
            </w:r>
          </w:p>
        </w:tc>
      </w:tr>
      <w:tr w14:paraId="2CCE0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71" w:type="pct"/>
            <w:gridSpan w:val="2"/>
            <w:tcBorders>
              <w:tl2br w:val="nil"/>
              <w:tr2bl w:val="nil"/>
            </w:tcBorders>
            <w:vAlign w:val="center"/>
          </w:tcPr>
          <w:p w14:paraId="020AD15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环境风险</w:t>
            </w:r>
          </w:p>
        </w:tc>
        <w:tc>
          <w:tcPr>
            <w:tcW w:w="4128" w:type="pct"/>
            <w:gridSpan w:val="3"/>
            <w:tcBorders>
              <w:tl2br w:val="nil"/>
              <w:tr2bl w:val="nil"/>
            </w:tcBorders>
            <w:vAlign w:val="center"/>
          </w:tcPr>
          <w:p w14:paraId="00FC798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eastAsia"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rPr>
              <w:t>按要求编制</w:t>
            </w:r>
            <w:r>
              <w:rPr>
                <w:rFonts w:hint="eastAsia" w:ascii="Times New Roman" w:hAnsi="Times New Roman" w:cs="Times New Roman"/>
                <w:color w:val="auto"/>
                <w:sz w:val="21"/>
                <w:szCs w:val="21"/>
                <w:highlight w:val="none"/>
                <w:lang w:val="en-US" w:eastAsia="zh-CN"/>
              </w:rPr>
              <w:t>突发环境事件</w:t>
            </w:r>
            <w:r>
              <w:rPr>
                <w:rFonts w:hint="eastAsia" w:ascii="Times New Roman" w:hAnsi="Times New Roman" w:cs="Times New Roman"/>
                <w:color w:val="auto"/>
                <w:sz w:val="21"/>
                <w:szCs w:val="21"/>
                <w:highlight w:val="none"/>
              </w:rPr>
              <w:t>应急预案。</w:t>
            </w:r>
          </w:p>
        </w:tc>
      </w:tr>
    </w:tbl>
    <w:p w14:paraId="732984E2">
      <w:pPr>
        <w:pStyle w:val="7"/>
        <w:spacing w:before="120" w:beforeLines="50" w:after="120" w:afterLines="50"/>
        <w:jc w:val="left"/>
        <w:rPr>
          <w:rFonts w:ascii="Times New Roman" w:hAnsi="Times New Roman" w:cs="Times New Roman"/>
          <w:color w:val="auto"/>
        </w:rPr>
        <w:sectPr>
          <w:pgSz w:w="11906" w:h="16838"/>
          <w:pgMar w:top="1417" w:right="1417" w:bottom="1417" w:left="1417" w:header="1191" w:footer="1191" w:gutter="0"/>
          <w:pgBorders>
            <w:top w:val="none" w:sz="0" w:space="0"/>
            <w:left w:val="none" w:sz="0" w:space="0"/>
            <w:bottom w:val="none" w:sz="0" w:space="0"/>
            <w:right w:val="none" w:sz="0" w:space="0"/>
          </w:pgBorders>
          <w:pgNumType w:fmt="decimal"/>
          <w:cols w:space="0" w:num="1"/>
          <w:docGrid w:linePitch="286" w:charSpace="0"/>
        </w:sectPr>
      </w:pPr>
      <w:bookmarkStart w:id="555" w:name="_Toc8393"/>
    </w:p>
    <w:p w14:paraId="0BC53FB0">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56" w:name="_Toc9337"/>
      <w:bookmarkStart w:id="557" w:name="_Toc27399"/>
      <w:r>
        <w:rPr>
          <w:rFonts w:hint="eastAsia" w:ascii="Times New Roman" w:hAnsi="Times New Roman" w:eastAsia="宋体" w:cs="Times New Roman"/>
          <w:b/>
          <w:bCs/>
          <w:color w:val="auto"/>
        </w:rPr>
        <w:t>9.4 污染物排放总量控制分析</w:t>
      </w:r>
      <w:bookmarkEnd w:id="555"/>
      <w:bookmarkEnd w:id="556"/>
      <w:bookmarkEnd w:id="557"/>
    </w:p>
    <w:p w14:paraId="69B5803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58" w:name="_Toc2831"/>
      <w:bookmarkStart w:id="559" w:name="_Toc8295"/>
      <w:bookmarkStart w:id="560" w:name="_Toc10599"/>
      <w:r>
        <w:rPr>
          <w:rFonts w:hint="eastAsia" w:ascii="Times New Roman" w:hAnsi="Times New Roman" w:eastAsia="宋体" w:cs="Times New Roman"/>
          <w:b/>
          <w:bCs/>
          <w:color w:val="auto"/>
          <w:sz w:val="28"/>
          <w:szCs w:val="28"/>
          <w:lang w:val="en-US" w:eastAsia="zh-CN"/>
        </w:rPr>
        <w:t>9.4.1 总量控制原则</w:t>
      </w:r>
      <w:bookmarkEnd w:id="558"/>
      <w:bookmarkEnd w:id="559"/>
      <w:bookmarkEnd w:id="560"/>
    </w:p>
    <w:p w14:paraId="40780D21">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本项目总量控制应以双鸭山市总量控制规划为目标，将本项目投产前后排放的污染物总量变化情况纳入其所在的区域中，实现区域污染物排放总量控制。</w:t>
      </w:r>
    </w:p>
    <w:p w14:paraId="444C488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61" w:name="_Toc17097"/>
      <w:bookmarkStart w:id="562" w:name="_Toc25401"/>
      <w:bookmarkStart w:id="563" w:name="_Toc4804"/>
      <w:r>
        <w:rPr>
          <w:rFonts w:hint="eastAsia" w:ascii="Times New Roman" w:hAnsi="Times New Roman" w:eastAsia="宋体" w:cs="Times New Roman"/>
          <w:b/>
          <w:bCs/>
          <w:color w:val="auto"/>
          <w:sz w:val="28"/>
          <w:szCs w:val="28"/>
          <w:lang w:val="en-US" w:eastAsia="zh-CN"/>
        </w:rPr>
        <w:t>9.4.2 总量控制因子</w:t>
      </w:r>
      <w:bookmarkEnd w:id="561"/>
      <w:bookmarkEnd w:id="562"/>
      <w:bookmarkEnd w:id="563"/>
    </w:p>
    <w:p w14:paraId="17B1784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根据本项目排污特征和总量要求，确定本项目污染物排放总量控制因子为：SO</w:t>
      </w:r>
      <w:r>
        <w:rPr>
          <w:rFonts w:hint="eastAsia" w:ascii="Times New Roman" w:hAnsi="Times New Roman" w:eastAsia="宋体" w:cs="Times New Roman"/>
          <w:color w:val="auto"/>
          <w:sz w:val="24"/>
          <w:szCs w:val="24"/>
          <w:highlight w:val="none"/>
          <w:vertAlign w:val="subscript"/>
          <w:lang w:val="en-US" w:eastAsia="zh-CN"/>
        </w:rPr>
        <w:t>2</w:t>
      </w:r>
      <w:r>
        <w:rPr>
          <w:rFonts w:hint="eastAsia" w:ascii="Times New Roman" w:hAnsi="Times New Roman" w:eastAsia="宋体" w:cs="Times New Roman"/>
          <w:color w:val="auto"/>
          <w:sz w:val="24"/>
          <w:szCs w:val="24"/>
          <w:highlight w:val="none"/>
          <w:lang w:val="en-US" w:eastAsia="zh-CN"/>
        </w:rPr>
        <w:t>、NO</w:t>
      </w:r>
      <w:r>
        <w:rPr>
          <w:rFonts w:hint="eastAsia" w:ascii="Times New Roman" w:hAnsi="Times New Roman" w:eastAsia="宋体" w:cs="Times New Roman"/>
          <w:color w:val="auto"/>
          <w:sz w:val="24"/>
          <w:szCs w:val="24"/>
          <w:highlight w:val="none"/>
          <w:vertAlign w:val="subscript"/>
          <w:lang w:val="en-US" w:eastAsia="zh-CN"/>
        </w:rPr>
        <w:t>x</w:t>
      </w:r>
      <w:r>
        <w:rPr>
          <w:rFonts w:hint="eastAsia" w:ascii="Times New Roman" w:hAnsi="Times New Roman" w:eastAsia="宋体" w:cs="Times New Roman"/>
          <w:color w:val="auto"/>
          <w:sz w:val="24"/>
          <w:szCs w:val="24"/>
          <w:highlight w:val="none"/>
          <w:lang w:val="en-US" w:eastAsia="zh-CN"/>
        </w:rPr>
        <w:t>、颗粒物、COD和氨氮。</w:t>
      </w:r>
    </w:p>
    <w:p w14:paraId="4024946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64" w:name="_Toc5778"/>
      <w:bookmarkStart w:id="565" w:name="_Toc32044"/>
      <w:bookmarkStart w:id="566" w:name="_Toc15904"/>
      <w:r>
        <w:rPr>
          <w:rFonts w:hint="eastAsia" w:ascii="Times New Roman" w:hAnsi="Times New Roman" w:eastAsia="宋体" w:cs="Times New Roman"/>
          <w:b/>
          <w:bCs/>
          <w:color w:val="auto"/>
          <w:sz w:val="28"/>
          <w:szCs w:val="28"/>
          <w:lang w:val="en-US" w:eastAsia="zh-CN"/>
        </w:rPr>
        <w:t>9.4.3 总量控制指标</w:t>
      </w:r>
      <w:bookmarkEnd w:id="564"/>
      <w:bookmarkEnd w:id="565"/>
      <w:bookmarkEnd w:id="566"/>
    </w:p>
    <w:p w14:paraId="5059D0C3">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9.4.3.1 颗粒物、SO</w:t>
      </w:r>
      <w:r>
        <w:rPr>
          <w:rFonts w:hint="eastAsia" w:ascii="Times New Roman" w:hAnsi="Times New Roman" w:eastAsia="宋体" w:cs="Times New Roman"/>
          <w:b/>
          <w:bCs w:val="0"/>
          <w:color w:val="auto"/>
          <w:sz w:val="24"/>
          <w:szCs w:val="24"/>
          <w:vertAlign w:val="subscript"/>
          <w:lang w:val="en-US" w:eastAsia="zh-CN"/>
        </w:rPr>
        <w:t>2</w:t>
      </w:r>
      <w:r>
        <w:rPr>
          <w:rFonts w:hint="eastAsia" w:ascii="Times New Roman" w:hAnsi="Times New Roman" w:eastAsia="宋体" w:cs="Times New Roman"/>
          <w:b/>
          <w:bCs w:val="0"/>
          <w:color w:val="auto"/>
          <w:sz w:val="24"/>
          <w:szCs w:val="24"/>
          <w:lang w:val="en-US" w:eastAsia="zh-CN"/>
        </w:rPr>
        <w:t>、NO</w:t>
      </w:r>
      <w:r>
        <w:rPr>
          <w:rFonts w:hint="eastAsia" w:ascii="Times New Roman" w:hAnsi="Times New Roman" w:eastAsia="宋体" w:cs="Times New Roman"/>
          <w:b/>
          <w:bCs w:val="0"/>
          <w:color w:val="auto"/>
          <w:sz w:val="24"/>
          <w:szCs w:val="24"/>
          <w:vertAlign w:val="subscript"/>
          <w:lang w:val="en-US" w:eastAsia="zh-CN"/>
        </w:rPr>
        <w:t>x</w:t>
      </w:r>
      <w:r>
        <w:rPr>
          <w:rFonts w:hint="eastAsia" w:ascii="Times New Roman" w:hAnsi="Times New Roman" w:eastAsia="宋体" w:cs="Times New Roman"/>
          <w:b/>
          <w:bCs w:val="0"/>
          <w:color w:val="auto"/>
          <w:sz w:val="24"/>
          <w:szCs w:val="24"/>
          <w:lang w:val="en-US" w:eastAsia="zh-CN"/>
        </w:rPr>
        <w:t>总量控制指标</w:t>
      </w:r>
    </w:p>
    <w:p w14:paraId="786005E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1、厂区现有工程总量控制指标</w:t>
      </w:r>
    </w:p>
    <w:p w14:paraId="1F9FFABC">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依据运营单位黑龙江省八五二农场横林供热供水管理站</w:t>
      </w:r>
      <w:r>
        <w:rPr>
          <w:rFonts w:hint="eastAsia" w:ascii="Times New Roman" w:hAnsi="Times New Roman" w:eastAsia="宋体" w:cs="Times New Roman"/>
          <w:color w:val="auto"/>
          <w:sz w:val="24"/>
          <w:szCs w:val="24"/>
          <w:highlight w:val="none"/>
          <w:lang w:val="zh-CN" w:eastAsia="zh-CN"/>
        </w:rPr>
        <w:t>排污许可证，证书编号912</w:t>
      </w:r>
      <w:r>
        <w:rPr>
          <w:rFonts w:hint="eastAsia" w:ascii="Times New Roman" w:hAnsi="Times New Roman" w:eastAsia="宋体" w:cs="Times New Roman"/>
          <w:color w:val="auto"/>
          <w:sz w:val="24"/>
          <w:szCs w:val="24"/>
          <w:highlight w:val="none"/>
          <w:lang w:val="en-US" w:eastAsia="zh-CN"/>
        </w:rPr>
        <w:t>33002695209889W001V</w:t>
      </w:r>
      <w:r>
        <w:rPr>
          <w:rFonts w:hint="eastAsia" w:ascii="Times New Roman" w:hAnsi="Times New Roman" w:eastAsia="宋体" w:cs="Times New Roman"/>
          <w:color w:val="auto"/>
          <w:sz w:val="24"/>
          <w:szCs w:val="24"/>
          <w:highlight w:val="none"/>
          <w:lang w:val="zh-CN" w:eastAsia="zh-CN"/>
        </w:rPr>
        <w:t>，</w:t>
      </w:r>
      <w:r>
        <w:rPr>
          <w:rFonts w:hint="eastAsia" w:ascii="Times New Roman" w:hAnsi="Times New Roman" w:eastAsia="宋体" w:cs="Times New Roman"/>
          <w:color w:val="auto"/>
          <w:sz w:val="24"/>
          <w:szCs w:val="24"/>
          <w:highlight w:val="none"/>
          <w:lang w:val="en-US" w:eastAsia="zh-CN"/>
        </w:rPr>
        <w:t>有效期自2025年08月06日至2030年08月05日</w:t>
      </w:r>
      <w:r>
        <w:rPr>
          <w:rFonts w:hint="default" w:ascii="Times New Roman" w:hAnsi="Times New Roman" w:eastAsia="宋体" w:cs="Times New Roman"/>
          <w:color w:val="auto"/>
          <w:sz w:val="24"/>
          <w:szCs w:val="24"/>
          <w:highlight w:val="none"/>
          <w:lang w:val="en-US" w:eastAsia="zh-CN"/>
        </w:rPr>
        <w:t>总量要求：有组织排放颗粒物</w:t>
      </w:r>
      <w:r>
        <w:rPr>
          <w:rFonts w:hint="eastAsia" w:ascii="Times New Roman" w:hAnsi="Times New Roman" w:eastAsia="宋体" w:cs="Times New Roman"/>
          <w:color w:val="auto"/>
          <w:sz w:val="24"/>
          <w:szCs w:val="24"/>
          <w:highlight w:val="none"/>
          <w:lang w:val="en-US" w:eastAsia="zh-CN"/>
        </w:rPr>
        <w:t>25.09</w:t>
      </w:r>
      <w:r>
        <w:rPr>
          <w:rFonts w:hint="default" w:ascii="Times New Roman" w:hAnsi="Times New Roman" w:eastAsia="宋体" w:cs="Times New Roman"/>
          <w:color w:val="auto"/>
          <w:sz w:val="24"/>
          <w:szCs w:val="24"/>
          <w:highlight w:val="none"/>
          <w:lang w:val="en-US" w:eastAsia="zh-CN"/>
        </w:rPr>
        <w:t>t/a、二氧化硫</w:t>
      </w:r>
      <w:r>
        <w:rPr>
          <w:rFonts w:hint="eastAsia" w:ascii="Times New Roman" w:hAnsi="Times New Roman" w:eastAsia="宋体" w:cs="Times New Roman"/>
          <w:color w:val="auto"/>
          <w:sz w:val="24"/>
          <w:szCs w:val="24"/>
          <w:highlight w:val="none"/>
          <w:lang w:val="en-US" w:eastAsia="zh-CN"/>
        </w:rPr>
        <w:t>100.36</w:t>
      </w:r>
      <w:r>
        <w:rPr>
          <w:rFonts w:hint="default" w:ascii="Times New Roman" w:hAnsi="Times New Roman" w:eastAsia="宋体" w:cs="Times New Roman"/>
          <w:color w:val="auto"/>
          <w:sz w:val="24"/>
          <w:szCs w:val="24"/>
          <w:highlight w:val="none"/>
          <w:lang w:val="en-US" w:eastAsia="zh-CN"/>
        </w:rPr>
        <w:t>t/a、氮氧化物</w:t>
      </w:r>
      <w:r>
        <w:rPr>
          <w:rFonts w:hint="eastAsia" w:ascii="Times New Roman" w:hAnsi="Times New Roman" w:eastAsia="宋体" w:cs="Times New Roman"/>
          <w:color w:val="auto"/>
          <w:sz w:val="24"/>
          <w:szCs w:val="24"/>
          <w:highlight w:val="none"/>
          <w:lang w:val="en-US" w:eastAsia="zh-CN"/>
        </w:rPr>
        <w:t>125.45</w:t>
      </w:r>
      <w:r>
        <w:rPr>
          <w:rFonts w:hint="default" w:ascii="Times New Roman" w:hAnsi="Times New Roman" w:eastAsia="宋体" w:cs="Times New Roman"/>
          <w:color w:val="auto"/>
          <w:sz w:val="24"/>
          <w:szCs w:val="24"/>
          <w:highlight w:val="none"/>
          <w:lang w:val="en-US" w:eastAsia="zh-CN"/>
        </w:rPr>
        <w:t>t/a。</w:t>
      </w:r>
      <w:r>
        <w:rPr>
          <w:rFonts w:hint="eastAsia" w:ascii="Times New Roman" w:hAnsi="Times New Roman" w:eastAsia="宋体" w:cs="Times New Roman"/>
          <w:color w:val="auto"/>
          <w:sz w:val="24"/>
          <w:szCs w:val="24"/>
          <w:highlight w:val="none"/>
          <w:lang w:val="en-US" w:eastAsia="zh-CN"/>
        </w:rPr>
        <w:t>许可排放总量详见表9.4-1。</w:t>
      </w:r>
    </w:p>
    <w:p w14:paraId="79EC294F">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eastAsia="zh-CN"/>
        </w:rPr>
      </w:pPr>
      <w:r>
        <w:rPr>
          <w:rFonts w:hint="default" w:ascii="Times New Roman" w:hAnsi="Times New Roman" w:eastAsia="宋体" w:cs="Times New Roman"/>
          <w:b/>
          <w:bCs/>
          <w:color w:val="auto"/>
          <w:sz w:val="24"/>
          <w:szCs w:val="24"/>
          <w:lang w:eastAsia="zh-CN"/>
        </w:rPr>
        <w:t>表9.4-1  厂区现有工程许可排放总量一览表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88"/>
        <w:gridCol w:w="4734"/>
      </w:tblGrid>
      <w:tr w14:paraId="452DC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22" w:type="pct"/>
            <w:tcBorders>
              <w:tl2br w:val="nil"/>
              <w:tr2bl w:val="nil"/>
            </w:tcBorders>
            <w:vAlign w:val="center"/>
          </w:tcPr>
          <w:p w14:paraId="0A2090A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总量指标（t/a）</w:t>
            </w:r>
          </w:p>
        </w:tc>
        <w:tc>
          <w:tcPr>
            <w:tcW w:w="2777" w:type="pct"/>
            <w:tcBorders>
              <w:tl2br w:val="nil"/>
              <w:tr2bl w:val="nil"/>
            </w:tcBorders>
            <w:vAlign w:val="center"/>
          </w:tcPr>
          <w:p w14:paraId="4095B9B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全厂总量指标</w:t>
            </w:r>
          </w:p>
        </w:tc>
      </w:tr>
      <w:tr w14:paraId="473DD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22" w:type="pct"/>
            <w:tcBorders>
              <w:tl2br w:val="nil"/>
              <w:tr2bl w:val="nil"/>
            </w:tcBorders>
            <w:vAlign w:val="center"/>
          </w:tcPr>
          <w:p w14:paraId="7914CD3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GB" w:eastAsia="zh-CN"/>
              </w:rPr>
              <w:t>颗粒物</w:t>
            </w:r>
          </w:p>
        </w:tc>
        <w:tc>
          <w:tcPr>
            <w:tcW w:w="2777" w:type="pct"/>
            <w:tcBorders>
              <w:tl2br w:val="nil"/>
              <w:tr2bl w:val="nil"/>
            </w:tcBorders>
            <w:vAlign w:val="center"/>
          </w:tcPr>
          <w:p w14:paraId="384F361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US" w:eastAsia="zh-CN"/>
              </w:rPr>
              <w:t>25.09</w:t>
            </w:r>
          </w:p>
        </w:tc>
      </w:tr>
      <w:tr w14:paraId="7FAA6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22" w:type="pct"/>
            <w:tcBorders>
              <w:tl2br w:val="nil"/>
              <w:tr2bl w:val="nil"/>
            </w:tcBorders>
            <w:vAlign w:val="center"/>
          </w:tcPr>
          <w:p w14:paraId="3D6EA81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SO</w:t>
            </w:r>
            <w:r>
              <w:rPr>
                <w:rFonts w:hint="default" w:ascii="Times New Roman" w:hAnsi="Times New Roman" w:cs="Times New Roman"/>
                <w:color w:val="auto"/>
                <w:sz w:val="21"/>
                <w:szCs w:val="21"/>
                <w:highlight w:val="none"/>
                <w:vertAlign w:val="subscript"/>
                <w:lang w:val="en-GB" w:eastAsia="zh-CN"/>
              </w:rPr>
              <w:t>2</w:t>
            </w:r>
          </w:p>
        </w:tc>
        <w:tc>
          <w:tcPr>
            <w:tcW w:w="2777" w:type="pct"/>
            <w:tcBorders>
              <w:tl2br w:val="nil"/>
              <w:tr2bl w:val="nil"/>
            </w:tcBorders>
            <w:vAlign w:val="center"/>
          </w:tcPr>
          <w:p w14:paraId="088AC4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US" w:eastAsia="zh-CN"/>
              </w:rPr>
              <w:t>100.36</w:t>
            </w:r>
          </w:p>
        </w:tc>
      </w:tr>
      <w:tr w14:paraId="0A1D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22" w:type="pct"/>
            <w:tcBorders>
              <w:tl2br w:val="nil"/>
              <w:tr2bl w:val="nil"/>
            </w:tcBorders>
            <w:vAlign w:val="center"/>
          </w:tcPr>
          <w:p w14:paraId="08153B5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default" w:ascii="Times New Roman" w:hAnsi="Times New Roman" w:cs="Times New Roman"/>
                <w:color w:val="auto"/>
                <w:sz w:val="21"/>
                <w:szCs w:val="21"/>
                <w:highlight w:val="none"/>
                <w:lang w:val="en-GB" w:eastAsia="zh-CN"/>
              </w:rPr>
              <w:t>NO</w:t>
            </w:r>
            <w:r>
              <w:rPr>
                <w:rFonts w:hint="default" w:ascii="Times New Roman" w:hAnsi="Times New Roman" w:cs="Times New Roman"/>
                <w:color w:val="auto"/>
                <w:sz w:val="21"/>
                <w:szCs w:val="21"/>
                <w:highlight w:val="none"/>
                <w:vertAlign w:val="subscript"/>
                <w:lang w:val="en-GB" w:eastAsia="zh-CN"/>
              </w:rPr>
              <w:t>x</w:t>
            </w:r>
          </w:p>
        </w:tc>
        <w:tc>
          <w:tcPr>
            <w:tcW w:w="2777" w:type="pct"/>
            <w:tcBorders>
              <w:tl2br w:val="nil"/>
              <w:tr2bl w:val="nil"/>
            </w:tcBorders>
            <w:vAlign w:val="center"/>
          </w:tcPr>
          <w:p w14:paraId="5B3918A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GB" w:eastAsia="zh-CN"/>
              </w:rPr>
            </w:pPr>
            <w:r>
              <w:rPr>
                <w:rFonts w:hint="eastAsia" w:ascii="Times New Roman" w:hAnsi="Times New Roman" w:cs="Times New Roman"/>
                <w:color w:val="auto"/>
                <w:sz w:val="21"/>
                <w:szCs w:val="21"/>
                <w:highlight w:val="none"/>
                <w:lang w:val="en-US" w:eastAsia="zh-CN"/>
              </w:rPr>
              <w:t>125.45</w:t>
            </w:r>
          </w:p>
        </w:tc>
      </w:tr>
    </w:tbl>
    <w:p w14:paraId="32992E57">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2、本项目污染物排放总量核定</w:t>
      </w:r>
    </w:p>
    <w:p w14:paraId="0BEC692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根据前文，本项目源强核算依据</w:t>
      </w:r>
      <w:r>
        <w:rPr>
          <w:rFonts w:hint="default" w:ascii="Times New Roman" w:hAnsi="Times New Roman" w:eastAsia="宋体" w:cs="Times New Roman"/>
          <w:color w:val="auto"/>
          <w:sz w:val="24"/>
          <w:szCs w:val="24"/>
          <w:highlight w:val="none"/>
          <w:lang w:val="en-US" w:eastAsia="zh-CN"/>
        </w:rPr>
        <w:t xml:space="preserve">《污染源源强核算技术指南 </w:t>
      </w:r>
      <w:r>
        <w:rPr>
          <w:rFonts w:hint="eastAsia" w:ascii="Times New Roman" w:hAnsi="Times New Roman" w:eastAsia="宋体" w:cs="Times New Roman"/>
          <w:color w:val="auto"/>
          <w:sz w:val="24"/>
          <w:szCs w:val="24"/>
          <w:highlight w:val="none"/>
          <w:lang w:val="en-US" w:eastAsia="zh-CN"/>
        </w:rPr>
        <w:t xml:space="preserve"> </w:t>
      </w:r>
      <w:r>
        <w:rPr>
          <w:rFonts w:hint="default" w:ascii="Times New Roman" w:hAnsi="Times New Roman" w:eastAsia="宋体" w:cs="Times New Roman"/>
          <w:color w:val="auto"/>
          <w:sz w:val="24"/>
          <w:szCs w:val="24"/>
          <w:highlight w:val="none"/>
          <w:lang w:val="en-US" w:eastAsia="zh-CN"/>
        </w:rPr>
        <w:t>锅炉》（HJ991-2018）进行计算</w:t>
      </w:r>
      <w:r>
        <w:rPr>
          <w:rFonts w:hint="eastAsia" w:ascii="Times New Roman" w:hAnsi="Times New Roman" w:eastAsia="宋体" w:cs="Times New Roman"/>
          <w:color w:val="auto"/>
          <w:sz w:val="24"/>
          <w:szCs w:val="24"/>
          <w:highlight w:val="none"/>
          <w:lang w:val="en-US" w:eastAsia="zh-CN"/>
        </w:rPr>
        <w:t>。通过计算，本项目锅炉烟气预测排放量颗粒物6.990t/a、</w:t>
      </w:r>
      <w:r>
        <w:rPr>
          <w:rFonts w:hint="default" w:ascii="Times New Roman" w:hAnsi="Times New Roman" w:eastAsia="宋体" w:cs="Times New Roman"/>
          <w:color w:val="auto"/>
          <w:sz w:val="24"/>
          <w:szCs w:val="24"/>
          <w:highlight w:val="none"/>
          <w:lang w:val="en-US" w:eastAsia="zh-CN"/>
        </w:rPr>
        <w:t>二氧化硫</w:t>
      </w:r>
      <w:r>
        <w:rPr>
          <w:rFonts w:hint="eastAsia" w:ascii="Times New Roman" w:hAnsi="Times New Roman" w:eastAsia="宋体" w:cs="Times New Roman"/>
          <w:color w:val="auto"/>
          <w:sz w:val="24"/>
          <w:szCs w:val="24"/>
          <w:highlight w:val="none"/>
          <w:lang w:val="en-US" w:eastAsia="zh-CN"/>
        </w:rPr>
        <w:t>11.388</w:t>
      </w:r>
      <w:r>
        <w:rPr>
          <w:rFonts w:hint="default" w:ascii="Times New Roman" w:hAnsi="Times New Roman" w:eastAsia="宋体" w:cs="Times New Roman"/>
          <w:color w:val="auto"/>
          <w:sz w:val="24"/>
          <w:szCs w:val="24"/>
          <w:highlight w:val="none"/>
          <w:lang w:val="en-US" w:eastAsia="zh-CN"/>
        </w:rPr>
        <w:t>t/a、氮氧化物</w:t>
      </w:r>
      <w:r>
        <w:rPr>
          <w:rFonts w:hint="eastAsia" w:ascii="Times New Roman" w:hAnsi="Times New Roman" w:eastAsia="宋体" w:cs="Times New Roman"/>
          <w:color w:val="auto"/>
          <w:sz w:val="24"/>
          <w:szCs w:val="24"/>
          <w:highlight w:val="none"/>
          <w:lang w:val="en-US" w:eastAsia="zh-CN"/>
        </w:rPr>
        <w:t>54.422</w:t>
      </w:r>
      <w:r>
        <w:rPr>
          <w:rFonts w:hint="default" w:ascii="Times New Roman" w:hAnsi="Times New Roman" w:eastAsia="宋体" w:cs="Times New Roman"/>
          <w:color w:val="auto"/>
          <w:sz w:val="24"/>
          <w:szCs w:val="24"/>
          <w:highlight w:val="none"/>
          <w:lang w:val="en-US" w:eastAsia="zh-CN"/>
        </w:rPr>
        <w:t>t/a。</w:t>
      </w:r>
      <w:r>
        <w:rPr>
          <w:rFonts w:hint="eastAsia" w:ascii="Times New Roman" w:hAnsi="Times New Roman" w:eastAsia="宋体" w:cs="Times New Roman"/>
          <w:color w:val="auto"/>
          <w:sz w:val="24"/>
          <w:szCs w:val="24"/>
          <w:highlight w:val="none"/>
          <w:lang w:val="en-US" w:eastAsia="zh-CN"/>
        </w:rPr>
        <w:t>核定排放量为颗粒物15.55t/a、</w:t>
      </w:r>
      <w:r>
        <w:rPr>
          <w:rFonts w:hint="default" w:ascii="Times New Roman" w:hAnsi="Times New Roman" w:eastAsia="宋体" w:cs="Times New Roman"/>
          <w:color w:val="auto"/>
          <w:sz w:val="24"/>
          <w:szCs w:val="24"/>
          <w:highlight w:val="none"/>
          <w:lang w:val="en-US" w:eastAsia="zh-CN"/>
        </w:rPr>
        <w:t>二氧化硫</w:t>
      </w:r>
      <w:r>
        <w:rPr>
          <w:rFonts w:hint="eastAsia" w:ascii="Times New Roman" w:hAnsi="Times New Roman" w:eastAsia="宋体" w:cs="Times New Roman"/>
          <w:color w:val="auto"/>
          <w:sz w:val="24"/>
          <w:szCs w:val="24"/>
          <w:highlight w:val="none"/>
          <w:lang w:val="en-US" w:eastAsia="zh-CN"/>
        </w:rPr>
        <w:t>74.64</w:t>
      </w:r>
      <w:r>
        <w:rPr>
          <w:rFonts w:hint="default" w:ascii="Times New Roman" w:hAnsi="Times New Roman" w:eastAsia="宋体" w:cs="Times New Roman"/>
          <w:color w:val="auto"/>
          <w:sz w:val="24"/>
          <w:szCs w:val="24"/>
          <w:highlight w:val="none"/>
          <w:lang w:val="en-US" w:eastAsia="zh-CN"/>
        </w:rPr>
        <w:t>t/a、氮氧化物</w:t>
      </w:r>
      <w:r>
        <w:rPr>
          <w:rFonts w:hint="eastAsia" w:ascii="Times New Roman" w:hAnsi="Times New Roman" w:eastAsia="宋体" w:cs="Times New Roman"/>
          <w:color w:val="auto"/>
          <w:sz w:val="24"/>
          <w:szCs w:val="24"/>
          <w:highlight w:val="none"/>
          <w:lang w:val="en-US" w:eastAsia="zh-CN"/>
        </w:rPr>
        <w:t>93.30</w:t>
      </w:r>
      <w:r>
        <w:rPr>
          <w:rFonts w:hint="default" w:ascii="Times New Roman" w:hAnsi="Times New Roman" w:eastAsia="宋体" w:cs="Times New Roman"/>
          <w:color w:val="auto"/>
          <w:sz w:val="24"/>
          <w:szCs w:val="24"/>
          <w:highlight w:val="none"/>
          <w:lang w:val="en-US" w:eastAsia="zh-CN"/>
        </w:rPr>
        <w:t>t/a。</w:t>
      </w:r>
    </w:p>
    <w:p w14:paraId="55701DF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3、主要污染物排放三本账</w:t>
      </w:r>
    </w:p>
    <w:p w14:paraId="13EA107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本项目建成后，全厂主要污染物排放三本账见表9.4</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2。</w:t>
      </w:r>
    </w:p>
    <w:p w14:paraId="3A8140B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3DC53196">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eastAsia" w:ascii="Times New Roman" w:hAnsi="Times New Roman" w:eastAsia="宋体" w:cs="Times New Roman"/>
          <w:b/>
          <w:bCs/>
          <w:color w:val="auto"/>
          <w:sz w:val="24"/>
          <w:szCs w:val="24"/>
          <w:lang w:val="en-US" w:eastAsia="zh-CN"/>
        </w:rPr>
      </w:pPr>
    </w:p>
    <w:p w14:paraId="2C7F9781">
      <w:pPr>
        <w:pStyle w:val="14"/>
        <w:keepNext w:val="0"/>
        <w:keepLines w:val="0"/>
        <w:pageBreakBefore w:val="0"/>
        <w:widowControl w:val="0"/>
        <w:kinsoku/>
        <w:wordWrap/>
        <w:overflowPunct/>
        <w:topLinePunct w:val="0"/>
        <w:autoSpaceDE/>
        <w:autoSpaceDN/>
        <w:bidi w:val="0"/>
        <w:adjustRightInd/>
        <w:snapToGrid/>
        <w:spacing w:after="0" w:afterLines="0" w:line="240" w:lineRule="auto"/>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w:t>
      </w:r>
      <w:r>
        <w:rPr>
          <w:rFonts w:hint="eastAsia" w:ascii="Times New Roman" w:hAnsi="Times New Roman" w:cs="Times New Roman"/>
          <w:b/>
          <w:bCs/>
          <w:color w:val="auto"/>
          <w:sz w:val="24"/>
          <w:szCs w:val="24"/>
          <w:lang w:val="en-US" w:eastAsia="zh-CN"/>
        </w:rPr>
        <w:t>9.4</w:t>
      </w:r>
      <w:r>
        <w:rPr>
          <w:rFonts w:hint="default" w:ascii="Times New Roman" w:hAnsi="Times New Roman" w:eastAsia="宋体" w:cs="Times New Roman"/>
          <w:b/>
          <w:bCs/>
          <w:color w:val="auto"/>
          <w:sz w:val="24"/>
          <w:szCs w:val="24"/>
          <w:lang w:val="en-US" w:eastAsia="zh-CN"/>
        </w:rPr>
        <w:t>-</w:t>
      </w:r>
      <w:r>
        <w:rPr>
          <w:rFonts w:hint="eastAsia" w:ascii="Times New Roman" w:hAnsi="Times New Roman" w:cs="Times New Roman"/>
          <w:b/>
          <w:bCs/>
          <w:color w:val="auto"/>
          <w:sz w:val="24"/>
          <w:szCs w:val="24"/>
          <w:lang w:val="en-US" w:eastAsia="zh-CN"/>
        </w:rPr>
        <w:t xml:space="preserve">2 </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 xml:space="preserve">全厂主要污染物排放三本账一览表 </w:t>
      </w:r>
      <w:r>
        <w:rPr>
          <w:rFonts w:hint="eastAsia" w:ascii="Times New Roman" w:hAnsi="Times New Roman"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单位：</w:t>
      </w:r>
      <w:r>
        <w:rPr>
          <w:rFonts w:hint="default" w:ascii="Times New Roman" w:hAnsi="Times New Roman" w:eastAsia="宋体" w:cs="Times New Roman"/>
          <w:b/>
          <w:bCs/>
          <w:color w:val="auto"/>
          <w:sz w:val="24"/>
          <w:szCs w:val="24"/>
          <w:lang w:val="en-US" w:eastAsia="zh-CN"/>
        </w:rPr>
        <w:t>t/a</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1064"/>
        <w:gridCol w:w="1325"/>
        <w:gridCol w:w="1228"/>
        <w:gridCol w:w="1325"/>
        <w:gridCol w:w="1311"/>
        <w:gridCol w:w="1396"/>
      </w:tblGrid>
      <w:tr w14:paraId="4EC08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trPr>
        <w:tc>
          <w:tcPr>
            <w:tcW w:w="512" w:type="pct"/>
            <w:vMerge w:val="restart"/>
            <w:tcBorders>
              <w:tl2br w:val="nil"/>
              <w:tr2bl w:val="nil"/>
            </w:tcBorders>
            <w:noWrap w:val="0"/>
            <w:vAlign w:val="center"/>
          </w:tcPr>
          <w:p w14:paraId="1C470EC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预测量</w:t>
            </w:r>
          </w:p>
        </w:tc>
        <w:tc>
          <w:tcPr>
            <w:tcW w:w="624" w:type="pct"/>
            <w:tcBorders>
              <w:tl2br w:val="nil"/>
              <w:tr2bl w:val="nil"/>
            </w:tcBorders>
            <w:noWrap w:val="0"/>
            <w:vAlign w:val="center"/>
          </w:tcPr>
          <w:p w14:paraId="1C6B1E0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污染物</w:t>
            </w:r>
          </w:p>
        </w:tc>
        <w:tc>
          <w:tcPr>
            <w:tcW w:w="777" w:type="pct"/>
            <w:tcBorders>
              <w:tl2br w:val="nil"/>
              <w:tr2bl w:val="nil"/>
            </w:tcBorders>
            <w:noWrap w:val="0"/>
            <w:vAlign w:val="center"/>
          </w:tcPr>
          <w:p w14:paraId="35FC614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现有工程排放量</w:t>
            </w:r>
          </w:p>
        </w:tc>
        <w:tc>
          <w:tcPr>
            <w:tcW w:w="720" w:type="pct"/>
            <w:tcBorders>
              <w:tl2br w:val="nil"/>
              <w:tr2bl w:val="nil"/>
            </w:tcBorders>
            <w:noWrap w:val="0"/>
            <w:vAlign w:val="center"/>
          </w:tcPr>
          <w:p w14:paraId="7B7EA843">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本项目预测排放量</w:t>
            </w:r>
          </w:p>
        </w:tc>
        <w:tc>
          <w:tcPr>
            <w:tcW w:w="777" w:type="pct"/>
            <w:tcBorders>
              <w:tl2br w:val="nil"/>
              <w:tr2bl w:val="nil"/>
            </w:tcBorders>
            <w:noWrap w:val="0"/>
            <w:vAlign w:val="center"/>
          </w:tcPr>
          <w:p w14:paraId="44C1DC9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以新代老削减量</w:t>
            </w:r>
          </w:p>
        </w:tc>
        <w:tc>
          <w:tcPr>
            <w:tcW w:w="769" w:type="pct"/>
            <w:tcBorders>
              <w:tl2br w:val="nil"/>
              <w:tr2bl w:val="nil"/>
            </w:tcBorders>
            <w:noWrap w:val="0"/>
            <w:vAlign w:val="center"/>
          </w:tcPr>
          <w:p w14:paraId="37CE3C76">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全厂预测排放总量</w:t>
            </w:r>
          </w:p>
        </w:tc>
        <w:tc>
          <w:tcPr>
            <w:tcW w:w="818" w:type="pct"/>
            <w:tcBorders>
              <w:tl2br w:val="nil"/>
              <w:tr2bl w:val="nil"/>
            </w:tcBorders>
            <w:noWrap w:val="0"/>
            <w:vAlign w:val="center"/>
          </w:tcPr>
          <w:p w14:paraId="534EC1F2">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变化量</w:t>
            </w:r>
          </w:p>
        </w:tc>
      </w:tr>
      <w:tr w14:paraId="351E3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12" w:type="pct"/>
            <w:vMerge w:val="continue"/>
            <w:tcBorders>
              <w:tl2br w:val="nil"/>
              <w:tr2bl w:val="nil"/>
            </w:tcBorders>
            <w:noWrap w:val="0"/>
            <w:vAlign w:val="center"/>
          </w:tcPr>
          <w:p w14:paraId="2F68633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4" w:type="pct"/>
            <w:tcBorders>
              <w:tl2br w:val="nil"/>
              <w:tr2bl w:val="nil"/>
            </w:tcBorders>
            <w:shd w:val="clear" w:color="auto" w:fill="auto"/>
            <w:noWrap w:val="0"/>
            <w:vAlign w:val="center"/>
          </w:tcPr>
          <w:p w14:paraId="2F5F0B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颗粒物</w:t>
            </w:r>
          </w:p>
        </w:tc>
        <w:tc>
          <w:tcPr>
            <w:tcW w:w="777" w:type="pct"/>
            <w:tcBorders>
              <w:tl2br w:val="nil"/>
              <w:tr2bl w:val="nil"/>
            </w:tcBorders>
            <w:shd w:val="clear" w:color="auto" w:fill="auto"/>
            <w:noWrap w:val="0"/>
            <w:vAlign w:val="center"/>
          </w:tcPr>
          <w:p w14:paraId="79E2C26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6.15495</w:t>
            </w:r>
          </w:p>
        </w:tc>
        <w:tc>
          <w:tcPr>
            <w:tcW w:w="720" w:type="pct"/>
            <w:tcBorders>
              <w:tl2br w:val="nil"/>
              <w:tr2bl w:val="nil"/>
            </w:tcBorders>
            <w:shd w:val="clear" w:color="auto" w:fill="auto"/>
            <w:noWrap w:val="0"/>
            <w:vAlign w:val="center"/>
          </w:tcPr>
          <w:p w14:paraId="1159009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6.990</w:t>
            </w:r>
          </w:p>
        </w:tc>
        <w:tc>
          <w:tcPr>
            <w:tcW w:w="777" w:type="pct"/>
            <w:tcBorders>
              <w:tl2br w:val="nil"/>
              <w:tr2bl w:val="nil"/>
            </w:tcBorders>
            <w:shd w:val="clear" w:color="auto" w:fill="auto"/>
            <w:noWrap w:val="0"/>
            <w:vAlign w:val="center"/>
          </w:tcPr>
          <w:p w14:paraId="3E879CD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6.15495</w:t>
            </w:r>
          </w:p>
        </w:tc>
        <w:tc>
          <w:tcPr>
            <w:tcW w:w="769" w:type="pct"/>
            <w:tcBorders>
              <w:tl2br w:val="nil"/>
              <w:tr2bl w:val="nil"/>
            </w:tcBorders>
            <w:shd w:val="clear" w:color="auto" w:fill="auto"/>
            <w:noWrap w:val="0"/>
            <w:vAlign w:val="center"/>
          </w:tcPr>
          <w:p w14:paraId="764F11C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6.990</w:t>
            </w:r>
          </w:p>
        </w:tc>
        <w:tc>
          <w:tcPr>
            <w:tcW w:w="818" w:type="pct"/>
            <w:tcBorders>
              <w:tl2br w:val="nil"/>
              <w:tr2bl w:val="nil"/>
            </w:tcBorders>
            <w:shd w:val="clear" w:color="auto" w:fill="auto"/>
            <w:noWrap w:val="0"/>
            <w:vAlign w:val="center"/>
          </w:tcPr>
          <w:p w14:paraId="16B9DA6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+0.83505</w:t>
            </w:r>
          </w:p>
        </w:tc>
      </w:tr>
      <w:tr w14:paraId="5362D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12" w:type="pct"/>
            <w:vMerge w:val="continue"/>
            <w:tcBorders>
              <w:tl2br w:val="nil"/>
              <w:tr2bl w:val="nil"/>
            </w:tcBorders>
            <w:noWrap w:val="0"/>
            <w:vAlign w:val="center"/>
          </w:tcPr>
          <w:p w14:paraId="5A36526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4" w:type="pct"/>
            <w:tcBorders>
              <w:tl2br w:val="nil"/>
              <w:tr2bl w:val="nil"/>
            </w:tcBorders>
            <w:shd w:val="clear" w:color="auto" w:fill="auto"/>
            <w:noWrap w:val="0"/>
            <w:vAlign w:val="center"/>
          </w:tcPr>
          <w:p w14:paraId="44F783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zh-CN" w:eastAsia="zh-CN"/>
              </w:rPr>
              <w:t>SO</w:t>
            </w:r>
            <w:r>
              <w:rPr>
                <w:rFonts w:hint="default" w:ascii="Times New Roman" w:hAnsi="Times New Roman" w:cs="Times New Roman"/>
                <w:color w:val="auto"/>
                <w:sz w:val="21"/>
                <w:szCs w:val="21"/>
                <w:highlight w:val="none"/>
                <w:vertAlign w:val="subscript"/>
                <w:lang w:val="zh-CN" w:eastAsia="zh-CN"/>
              </w:rPr>
              <w:t>2</w:t>
            </w:r>
          </w:p>
        </w:tc>
        <w:tc>
          <w:tcPr>
            <w:tcW w:w="777" w:type="pct"/>
            <w:tcBorders>
              <w:tl2br w:val="nil"/>
              <w:tr2bl w:val="nil"/>
            </w:tcBorders>
            <w:shd w:val="clear" w:color="auto" w:fill="auto"/>
            <w:noWrap w:val="0"/>
            <w:vAlign w:val="center"/>
          </w:tcPr>
          <w:p w14:paraId="1058A5B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52.07398</w:t>
            </w:r>
          </w:p>
        </w:tc>
        <w:tc>
          <w:tcPr>
            <w:tcW w:w="720" w:type="pct"/>
            <w:tcBorders>
              <w:tl2br w:val="nil"/>
              <w:tr2bl w:val="nil"/>
            </w:tcBorders>
            <w:shd w:val="clear" w:color="auto" w:fill="auto"/>
            <w:noWrap w:val="0"/>
            <w:vAlign w:val="center"/>
          </w:tcPr>
          <w:p w14:paraId="10F9D78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11.388</w:t>
            </w:r>
          </w:p>
        </w:tc>
        <w:tc>
          <w:tcPr>
            <w:tcW w:w="777" w:type="pct"/>
            <w:tcBorders>
              <w:tl2br w:val="nil"/>
              <w:tr2bl w:val="nil"/>
            </w:tcBorders>
            <w:shd w:val="clear" w:color="auto" w:fill="auto"/>
            <w:noWrap w:val="0"/>
            <w:vAlign w:val="center"/>
          </w:tcPr>
          <w:p w14:paraId="406D9F9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52.07398</w:t>
            </w:r>
          </w:p>
        </w:tc>
        <w:tc>
          <w:tcPr>
            <w:tcW w:w="769" w:type="pct"/>
            <w:tcBorders>
              <w:tl2br w:val="nil"/>
              <w:tr2bl w:val="nil"/>
            </w:tcBorders>
            <w:shd w:val="clear" w:color="auto" w:fill="auto"/>
            <w:noWrap w:val="0"/>
            <w:vAlign w:val="center"/>
          </w:tcPr>
          <w:p w14:paraId="3529ABF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11.388</w:t>
            </w:r>
          </w:p>
        </w:tc>
        <w:tc>
          <w:tcPr>
            <w:tcW w:w="818" w:type="pct"/>
            <w:tcBorders>
              <w:tl2br w:val="nil"/>
              <w:tr2bl w:val="nil"/>
            </w:tcBorders>
            <w:shd w:val="clear" w:color="auto" w:fill="auto"/>
            <w:noWrap w:val="0"/>
            <w:vAlign w:val="center"/>
          </w:tcPr>
          <w:p w14:paraId="6FBD9F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-40.68598</w:t>
            </w:r>
          </w:p>
        </w:tc>
      </w:tr>
      <w:tr w14:paraId="60442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12" w:type="pct"/>
            <w:vMerge w:val="continue"/>
            <w:tcBorders>
              <w:tl2br w:val="nil"/>
              <w:tr2bl w:val="nil"/>
            </w:tcBorders>
            <w:noWrap w:val="0"/>
            <w:vAlign w:val="center"/>
          </w:tcPr>
          <w:p w14:paraId="3B8101C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4" w:type="pct"/>
            <w:tcBorders>
              <w:tl2br w:val="nil"/>
              <w:tr2bl w:val="nil"/>
            </w:tcBorders>
            <w:shd w:val="clear" w:color="auto" w:fill="auto"/>
            <w:noWrap w:val="0"/>
            <w:vAlign w:val="center"/>
          </w:tcPr>
          <w:p w14:paraId="6EFF2F3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zh-CN" w:eastAsia="zh-CN"/>
              </w:rPr>
              <w:t>NO</w:t>
            </w:r>
            <w:r>
              <w:rPr>
                <w:rFonts w:hint="default" w:ascii="Times New Roman" w:hAnsi="Times New Roman" w:cs="Times New Roman"/>
                <w:color w:val="auto"/>
                <w:sz w:val="21"/>
                <w:szCs w:val="21"/>
                <w:highlight w:val="none"/>
                <w:vertAlign w:val="subscript"/>
                <w:lang w:val="zh-CN" w:eastAsia="zh-CN"/>
              </w:rPr>
              <w:t>x</w:t>
            </w:r>
          </w:p>
        </w:tc>
        <w:tc>
          <w:tcPr>
            <w:tcW w:w="777" w:type="pct"/>
            <w:tcBorders>
              <w:tl2br w:val="nil"/>
              <w:tr2bl w:val="nil"/>
            </w:tcBorders>
            <w:shd w:val="clear" w:color="auto" w:fill="auto"/>
            <w:noWrap w:val="0"/>
            <w:vAlign w:val="center"/>
          </w:tcPr>
          <w:p w14:paraId="7C9AF0F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73.13853</w:t>
            </w:r>
          </w:p>
        </w:tc>
        <w:tc>
          <w:tcPr>
            <w:tcW w:w="720" w:type="pct"/>
            <w:tcBorders>
              <w:tl2br w:val="nil"/>
              <w:tr2bl w:val="nil"/>
            </w:tcBorders>
            <w:shd w:val="clear" w:color="auto" w:fill="auto"/>
            <w:noWrap w:val="0"/>
            <w:vAlign w:val="center"/>
          </w:tcPr>
          <w:p w14:paraId="4F9AD1FD">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43.401</w:t>
            </w:r>
          </w:p>
        </w:tc>
        <w:tc>
          <w:tcPr>
            <w:tcW w:w="777" w:type="pct"/>
            <w:tcBorders>
              <w:tl2br w:val="nil"/>
              <w:tr2bl w:val="nil"/>
            </w:tcBorders>
            <w:shd w:val="clear" w:color="auto" w:fill="auto"/>
            <w:noWrap w:val="0"/>
            <w:vAlign w:val="center"/>
          </w:tcPr>
          <w:p w14:paraId="65B29D5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73.13853</w:t>
            </w:r>
          </w:p>
        </w:tc>
        <w:tc>
          <w:tcPr>
            <w:tcW w:w="769" w:type="pct"/>
            <w:tcBorders>
              <w:tl2br w:val="nil"/>
              <w:tr2bl w:val="nil"/>
            </w:tcBorders>
            <w:shd w:val="clear" w:color="auto" w:fill="auto"/>
            <w:noWrap w:val="0"/>
            <w:vAlign w:val="center"/>
          </w:tcPr>
          <w:p w14:paraId="20662A7E">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54.422</w:t>
            </w:r>
          </w:p>
        </w:tc>
        <w:tc>
          <w:tcPr>
            <w:tcW w:w="818" w:type="pct"/>
            <w:tcBorders>
              <w:tl2br w:val="nil"/>
              <w:tr2bl w:val="nil"/>
            </w:tcBorders>
            <w:shd w:val="clear" w:color="auto" w:fill="auto"/>
            <w:noWrap w:val="0"/>
            <w:vAlign w:val="center"/>
          </w:tcPr>
          <w:p w14:paraId="3BD7780B">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18.71653</w:t>
            </w:r>
          </w:p>
        </w:tc>
      </w:tr>
      <w:tr w14:paraId="78701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512" w:type="pct"/>
            <w:vMerge w:val="restart"/>
            <w:tcBorders>
              <w:tl2br w:val="nil"/>
              <w:tr2bl w:val="nil"/>
            </w:tcBorders>
            <w:noWrap w:val="0"/>
            <w:vAlign w:val="center"/>
          </w:tcPr>
          <w:p w14:paraId="4C97E7E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许可排放量</w:t>
            </w:r>
          </w:p>
        </w:tc>
        <w:tc>
          <w:tcPr>
            <w:tcW w:w="624" w:type="pct"/>
            <w:tcBorders>
              <w:tl2br w:val="nil"/>
              <w:tr2bl w:val="nil"/>
            </w:tcBorders>
            <w:noWrap w:val="0"/>
            <w:vAlign w:val="center"/>
          </w:tcPr>
          <w:p w14:paraId="7B7042E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污染物</w:t>
            </w:r>
          </w:p>
        </w:tc>
        <w:tc>
          <w:tcPr>
            <w:tcW w:w="1497" w:type="pct"/>
            <w:gridSpan w:val="2"/>
            <w:tcBorders>
              <w:tl2br w:val="nil"/>
              <w:tr2bl w:val="nil"/>
            </w:tcBorders>
            <w:noWrap w:val="0"/>
            <w:vAlign w:val="center"/>
          </w:tcPr>
          <w:p w14:paraId="19BCF9B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现有工程</w:t>
            </w:r>
            <w:r>
              <w:rPr>
                <w:rFonts w:hint="eastAsia" w:ascii="Times New Roman" w:hAnsi="Times New Roman" w:cs="Times New Roman"/>
                <w:color w:val="auto"/>
                <w:sz w:val="21"/>
                <w:szCs w:val="21"/>
                <w:highlight w:val="none"/>
                <w:lang w:val="en-US" w:eastAsia="zh-CN"/>
              </w:rPr>
              <w:t>许可</w:t>
            </w:r>
            <w:r>
              <w:rPr>
                <w:rFonts w:hint="default" w:ascii="Times New Roman" w:hAnsi="Times New Roman" w:cs="Times New Roman"/>
                <w:color w:val="auto"/>
                <w:sz w:val="21"/>
                <w:szCs w:val="21"/>
                <w:highlight w:val="none"/>
                <w:lang w:val="en-US" w:eastAsia="zh-CN"/>
              </w:rPr>
              <w:t>排放量</w:t>
            </w:r>
          </w:p>
        </w:tc>
        <w:tc>
          <w:tcPr>
            <w:tcW w:w="2365" w:type="pct"/>
            <w:gridSpan w:val="3"/>
            <w:tcBorders>
              <w:tl2br w:val="nil"/>
              <w:tr2bl w:val="nil"/>
            </w:tcBorders>
            <w:noWrap w:val="0"/>
            <w:vAlign w:val="center"/>
          </w:tcPr>
          <w:p w14:paraId="671F1E38">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本项目</w:t>
            </w:r>
            <w:r>
              <w:rPr>
                <w:rFonts w:hint="eastAsia" w:ascii="Times New Roman" w:hAnsi="Times New Roman" w:cs="Times New Roman"/>
                <w:color w:val="auto"/>
                <w:sz w:val="21"/>
                <w:szCs w:val="21"/>
                <w:highlight w:val="none"/>
                <w:lang w:val="en-US" w:eastAsia="zh-CN"/>
              </w:rPr>
              <w:t>核定排放总量</w:t>
            </w:r>
          </w:p>
        </w:tc>
      </w:tr>
      <w:tr w14:paraId="30306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12" w:type="pct"/>
            <w:vMerge w:val="continue"/>
            <w:tcBorders>
              <w:tl2br w:val="nil"/>
              <w:tr2bl w:val="nil"/>
            </w:tcBorders>
            <w:noWrap w:val="0"/>
            <w:vAlign w:val="center"/>
          </w:tcPr>
          <w:p w14:paraId="3756A5E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4" w:type="pct"/>
            <w:tcBorders>
              <w:tl2br w:val="nil"/>
              <w:tr2bl w:val="nil"/>
            </w:tcBorders>
            <w:noWrap w:val="0"/>
            <w:vAlign w:val="center"/>
          </w:tcPr>
          <w:p w14:paraId="172F915F">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颗粒物</w:t>
            </w:r>
          </w:p>
        </w:tc>
        <w:tc>
          <w:tcPr>
            <w:tcW w:w="1497" w:type="pct"/>
            <w:gridSpan w:val="2"/>
            <w:tcBorders>
              <w:tl2br w:val="nil"/>
              <w:tr2bl w:val="nil"/>
            </w:tcBorders>
            <w:noWrap w:val="0"/>
            <w:vAlign w:val="center"/>
          </w:tcPr>
          <w:p w14:paraId="6F87F74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25.09</w:t>
            </w:r>
          </w:p>
        </w:tc>
        <w:tc>
          <w:tcPr>
            <w:tcW w:w="2365" w:type="pct"/>
            <w:gridSpan w:val="3"/>
            <w:tcBorders>
              <w:tl2br w:val="nil"/>
              <w:tr2bl w:val="nil"/>
            </w:tcBorders>
            <w:noWrap w:val="0"/>
            <w:vAlign w:val="center"/>
          </w:tcPr>
          <w:p w14:paraId="1628F6F0">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15.55</w:t>
            </w:r>
          </w:p>
        </w:tc>
      </w:tr>
      <w:tr w14:paraId="7CED4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12" w:type="pct"/>
            <w:vMerge w:val="continue"/>
            <w:tcBorders>
              <w:tl2br w:val="nil"/>
              <w:tr2bl w:val="nil"/>
            </w:tcBorders>
            <w:noWrap w:val="0"/>
            <w:vAlign w:val="center"/>
          </w:tcPr>
          <w:p w14:paraId="3B90CE4C">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4" w:type="pct"/>
            <w:tcBorders>
              <w:tl2br w:val="nil"/>
              <w:tr2bl w:val="nil"/>
            </w:tcBorders>
            <w:shd w:val="clear" w:color="auto" w:fill="auto"/>
            <w:noWrap w:val="0"/>
            <w:vAlign w:val="center"/>
          </w:tcPr>
          <w:p w14:paraId="22D000B4">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zh-CN" w:eastAsia="zh-CN"/>
              </w:rPr>
              <w:t>SO</w:t>
            </w:r>
            <w:r>
              <w:rPr>
                <w:rFonts w:hint="default" w:ascii="Times New Roman" w:hAnsi="Times New Roman" w:cs="Times New Roman"/>
                <w:color w:val="auto"/>
                <w:sz w:val="21"/>
                <w:szCs w:val="21"/>
                <w:highlight w:val="none"/>
                <w:vertAlign w:val="subscript"/>
                <w:lang w:val="zh-CN" w:eastAsia="zh-CN"/>
              </w:rPr>
              <w:t>2</w:t>
            </w:r>
          </w:p>
        </w:tc>
        <w:tc>
          <w:tcPr>
            <w:tcW w:w="1497" w:type="pct"/>
            <w:gridSpan w:val="2"/>
            <w:tcBorders>
              <w:tl2br w:val="nil"/>
              <w:tr2bl w:val="nil"/>
            </w:tcBorders>
            <w:shd w:val="clear" w:color="auto" w:fill="auto"/>
            <w:noWrap w:val="0"/>
            <w:vAlign w:val="center"/>
          </w:tcPr>
          <w:p w14:paraId="3B330531">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100.36</w:t>
            </w:r>
          </w:p>
        </w:tc>
        <w:tc>
          <w:tcPr>
            <w:tcW w:w="2365" w:type="pct"/>
            <w:gridSpan w:val="3"/>
            <w:tcBorders>
              <w:tl2br w:val="nil"/>
              <w:tr2bl w:val="nil"/>
            </w:tcBorders>
            <w:shd w:val="clear" w:color="auto" w:fill="auto"/>
            <w:noWrap w:val="0"/>
            <w:vAlign w:val="center"/>
          </w:tcPr>
          <w:p w14:paraId="4A6DA62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74.64</w:t>
            </w:r>
          </w:p>
        </w:tc>
      </w:tr>
      <w:tr w14:paraId="734EE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512" w:type="pct"/>
            <w:vMerge w:val="continue"/>
            <w:tcBorders>
              <w:tl2br w:val="nil"/>
              <w:tr2bl w:val="nil"/>
            </w:tcBorders>
            <w:noWrap w:val="0"/>
            <w:vAlign w:val="center"/>
          </w:tcPr>
          <w:p w14:paraId="1D86A4F5">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p>
        </w:tc>
        <w:tc>
          <w:tcPr>
            <w:tcW w:w="624" w:type="pct"/>
            <w:tcBorders>
              <w:tl2br w:val="nil"/>
              <w:tr2bl w:val="nil"/>
            </w:tcBorders>
            <w:shd w:val="clear" w:color="auto" w:fill="auto"/>
            <w:noWrap w:val="0"/>
            <w:vAlign w:val="center"/>
          </w:tcPr>
          <w:p w14:paraId="779AB86A">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zh-CN" w:eastAsia="zh-CN"/>
              </w:rPr>
              <w:t>NO</w:t>
            </w:r>
            <w:r>
              <w:rPr>
                <w:rFonts w:hint="default" w:ascii="Times New Roman" w:hAnsi="Times New Roman" w:cs="Times New Roman"/>
                <w:color w:val="auto"/>
                <w:sz w:val="21"/>
                <w:szCs w:val="21"/>
                <w:highlight w:val="none"/>
                <w:vertAlign w:val="subscript"/>
                <w:lang w:val="zh-CN" w:eastAsia="zh-CN"/>
              </w:rPr>
              <w:t>x</w:t>
            </w:r>
          </w:p>
        </w:tc>
        <w:tc>
          <w:tcPr>
            <w:tcW w:w="1497" w:type="pct"/>
            <w:gridSpan w:val="2"/>
            <w:tcBorders>
              <w:tl2br w:val="nil"/>
              <w:tr2bl w:val="nil"/>
            </w:tcBorders>
            <w:shd w:val="clear" w:color="auto" w:fill="auto"/>
            <w:noWrap w:val="0"/>
            <w:vAlign w:val="center"/>
          </w:tcPr>
          <w:p w14:paraId="1B991A97">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125.45</w:t>
            </w:r>
          </w:p>
        </w:tc>
        <w:tc>
          <w:tcPr>
            <w:tcW w:w="2365" w:type="pct"/>
            <w:gridSpan w:val="3"/>
            <w:tcBorders>
              <w:tl2br w:val="nil"/>
              <w:tr2bl w:val="nil"/>
            </w:tcBorders>
            <w:shd w:val="clear" w:color="auto" w:fill="auto"/>
            <w:noWrap w:val="0"/>
            <w:vAlign w:val="center"/>
          </w:tcPr>
          <w:p w14:paraId="724AC6F9">
            <w:pPr>
              <w:pStyle w:val="3"/>
              <w:keepNext w:val="0"/>
              <w:keepLines w:val="0"/>
              <w:pageBreakBefore w:val="0"/>
              <w:widowControl w:val="0"/>
              <w:kinsoku/>
              <w:wordWrap/>
              <w:overflowPunct/>
              <w:topLinePunct w:val="0"/>
              <w:autoSpaceDE/>
              <w:autoSpaceDN/>
              <w:bidi w:val="0"/>
              <w:adjustRightInd/>
              <w:snapToGrid/>
              <w:spacing w:after="0" w:line="320" w:lineRule="exact"/>
              <w:ind w:lef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93.30</w:t>
            </w:r>
          </w:p>
        </w:tc>
      </w:tr>
    </w:tbl>
    <w:p w14:paraId="353DAC05">
      <w:pPr>
        <w:keepNext w:val="0"/>
        <w:keepLines w:val="0"/>
        <w:pageBreakBefore w:val="0"/>
        <w:widowControl w:val="0"/>
        <w:kinsoku/>
        <w:wordWrap/>
        <w:overflowPunct/>
        <w:topLinePunct w:val="0"/>
        <w:autoSpaceDE/>
        <w:autoSpaceDN/>
        <w:bidi w:val="0"/>
        <w:adjustRightInd/>
        <w:snapToGrid/>
        <w:spacing w:line="500" w:lineRule="exact"/>
        <w:ind w:firstLine="0" w:firstLineChars="0"/>
        <w:textAlignment w:val="auto"/>
        <w:outlineLvl w:val="3"/>
        <w:rPr>
          <w:rFonts w:hint="eastAsia" w:ascii="Times New Roman" w:hAnsi="Times New Roman" w:eastAsia="宋体" w:cs="Times New Roman"/>
          <w:b/>
          <w:bCs w:val="0"/>
          <w:color w:val="auto"/>
          <w:sz w:val="24"/>
          <w:szCs w:val="24"/>
          <w:lang w:val="en-US" w:eastAsia="zh-CN"/>
        </w:rPr>
      </w:pPr>
      <w:r>
        <w:rPr>
          <w:rFonts w:hint="eastAsia" w:ascii="Times New Roman" w:hAnsi="Times New Roman" w:eastAsia="宋体" w:cs="Times New Roman"/>
          <w:b/>
          <w:bCs w:val="0"/>
          <w:color w:val="auto"/>
          <w:sz w:val="24"/>
          <w:szCs w:val="24"/>
          <w:lang w:val="en-US" w:eastAsia="zh-CN"/>
        </w:rPr>
        <w:t>9.4.3.2 氨氮、COD总量控制指标</w:t>
      </w:r>
    </w:p>
    <w:p w14:paraId="41D200E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eastAsia="宋体" w:cs="Times New Roman"/>
          <w:color w:val="auto"/>
          <w:sz w:val="24"/>
          <w:szCs w:val="24"/>
          <w:highlight w:val="none"/>
          <w:lang w:val="en-US" w:eastAsia="zh-CN"/>
        </w:rPr>
        <w:t>本项目所在厂区现有生活污水经市政污水管网排入八五二农场污水处理厂，经处理后污水排放浓度达到《城镇污水处理厂污染物排放标准》（GB18918-2002）一级A标准后排入蛤蟆通河。本项目运营期不新增工作人员，全部由厂区工作人员调配，厂区无新增生活污水量。项目生产废水全部回用，不外排。本项目无需申请水污染物总量指标。</w:t>
      </w:r>
    </w:p>
    <w:p w14:paraId="53DA4790">
      <w:pPr>
        <w:pStyle w:val="6"/>
        <w:keepNext w:val="0"/>
        <w:keepLines/>
        <w:pageBreakBefore/>
        <w:widowControl w:val="0"/>
        <w:kinsoku/>
        <w:wordWrap/>
        <w:overflowPunct/>
        <w:topLinePunct w:val="0"/>
        <w:autoSpaceDE/>
        <w:autoSpaceDN/>
        <w:bidi w:val="0"/>
        <w:adjustRightInd/>
        <w:snapToGrid/>
        <w:spacing w:before="235" w:beforeLines="75" w:after="235" w:afterLines="75" w:line="500" w:lineRule="exact"/>
        <w:ind w:firstLine="0" w:firstLineChars="0"/>
        <w:jc w:val="left"/>
        <w:textAlignment w:val="center"/>
        <w:rPr>
          <w:rStyle w:val="164"/>
          <w:rFonts w:hint="eastAsia" w:ascii="Times New Roman" w:hAnsi="Times New Roman" w:eastAsia="宋体" w:cs="Times New Roman"/>
          <w:b/>
          <w:bCs/>
          <w:color w:val="auto"/>
          <w:kern w:val="2"/>
          <w:sz w:val="32"/>
          <w:szCs w:val="32"/>
          <w:lang w:val="en-US" w:eastAsia="zh-CN"/>
        </w:rPr>
      </w:pPr>
      <w:bookmarkStart w:id="567" w:name="_Toc25628"/>
      <w:bookmarkStart w:id="568" w:name="_Toc12828"/>
      <w:r>
        <w:rPr>
          <w:rStyle w:val="164"/>
          <w:rFonts w:hint="eastAsia" w:ascii="Times New Roman" w:hAnsi="Times New Roman" w:eastAsia="宋体" w:cs="Times New Roman"/>
          <w:b/>
          <w:bCs/>
          <w:color w:val="auto"/>
          <w:kern w:val="2"/>
          <w:sz w:val="32"/>
          <w:szCs w:val="32"/>
          <w:lang w:val="en-US" w:eastAsia="zh-CN"/>
        </w:rPr>
        <w:t>10 环境影响评价的结论</w:t>
      </w:r>
      <w:bookmarkEnd w:id="567"/>
      <w:bookmarkEnd w:id="568"/>
    </w:p>
    <w:p w14:paraId="7EDDDD65">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69" w:name="_Toc355942128"/>
      <w:bookmarkStart w:id="570" w:name="_Toc185048000"/>
      <w:bookmarkStart w:id="571" w:name="_Toc337734542"/>
      <w:bookmarkStart w:id="572" w:name="_Toc30397"/>
      <w:bookmarkStart w:id="573" w:name="_Toc27834"/>
      <w:bookmarkStart w:id="574" w:name="_Toc9838"/>
      <w:r>
        <w:rPr>
          <w:rFonts w:hint="eastAsia" w:ascii="Times New Roman" w:hAnsi="Times New Roman" w:eastAsia="宋体" w:cs="Times New Roman"/>
          <w:b/>
          <w:bCs/>
          <w:color w:val="auto"/>
        </w:rPr>
        <w:t>10.1</w:t>
      </w:r>
      <w:bookmarkEnd w:id="569"/>
      <w:bookmarkEnd w:id="570"/>
      <w:bookmarkEnd w:id="571"/>
      <w:r>
        <w:rPr>
          <w:rFonts w:hint="eastAsia" w:ascii="Times New Roman" w:hAnsi="Times New Roman" w:eastAsia="宋体" w:cs="Times New Roman"/>
          <w:b/>
          <w:bCs/>
          <w:color w:val="auto"/>
        </w:rPr>
        <w:t xml:space="preserve"> 项目概况</w:t>
      </w:r>
      <w:bookmarkEnd w:id="572"/>
      <w:bookmarkEnd w:id="573"/>
      <w:bookmarkEnd w:id="574"/>
    </w:p>
    <w:p w14:paraId="19CB265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本项目位于</w:t>
      </w:r>
      <w:r>
        <w:rPr>
          <w:rFonts w:hint="default" w:ascii="Times New Roman" w:hAnsi="Times New Roman" w:eastAsia="宋体" w:cs="Times New Roman"/>
          <w:color w:val="auto"/>
          <w:sz w:val="24"/>
          <w:szCs w:val="24"/>
          <w:highlight w:val="none"/>
          <w:lang w:val="zh-CN" w:eastAsia="zh-CN"/>
        </w:rPr>
        <w:t>宝清县红兴隆管理局八五二农场场部</w:t>
      </w:r>
      <w:r>
        <w:rPr>
          <w:rFonts w:hint="default" w:ascii="Times New Roman" w:hAnsi="Times New Roman" w:eastAsia="宋体" w:cs="Times New Roman"/>
          <w:color w:val="auto"/>
          <w:sz w:val="24"/>
          <w:szCs w:val="24"/>
          <w:highlight w:val="none"/>
          <w:lang w:val="en-US" w:eastAsia="zh-CN"/>
        </w:rPr>
        <w:t>，其中锅炉改造工程位于北大荒集团黑龙江八五二农场有限公司热源厂现有厂区内</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拆除淘汰原有的2台46MW锅炉，在原址现有锅炉房建设2台42MW锅炉，锅炉配套布袋除尘器+氧化镁法脱硫（依托）+SNCR-SCR联合脱硝+</w:t>
      </w:r>
      <w:r>
        <w:rPr>
          <w:rFonts w:hint="eastAsia" w:ascii="Times New Roman" w:hAnsi="Times New Roman" w:eastAsia="宋体" w:cs="Times New Roman"/>
          <w:color w:val="auto"/>
          <w:sz w:val="24"/>
          <w:szCs w:val="24"/>
          <w:highlight w:val="none"/>
          <w:lang w:val="en-US" w:eastAsia="zh-CN"/>
        </w:rPr>
        <w:t>100</w:t>
      </w:r>
      <w:r>
        <w:rPr>
          <w:rFonts w:hint="default" w:ascii="Times New Roman" w:hAnsi="Times New Roman" w:eastAsia="宋体" w:cs="Times New Roman"/>
          <w:color w:val="auto"/>
          <w:sz w:val="24"/>
          <w:szCs w:val="24"/>
          <w:highlight w:val="none"/>
          <w:lang w:val="en-US" w:eastAsia="zh-CN"/>
        </w:rPr>
        <w:t>m烟囱排放（通过改造烟气走向，由原58m烟塔合一改为依托厂内现有100m砖结构烟囱）；新建脱硫副产品间（7.2m×4m×9.3m）；新建消防泵房及消防水池，建筑面积238.9m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，地下占地面积207.4m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；地上建筑面积31.5m</w:t>
      </w:r>
      <w:r>
        <w:rPr>
          <w:rFonts w:hint="default"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color w:val="auto"/>
          <w:sz w:val="24"/>
          <w:szCs w:val="24"/>
          <w:highlight w:val="none"/>
          <w:lang w:val="en-US" w:eastAsia="zh-CN"/>
        </w:rPr>
        <w:t>，新建部分围墙（</w:t>
      </w:r>
      <w:r>
        <w:rPr>
          <w:rFonts w:hint="eastAsia" w:ascii="Times New Roman" w:hAnsi="Times New Roman" w:eastAsia="宋体" w:cs="Times New Roman"/>
          <w:color w:val="auto"/>
          <w:sz w:val="24"/>
          <w:szCs w:val="24"/>
          <w:highlight w:val="none"/>
          <w:lang w:val="en-US" w:eastAsia="zh-CN"/>
        </w:rPr>
        <w:t>300</w:t>
      </w:r>
      <w:r>
        <w:rPr>
          <w:rFonts w:hint="default" w:ascii="Times New Roman" w:hAnsi="Times New Roman" w:eastAsia="宋体" w:cs="Times New Roman"/>
          <w:color w:val="auto"/>
          <w:sz w:val="24"/>
          <w:szCs w:val="24"/>
          <w:highlight w:val="none"/>
          <w:lang w:val="en-US" w:eastAsia="zh-CN"/>
        </w:rPr>
        <w:t>m）及电动大门门库，对市政供热管线4.15km进行维修更换。依托厂区现有煤库、锅炉房、渣仓和库房等。</w:t>
      </w:r>
    </w:p>
    <w:p w14:paraId="265DB5EB">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75" w:name="_Toc13340"/>
      <w:bookmarkStart w:id="576" w:name="_Toc15097"/>
      <w:bookmarkStart w:id="577" w:name="_Toc3920"/>
      <w:r>
        <w:rPr>
          <w:rFonts w:hint="eastAsia" w:ascii="Times New Roman" w:hAnsi="Times New Roman" w:eastAsia="宋体" w:cs="Times New Roman"/>
          <w:b/>
          <w:bCs/>
          <w:color w:val="auto"/>
        </w:rPr>
        <w:t>10.2 产业政策符合性分析结论</w:t>
      </w:r>
      <w:bookmarkEnd w:id="575"/>
      <w:bookmarkEnd w:id="576"/>
      <w:bookmarkEnd w:id="577"/>
    </w:p>
    <w:p w14:paraId="2FCDE55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本项目属于《产业结构调整指导目录（2024年本）》中鼓励类第二十二项“城镇基础设施”第2条为“城镇集中供热建设和改造工程”</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因此，本项目属于鼓励类建设项目。</w:t>
      </w:r>
      <w:r>
        <w:rPr>
          <w:rFonts w:hint="eastAsia" w:ascii="Times New Roman" w:hAnsi="Times New Roman" w:eastAsia="宋体" w:cs="Times New Roman"/>
          <w:color w:val="auto"/>
          <w:sz w:val="24"/>
          <w:szCs w:val="24"/>
          <w:highlight w:val="none"/>
          <w:lang w:val="en-US" w:eastAsia="zh-CN"/>
        </w:rPr>
        <w:t>不属于第二类限制类中第三项“电力”第三条“达不到超低排放要求的煤电机组（采用特殊炉型的机组除外）和燃煤锅炉”，第十一项“机械”第58条为“县级及以上城市建成区每小时 35 蒸吨以下的燃煤锅炉，其他区域每小时 10 蒸吨以下的燃煤锅炉”，</w:t>
      </w:r>
      <w:r>
        <w:rPr>
          <w:rFonts w:hint="default" w:ascii="Times New Roman" w:hAnsi="Times New Roman" w:eastAsia="宋体" w:cs="Times New Roman"/>
          <w:color w:val="auto"/>
          <w:sz w:val="24"/>
          <w:szCs w:val="24"/>
          <w:highlight w:val="none"/>
          <w:lang w:val="en-US" w:eastAsia="zh-CN"/>
        </w:rPr>
        <w:t>本项目符合</w:t>
      </w:r>
      <w:r>
        <w:rPr>
          <w:rFonts w:hint="eastAsia" w:ascii="Times New Roman" w:hAnsi="Times New Roman" w:eastAsia="宋体" w:cs="Times New Roman"/>
          <w:color w:val="auto"/>
          <w:sz w:val="24"/>
          <w:szCs w:val="24"/>
          <w:highlight w:val="none"/>
          <w:lang w:val="en-US" w:eastAsia="zh-CN"/>
        </w:rPr>
        <w:t>产业</w:t>
      </w:r>
      <w:r>
        <w:rPr>
          <w:rFonts w:hint="default" w:ascii="Times New Roman" w:hAnsi="Times New Roman" w:eastAsia="宋体" w:cs="Times New Roman"/>
          <w:color w:val="auto"/>
          <w:sz w:val="24"/>
          <w:szCs w:val="24"/>
          <w:highlight w:val="none"/>
          <w:lang w:val="en-US" w:eastAsia="zh-CN"/>
        </w:rPr>
        <w:t>政策要求。</w:t>
      </w:r>
    </w:p>
    <w:p w14:paraId="50AD98F4">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78" w:name="_Toc19871"/>
      <w:bookmarkStart w:id="579" w:name="_Toc3299"/>
      <w:bookmarkStart w:id="580" w:name="_Toc28641"/>
      <w:r>
        <w:rPr>
          <w:rFonts w:hint="eastAsia" w:ascii="Times New Roman" w:hAnsi="Times New Roman" w:eastAsia="宋体" w:cs="Times New Roman"/>
          <w:b/>
          <w:bCs/>
          <w:color w:val="auto"/>
        </w:rPr>
        <w:t>10.3 选址合理性分析结论</w:t>
      </w:r>
      <w:bookmarkEnd w:id="578"/>
      <w:bookmarkEnd w:id="579"/>
      <w:bookmarkEnd w:id="580"/>
    </w:p>
    <w:p w14:paraId="3C5DAAA2">
      <w:pPr>
        <w:spacing w:line="480" w:lineRule="exact"/>
        <w:ind w:firstLine="480"/>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本项目位于</w:t>
      </w:r>
      <w:r>
        <w:rPr>
          <w:rFonts w:hint="eastAsia" w:ascii="Times New Roman" w:hAnsi="Times New Roman" w:eastAsia="宋体" w:cs="Times New Roman"/>
          <w:color w:val="auto"/>
          <w:szCs w:val="24"/>
          <w:lang w:val="zh-CN"/>
        </w:rPr>
        <w:t>位于黑龙江省宝清县红兴隆管理局八五二农场场部</w:t>
      </w:r>
      <w:r>
        <w:rPr>
          <w:rFonts w:hint="eastAsia"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改造热源</w:t>
      </w:r>
      <w:r>
        <w:rPr>
          <w:rFonts w:hint="eastAsia" w:ascii="Times New Roman" w:hAnsi="Times New Roman" w:eastAsia="宋体" w:cs="Times New Roman"/>
          <w:color w:val="auto"/>
          <w:szCs w:val="24"/>
        </w:rPr>
        <w:t>位于</w:t>
      </w:r>
      <w:r>
        <w:rPr>
          <w:rFonts w:hint="eastAsia" w:ascii="Times New Roman" w:hAnsi="Times New Roman" w:eastAsia="宋体" w:cs="Times New Roman"/>
          <w:color w:val="auto"/>
          <w:szCs w:val="24"/>
          <w:lang w:val="en-US" w:eastAsia="zh-CN"/>
        </w:rPr>
        <w:t>现有热源厂锅炉房内，属于</w:t>
      </w:r>
      <w:r>
        <w:rPr>
          <w:rFonts w:hint="eastAsia" w:ascii="Times New Roman" w:hAnsi="Times New Roman" w:eastAsia="宋体" w:cs="Times New Roman"/>
          <w:color w:val="auto"/>
          <w:szCs w:val="24"/>
        </w:rPr>
        <w:t>城区冬季主导风向的下风向，故锅炉房的运行对城区环境影响较小，</w:t>
      </w:r>
      <w:r>
        <w:rPr>
          <w:rFonts w:hint="eastAsia" w:ascii="Times New Roman" w:hAnsi="Times New Roman" w:eastAsia="宋体" w:cs="Times New Roman"/>
          <w:color w:val="auto"/>
          <w:szCs w:val="24"/>
          <w:lang w:val="en-US" w:eastAsia="zh-CN"/>
        </w:rPr>
        <w:t>不新增占地。</w:t>
      </w:r>
      <w:r>
        <w:rPr>
          <w:rFonts w:hint="eastAsia" w:ascii="Times New Roman" w:hAnsi="Times New Roman" w:eastAsia="宋体" w:cs="Times New Roman"/>
          <w:color w:val="auto"/>
          <w:szCs w:val="24"/>
        </w:rPr>
        <w:t>厂界</w:t>
      </w:r>
      <w:r>
        <w:rPr>
          <w:rFonts w:hint="eastAsia" w:ascii="Times New Roman" w:hAnsi="Times New Roman" w:eastAsia="宋体" w:cs="Times New Roman"/>
          <w:color w:val="auto"/>
          <w:szCs w:val="24"/>
          <w:lang w:val="zh-CN"/>
        </w:rPr>
        <w:t>东侧为耕地，西侧为平房区，南侧为耕地，北侧为平房区</w:t>
      </w:r>
      <w:r>
        <w:rPr>
          <w:rFonts w:hint="eastAsia" w:ascii="Times New Roman" w:hAnsi="Times New Roman" w:eastAsia="宋体" w:cs="Times New Roman"/>
          <w:color w:val="auto"/>
          <w:szCs w:val="24"/>
        </w:rPr>
        <w:t>，本项目选址不属于国家公园、自然保护区、风景名胜区、世界文化和自然遗产地、海洋特别保护区、饮用水水源保护区；永久基本农田、基本草原、自然公园（森林公园、地质公园、海洋公园等）、重要湿地、天然林，重点保护野生动物栖息地，重点保护野生植物生长繁殖地，重要水生生物的自然产卵场、索饵场、越冬场和洄游通道，天然渔场等环境敏感区。</w:t>
      </w:r>
    </w:p>
    <w:p w14:paraId="14596330">
      <w:pPr>
        <w:spacing w:line="480" w:lineRule="exact"/>
        <w:ind w:firstLine="480"/>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lang w:val="en-US" w:eastAsia="zh-CN"/>
        </w:rPr>
        <w:t>根据前文分析，本项目符合《宝清县国土空间总体规划（2021-2035）》等项目所在地相关规划要求</w:t>
      </w:r>
      <w:r>
        <w:rPr>
          <w:rFonts w:hint="eastAsia" w:ascii="Times New Roman" w:hAnsi="Times New Roman" w:eastAsia="宋体" w:cs="Times New Roman"/>
          <w:color w:val="auto"/>
          <w:szCs w:val="24"/>
        </w:rPr>
        <w:t>。</w:t>
      </w:r>
    </w:p>
    <w:p w14:paraId="3F0674E5">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81" w:name="_Toc2125"/>
      <w:bookmarkStart w:id="582" w:name="_Toc16995"/>
      <w:bookmarkStart w:id="583" w:name="_Toc27348"/>
      <w:r>
        <w:rPr>
          <w:rFonts w:hint="eastAsia" w:ascii="Times New Roman" w:hAnsi="Times New Roman" w:eastAsia="宋体" w:cs="Times New Roman"/>
          <w:b/>
          <w:bCs/>
          <w:color w:val="auto"/>
        </w:rPr>
        <w:t>10.4 工程污染分析结论</w:t>
      </w:r>
      <w:bookmarkEnd w:id="581"/>
      <w:bookmarkEnd w:id="582"/>
      <w:bookmarkEnd w:id="583"/>
    </w:p>
    <w:p w14:paraId="1C4382C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84" w:name="_Toc5295"/>
      <w:bookmarkStart w:id="585" w:name="_Toc3687"/>
      <w:bookmarkStart w:id="586" w:name="_Toc6673"/>
      <w:r>
        <w:rPr>
          <w:rFonts w:hint="eastAsia" w:ascii="Times New Roman" w:hAnsi="Times New Roman" w:eastAsia="宋体" w:cs="Times New Roman"/>
          <w:b/>
          <w:bCs/>
          <w:color w:val="auto"/>
          <w:sz w:val="28"/>
          <w:szCs w:val="28"/>
          <w:lang w:val="en-US" w:eastAsia="zh-CN"/>
        </w:rPr>
        <w:t>10.4.1 废气污染物分析</w:t>
      </w:r>
      <w:bookmarkEnd w:id="584"/>
      <w:bookmarkEnd w:id="585"/>
      <w:bookmarkEnd w:id="586"/>
    </w:p>
    <w:p w14:paraId="7D7FA380">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本项目2×42MW锅炉颗粒物预测排放量6.990t/a、颗粒物排放浓度22.476mg/m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；SO</w:t>
      </w:r>
      <w:r>
        <w:rPr>
          <w:rFonts w:hint="eastAsia" w:ascii="Times New Roman" w:hAnsi="Times New Roman" w:eastAsia="宋体" w:cs="Times New Roman"/>
          <w:color w:val="auto"/>
          <w:szCs w:val="24"/>
          <w:vertAlign w:val="subscript"/>
          <w:lang w:val="en-US" w:eastAsia="zh-CN"/>
        </w:rPr>
        <w:t>2</w:t>
      </w:r>
      <w:r>
        <w:rPr>
          <w:rFonts w:hint="eastAsia" w:ascii="Times New Roman" w:hAnsi="Times New Roman" w:eastAsia="宋体" w:cs="Times New Roman"/>
          <w:color w:val="auto"/>
          <w:szCs w:val="24"/>
          <w:lang w:val="en-US" w:eastAsia="zh-CN"/>
        </w:rPr>
        <w:t>预测排放量11.388t/a、SO</w:t>
      </w:r>
      <w:r>
        <w:rPr>
          <w:rFonts w:hint="eastAsia" w:ascii="Times New Roman" w:hAnsi="Times New Roman" w:eastAsia="宋体" w:cs="Times New Roman"/>
          <w:color w:val="auto"/>
          <w:szCs w:val="24"/>
          <w:vertAlign w:val="subscript"/>
          <w:lang w:val="en-US" w:eastAsia="zh-CN"/>
        </w:rPr>
        <w:t>2</w:t>
      </w:r>
      <w:r>
        <w:rPr>
          <w:rFonts w:hint="eastAsia" w:ascii="Times New Roman" w:hAnsi="Times New Roman" w:eastAsia="宋体" w:cs="Times New Roman"/>
          <w:color w:val="auto"/>
          <w:szCs w:val="24"/>
          <w:lang w:val="en-US" w:eastAsia="zh-CN"/>
        </w:rPr>
        <w:t>排放浓度36.618mg/m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；NO</w:t>
      </w:r>
      <w:r>
        <w:rPr>
          <w:rFonts w:hint="eastAsia" w:ascii="Times New Roman" w:hAnsi="Times New Roman" w:eastAsia="宋体" w:cs="Times New Roman"/>
          <w:color w:val="auto"/>
          <w:szCs w:val="24"/>
          <w:vertAlign w:val="subscript"/>
          <w:lang w:val="en-US" w:eastAsia="zh-CN"/>
        </w:rPr>
        <w:t>x</w:t>
      </w:r>
      <w:r>
        <w:rPr>
          <w:rFonts w:hint="eastAsia" w:ascii="Times New Roman" w:hAnsi="Times New Roman" w:eastAsia="宋体" w:cs="Times New Roman"/>
          <w:color w:val="auto"/>
          <w:szCs w:val="24"/>
          <w:lang w:val="en-US" w:eastAsia="zh-CN"/>
        </w:rPr>
        <w:t>预测排放量43.401t/a、NO</w:t>
      </w:r>
      <w:r>
        <w:rPr>
          <w:rFonts w:hint="eastAsia" w:ascii="Times New Roman" w:hAnsi="Times New Roman" w:eastAsia="宋体" w:cs="Times New Roman"/>
          <w:color w:val="auto"/>
          <w:szCs w:val="24"/>
          <w:vertAlign w:val="subscript"/>
          <w:lang w:val="en-US" w:eastAsia="zh-CN"/>
        </w:rPr>
        <w:t>x</w:t>
      </w:r>
      <w:r>
        <w:rPr>
          <w:rFonts w:hint="eastAsia" w:ascii="Times New Roman" w:hAnsi="Times New Roman" w:eastAsia="宋体" w:cs="Times New Roman"/>
          <w:color w:val="auto"/>
          <w:szCs w:val="24"/>
          <w:lang w:val="en-US" w:eastAsia="zh-CN"/>
        </w:rPr>
        <w:t>排放浓度175mg/m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；Hg预测排放量为</w:t>
      </w:r>
      <w:r>
        <w:rPr>
          <w:rFonts w:hint="default" w:ascii="Times New Roman" w:hAnsi="Times New Roman" w:eastAsia="宋体" w:cs="Times New Roman"/>
          <w:color w:val="auto"/>
          <w:szCs w:val="24"/>
          <w:lang w:val="en-US" w:eastAsia="zh-CN"/>
        </w:rPr>
        <w:t>0.001</w:t>
      </w:r>
      <w:r>
        <w:rPr>
          <w:rFonts w:hint="eastAsia" w:ascii="Times New Roman" w:hAnsi="Times New Roman" w:eastAsia="宋体" w:cs="Times New Roman"/>
          <w:color w:val="auto"/>
          <w:szCs w:val="24"/>
          <w:lang w:val="en-US" w:eastAsia="zh-CN"/>
        </w:rPr>
        <w:t>4t/a、排放浓度为</w:t>
      </w:r>
      <w:r>
        <w:rPr>
          <w:rFonts w:hint="default" w:ascii="Times New Roman" w:hAnsi="Times New Roman" w:eastAsia="宋体" w:cs="Times New Roman"/>
          <w:color w:val="auto"/>
          <w:szCs w:val="24"/>
          <w:lang w:val="en-US" w:eastAsia="zh-CN"/>
        </w:rPr>
        <w:t>0.00</w:t>
      </w:r>
      <w:r>
        <w:rPr>
          <w:rFonts w:hint="eastAsia" w:ascii="Times New Roman" w:hAnsi="Times New Roman" w:eastAsia="宋体" w:cs="Times New Roman"/>
          <w:color w:val="auto"/>
          <w:szCs w:val="24"/>
          <w:lang w:val="en-US" w:eastAsia="zh-CN"/>
        </w:rPr>
        <w:t>44mg/m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w:t>
      </w:r>
    </w:p>
    <w:p w14:paraId="4CAE17A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87" w:name="_Toc10559"/>
      <w:bookmarkStart w:id="588" w:name="_Toc21721"/>
      <w:bookmarkStart w:id="589" w:name="_Toc7363"/>
      <w:r>
        <w:rPr>
          <w:rFonts w:hint="eastAsia" w:ascii="Times New Roman" w:hAnsi="Times New Roman" w:eastAsia="宋体" w:cs="Times New Roman"/>
          <w:b/>
          <w:bCs/>
          <w:color w:val="auto"/>
          <w:sz w:val="28"/>
          <w:szCs w:val="28"/>
          <w:lang w:val="en-US" w:eastAsia="zh-CN"/>
        </w:rPr>
        <w:t>10.4.2 废水污染物分析</w:t>
      </w:r>
      <w:bookmarkEnd w:id="587"/>
      <w:bookmarkEnd w:id="588"/>
      <w:bookmarkEnd w:id="589"/>
    </w:p>
    <w:p w14:paraId="40F21CA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本项目不新增工作人员，不新增生活污水。生产废水全部回用于厂内冲渣、降尘等，不外排。</w:t>
      </w:r>
    </w:p>
    <w:p w14:paraId="79D0AD9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90" w:name="_Toc11889"/>
      <w:bookmarkStart w:id="591" w:name="_Toc31573"/>
      <w:bookmarkStart w:id="592" w:name="_Toc2594"/>
      <w:r>
        <w:rPr>
          <w:rFonts w:hint="eastAsia" w:ascii="Times New Roman" w:hAnsi="Times New Roman" w:eastAsia="宋体" w:cs="Times New Roman"/>
          <w:b/>
          <w:bCs/>
          <w:color w:val="auto"/>
          <w:sz w:val="28"/>
          <w:szCs w:val="28"/>
          <w:lang w:val="en-US" w:eastAsia="zh-CN"/>
        </w:rPr>
        <w:t>10.4.3 噪声污染物分析</w:t>
      </w:r>
      <w:bookmarkEnd w:id="590"/>
      <w:bookmarkEnd w:id="591"/>
      <w:bookmarkEnd w:id="592"/>
    </w:p>
    <w:p w14:paraId="0A0AEF6B">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本项目主要噪声源为锅炉风机、水泵等机械噪声，噪声源强在70~80dB（A）。</w:t>
      </w:r>
    </w:p>
    <w:p w14:paraId="2DC49FF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593" w:name="_Toc10971"/>
      <w:bookmarkStart w:id="594" w:name="_Toc5153"/>
      <w:bookmarkStart w:id="595" w:name="_Toc989"/>
      <w:r>
        <w:rPr>
          <w:rFonts w:hint="eastAsia" w:ascii="Times New Roman" w:hAnsi="Times New Roman" w:eastAsia="宋体" w:cs="Times New Roman"/>
          <w:b/>
          <w:bCs/>
          <w:color w:val="auto"/>
          <w:sz w:val="28"/>
          <w:szCs w:val="28"/>
          <w:lang w:val="en-US" w:eastAsia="zh-CN"/>
        </w:rPr>
        <w:t>10.4.4 固体废物污染物分析</w:t>
      </w:r>
      <w:bookmarkEnd w:id="593"/>
      <w:bookmarkEnd w:id="594"/>
      <w:bookmarkEnd w:id="595"/>
    </w:p>
    <w:p w14:paraId="6857CBC2">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本项目经计算锅炉灰渣产生量为22575.962t/a，</w:t>
      </w:r>
      <w:r>
        <w:rPr>
          <w:rFonts w:hint="default" w:ascii="Times New Roman" w:hAnsi="Times New Roman" w:eastAsia="宋体" w:cs="Times New Roman"/>
          <w:color w:val="auto"/>
          <w:szCs w:val="24"/>
          <w:lang w:val="en-US" w:eastAsia="zh-CN"/>
        </w:rPr>
        <w:t>脱硫副产物</w:t>
      </w:r>
      <w:r>
        <w:rPr>
          <w:rFonts w:hint="eastAsia" w:ascii="Times New Roman" w:hAnsi="Times New Roman" w:eastAsia="宋体" w:cs="Times New Roman"/>
          <w:color w:val="auto"/>
          <w:szCs w:val="24"/>
          <w:lang w:val="en-US" w:eastAsia="zh-CN"/>
        </w:rPr>
        <w:t>（硫酸镁）产生量为237.257t/a，废布袋0.1t/a、废脱硝催化剂20m</w:t>
      </w:r>
      <w:r>
        <w:rPr>
          <w:rFonts w:hint="eastAsia" w:ascii="Times New Roman" w:hAnsi="Times New Roman" w:eastAsia="宋体" w:cs="Times New Roman"/>
          <w:color w:val="auto"/>
          <w:szCs w:val="24"/>
          <w:vertAlign w:val="superscript"/>
          <w:lang w:val="en-US" w:eastAsia="zh-CN"/>
        </w:rPr>
        <w:t>3</w:t>
      </w:r>
      <w:r>
        <w:rPr>
          <w:rFonts w:hint="eastAsia" w:ascii="Times New Roman" w:hAnsi="Times New Roman" w:eastAsia="宋体" w:cs="Times New Roman"/>
          <w:color w:val="auto"/>
          <w:szCs w:val="24"/>
          <w:lang w:val="en-US" w:eastAsia="zh-CN"/>
        </w:rPr>
        <w:t>/3a，初期雨水池收集沉渣0.1t/a，废离子交换树脂1t/a，废矿物油0.2t/a。本期工程不新增员工，不新增生活垃圾。</w:t>
      </w:r>
    </w:p>
    <w:p w14:paraId="23ECFD15">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596" w:name="_Toc337734545"/>
      <w:bookmarkStart w:id="597" w:name="_Toc355942129"/>
      <w:bookmarkStart w:id="598" w:name="_Toc15518"/>
      <w:bookmarkStart w:id="599" w:name="_Toc6437"/>
      <w:bookmarkStart w:id="600" w:name="_Toc26634"/>
      <w:r>
        <w:rPr>
          <w:rFonts w:hint="eastAsia" w:ascii="Times New Roman" w:hAnsi="Times New Roman" w:eastAsia="宋体" w:cs="Times New Roman"/>
          <w:b/>
          <w:bCs/>
          <w:color w:val="auto"/>
        </w:rPr>
        <w:t>10.</w:t>
      </w:r>
      <w:bookmarkEnd w:id="596"/>
      <w:bookmarkStart w:id="601" w:name="_Toc337734548"/>
      <w:bookmarkStart w:id="602" w:name="_Toc185048002"/>
      <w:r>
        <w:rPr>
          <w:rFonts w:hint="eastAsia" w:ascii="Times New Roman" w:hAnsi="Times New Roman" w:eastAsia="宋体" w:cs="Times New Roman"/>
          <w:b/>
          <w:bCs/>
          <w:color w:val="auto"/>
        </w:rPr>
        <w:t>5 环境质量现状</w:t>
      </w:r>
      <w:bookmarkEnd w:id="597"/>
      <w:bookmarkEnd w:id="601"/>
      <w:bookmarkEnd w:id="602"/>
      <w:r>
        <w:rPr>
          <w:rFonts w:hint="eastAsia" w:ascii="Times New Roman" w:hAnsi="Times New Roman" w:eastAsia="宋体" w:cs="Times New Roman"/>
          <w:b/>
          <w:bCs/>
          <w:color w:val="auto"/>
        </w:rPr>
        <w:t>评价结论</w:t>
      </w:r>
      <w:bookmarkEnd w:id="598"/>
      <w:bookmarkEnd w:id="599"/>
      <w:bookmarkEnd w:id="600"/>
    </w:p>
    <w:p w14:paraId="48EFE6E2">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03" w:name="_Toc337734549"/>
      <w:bookmarkStart w:id="604" w:name="_Toc28091"/>
      <w:bookmarkStart w:id="605" w:name="_Toc5026"/>
      <w:bookmarkStart w:id="606" w:name="_Toc9795"/>
      <w:bookmarkStart w:id="607" w:name="_Toc355942130"/>
      <w:r>
        <w:rPr>
          <w:rFonts w:hint="eastAsia" w:ascii="Times New Roman" w:hAnsi="Times New Roman" w:eastAsia="宋体" w:cs="Times New Roman"/>
          <w:b/>
          <w:bCs/>
          <w:color w:val="auto"/>
          <w:sz w:val="28"/>
          <w:szCs w:val="28"/>
          <w:lang w:val="en-US" w:eastAsia="zh-CN"/>
        </w:rPr>
        <w:t>10.5.1 环境空气质量现状</w:t>
      </w:r>
      <w:bookmarkEnd w:id="603"/>
      <w:bookmarkEnd w:id="604"/>
      <w:bookmarkEnd w:id="605"/>
      <w:bookmarkEnd w:id="606"/>
      <w:bookmarkEnd w:id="607"/>
    </w:p>
    <w:p w14:paraId="120CC902">
      <w:pPr>
        <w:ind w:firstLine="480"/>
        <w:rPr>
          <w:rFonts w:ascii="Times New Roman" w:hAnsi="Times New Roman" w:eastAsia="宋体" w:cs="Times New Roman"/>
          <w:color w:val="auto"/>
          <w:szCs w:val="24"/>
        </w:rPr>
      </w:pPr>
      <w:r>
        <w:rPr>
          <w:rFonts w:hint="default" w:ascii="Times New Roman" w:hAnsi="Times New Roman" w:eastAsia="宋体" w:cs="Times New Roman"/>
          <w:snapToGrid/>
          <w:color w:val="auto"/>
          <w:kern w:val="2"/>
          <w:sz w:val="24"/>
          <w:szCs w:val="24"/>
          <w:lang w:val="en-US" w:eastAsia="zh-CN" w:bidi="ar-SA"/>
        </w:rPr>
        <w:t>本项目所在地为环境控制质量达标区。SO</w:t>
      </w:r>
      <w:r>
        <w:rPr>
          <w:rFonts w:hint="default" w:ascii="Times New Roman" w:hAnsi="Times New Roman" w:eastAsia="宋体" w:cs="Times New Roman"/>
          <w:snapToGrid/>
          <w:color w:val="auto"/>
          <w:kern w:val="2"/>
          <w:sz w:val="24"/>
          <w:szCs w:val="24"/>
          <w:vertAlign w:val="subscript"/>
          <w:lang w:val="en-US" w:eastAsia="zh-CN" w:bidi="ar-SA"/>
        </w:rPr>
        <w:t>2</w:t>
      </w:r>
      <w:r>
        <w:rPr>
          <w:rFonts w:hint="default" w:ascii="Times New Roman" w:hAnsi="Times New Roman" w:eastAsia="宋体" w:cs="Times New Roman"/>
          <w:snapToGrid/>
          <w:color w:val="auto"/>
          <w:kern w:val="2"/>
          <w:sz w:val="24"/>
          <w:szCs w:val="24"/>
          <w:lang w:val="en-US" w:eastAsia="zh-CN" w:bidi="ar-SA"/>
        </w:rPr>
        <w:t>、NO</w:t>
      </w:r>
      <w:r>
        <w:rPr>
          <w:rFonts w:hint="default" w:ascii="Times New Roman" w:hAnsi="Times New Roman" w:eastAsia="宋体" w:cs="Times New Roman"/>
          <w:snapToGrid/>
          <w:color w:val="auto"/>
          <w:kern w:val="2"/>
          <w:sz w:val="24"/>
          <w:szCs w:val="24"/>
          <w:vertAlign w:val="subscript"/>
          <w:lang w:val="en-US" w:eastAsia="zh-CN" w:bidi="ar-SA"/>
        </w:rPr>
        <w:t>2</w:t>
      </w:r>
      <w:r>
        <w:rPr>
          <w:rFonts w:hint="default" w:ascii="Times New Roman" w:hAnsi="Times New Roman" w:eastAsia="宋体" w:cs="Times New Roman"/>
          <w:snapToGrid/>
          <w:color w:val="auto"/>
          <w:kern w:val="2"/>
          <w:sz w:val="24"/>
          <w:szCs w:val="24"/>
          <w:lang w:val="en-US" w:eastAsia="zh-CN" w:bidi="ar-SA"/>
        </w:rPr>
        <w:t>、PM</w:t>
      </w:r>
      <w:r>
        <w:rPr>
          <w:rFonts w:hint="default" w:ascii="Times New Roman" w:hAnsi="Times New Roman" w:eastAsia="宋体" w:cs="Times New Roman"/>
          <w:snapToGrid/>
          <w:color w:val="auto"/>
          <w:kern w:val="2"/>
          <w:sz w:val="24"/>
          <w:szCs w:val="24"/>
          <w:vertAlign w:val="subscript"/>
          <w:lang w:val="en-US" w:eastAsia="zh-CN" w:bidi="ar-SA"/>
        </w:rPr>
        <w:t>2.5</w:t>
      </w:r>
      <w:r>
        <w:rPr>
          <w:rFonts w:hint="default" w:ascii="Times New Roman" w:hAnsi="Times New Roman" w:eastAsia="宋体" w:cs="Times New Roman"/>
          <w:snapToGrid/>
          <w:color w:val="auto"/>
          <w:kern w:val="2"/>
          <w:sz w:val="24"/>
          <w:szCs w:val="24"/>
          <w:lang w:val="en-US" w:eastAsia="zh-CN" w:bidi="ar-SA"/>
        </w:rPr>
        <w:t>、PM</w:t>
      </w:r>
      <w:r>
        <w:rPr>
          <w:rFonts w:hint="default" w:ascii="Times New Roman" w:hAnsi="Times New Roman" w:eastAsia="宋体" w:cs="Times New Roman"/>
          <w:snapToGrid/>
          <w:color w:val="auto"/>
          <w:kern w:val="2"/>
          <w:sz w:val="24"/>
          <w:szCs w:val="24"/>
          <w:vertAlign w:val="subscript"/>
          <w:lang w:val="en-US" w:eastAsia="zh-CN" w:bidi="ar-SA"/>
        </w:rPr>
        <w:t>10</w:t>
      </w:r>
      <w:r>
        <w:rPr>
          <w:rFonts w:hint="default" w:ascii="Times New Roman" w:hAnsi="Times New Roman" w:eastAsia="宋体" w:cs="Times New Roman"/>
          <w:snapToGrid/>
          <w:color w:val="auto"/>
          <w:kern w:val="2"/>
          <w:sz w:val="24"/>
          <w:szCs w:val="24"/>
          <w:lang w:val="en-US" w:eastAsia="zh-CN" w:bidi="ar-SA"/>
        </w:rPr>
        <w:t>、CO、O</w:t>
      </w:r>
      <w:r>
        <w:rPr>
          <w:rFonts w:hint="default" w:ascii="Times New Roman" w:hAnsi="Times New Roman" w:eastAsia="宋体" w:cs="Times New Roman"/>
          <w:snapToGrid/>
          <w:color w:val="auto"/>
          <w:kern w:val="2"/>
          <w:sz w:val="24"/>
          <w:szCs w:val="24"/>
          <w:vertAlign w:val="subscript"/>
          <w:lang w:val="en-US" w:eastAsia="zh-CN" w:bidi="ar-SA"/>
        </w:rPr>
        <w:t>3</w:t>
      </w:r>
      <w:r>
        <w:rPr>
          <w:rFonts w:hint="default" w:ascii="Times New Roman" w:hAnsi="Times New Roman" w:eastAsia="宋体" w:cs="Times New Roman"/>
          <w:snapToGrid/>
          <w:color w:val="auto"/>
          <w:kern w:val="2"/>
          <w:sz w:val="24"/>
          <w:szCs w:val="24"/>
          <w:lang w:val="en-US" w:eastAsia="zh-CN" w:bidi="ar-SA"/>
        </w:rPr>
        <w:t>六项指标中，年均浓度和相应百分位数24</w:t>
      </w:r>
      <w:r>
        <w:rPr>
          <w:rFonts w:hint="eastAsia" w:ascii="Times New Roman" w:hAnsi="Times New Roman" w:eastAsia="宋体" w:cs="Times New Roman"/>
          <w:snapToGrid/>
          <w:color w:val="auto"/>
          <w:kern w:val="2"/>
          <w:sz w:val="24"/>
          <w:szCs w:val="24"/>
          <w:lang w:val="en-US" w:eastAsia="zh-CN" w:bidi="ar-SA"/>
        </w:rPr>
        <w:t>h</w:t>
      </w:r>
      <w:r>
        <w:rPr>
          <w:rFonts w:hint="default" w:ascii="Times New Roman" w:hAnsi="Times New Roman" w:eastAsia="宋体" w:cs="Times New Roman"/>
          <w:snapToGrid/>
          <w:color w:val="auto"/>
          <w:kern w:val="2"/>
          <w:sz w:val="24"/>
          <w:szCs w:val="24"/>
          <w:lang w:val="en-US" w:eastAsia="zh-CN" w:bidi="ar-SA"/>
        </w:rPr>
        <w:t>平均（O</w:t>
      </w:r>
      <w:r>
        <w:rPr>
          <w:rFonts w:hint="default" w:ascii="Times New Roman" w:hAnsi="Times New Roman" w:eastAsia="宋体" w:cs="Times New Roman"/>
          <w:snapToGrid/>
          <w:color w:val="auto"/>
          <w:kern w:val="2"/>
          <w:sz w:val="24"/>
          <w:szCs w:val="24"/>
          <w:vertAlign w:val="subscript"/>
          <w:lang w:val="en-US" w:eastAsia="zh-CN" w:bidi="ar-SA"/>
        </w:rPr>
        <w:t>3</w:t>
      </w:r>
      <w:r>
        <w:rPr>
          <w:rFonts w:hint="default" w:ascii="Times New Roman" w:hAnsi="Times New Roman" w:eastAsia="宋体" w:cs="Times New Roman"/>
          <w:snapToGrid/>
          <w:color w:val="auto"/>
          <w:kern w:val="2"/>
          <w:sz w:val="24"/>
          <w:szCs w:val="24"/>
          <w:lang w:val="en-US" w:eastAsia="zh-CN" w:bidi="ar-SA"/>
        </w:rPr>
        <w:t>8小时平均）质量浓度均满足《环境空气质量标准》（GB3095-20</w:t>
      </w:r>
      <w:r>
        <w:rPr>
          <w:rFonts w:hint="eastAsia" w:ascii="Times New Roman" w:hAnsi="Times New Roman" w:eastAsia="宋体" w:cs="Times New Roman"/>
          <w:snapToGrid/>
          <w:color w:val="auto"/>
          <w:kern w:val="2"/>
          <w:sz w:val="24"/>
          <w:szCs w:val="24"/>
          <w:lang w:val="en-US" w:eastAsia="zh-CN" w:bidi="ar-SA"/>
        </w:rPr>
        <w:t>26</w:t>
      </w:r>
      <w:r>
        <w:rPr>
          <w:rFonts w:hint="default" w:ascii="Times New Roman" w:hAnsi="Times New Roman" w:eastAsia="宋体" w:cs="Times New Roman"/>
          <w:snapToGrid/>
          <w:color w:val="auto"/>
          <w:kern w:val="2"/>
          <w:sz w:val="24"/>
          <w:szCs w:val="24"/>
          <w:lang w:val="en-US" w:eastAsia="zh-CN" w:bidi="ar-SA"/>
        </w:rPr>
        <w:t>）中</w:t>
      </w:r>
      <w:r>
        <w:rPr>
          <w:rFonts w:hint="eastAsia" w:ascii="Times New Roman" w:hAnsi="Times New Roman" w:eastAsia="宋体" w:cs="Times New Roman"/>
          <w:snapToGrid/>
          <w:color w:val="auto"/>
          <w:kern w:val="2"/>
          <w:sz w:val="24"/>
          <w:szCs w:val="24"/>
          <w:lang w:val="en-US" w:eastAsia="zh-CN" w:bidi="ar-SA"/>
        </w:rPr>
        <w:t>过渡期</w:t>
      </w:r>
      <w:r>
        <w:rPr>
          <w:rFonts w:hint="default" w:ascii="Times New Roman" w:hAnsi="Times New Roman" w:eastAsia="宋体" w:cs="Times New Roman"/>
          <w:snapToGrid/>
          <w:color w:val="auto"/>
          <w:kern w:val="2"/>
          <w:sz w:val="24"/>
          <w:szCs w:val="24"/>
          <w:lang w:val="en-US" w:eastAsia="zh-CN" w:bidi="ar-SA"/>
        </w:rPr>
        <w:t>二级标准要求。补充监测结果表明，本项目评价区域TSP</w:t>
      </w:r>
      <w:r>
        <w:rPr>
          <w:rFonts w:hint="eastAsia" w:ascii="Times New Roman" w:hAnsi="Times New Roman" w:eastAsia="宋体" w:cs="Times New Roman"/>
          <w:snapToGrid/>
          <w:color w:val="auto"/>
          <w:kern w:val="2"/>
          <w:sz w:val="24"/>
          <w:szCs w:val="24"/>
          <w:lang w:val="en-US" w:eastAsia="zh-CN" w:bidi="ar-SA"/>
        </w:rPr>
        <w:t>、氮氧化物和汞</w:t>
      </w:r>
      <w:r>
        <w:rPr>
          <w:rFonts w:hint="default" w:ascii="Times New Roman" w:hAnsi="Times New Roman" w:eastAsia="宋体" w:cs="Times New Roman"/>
          <w:snapToGrid/>
          <w:color w:val="auto"/>
          <w:kern w:val="2"/>
          <w:sz w:val="24"/>
          <w:szCs w:val="24"/>
          <w:lang w:val="en-US" w:eastAsia="zh-CN" w:bidi="ar-SA"/>
        </w:rPr>
        <w:t>浓度满足《环境空气质量标准》（GB3095-20</w:t>
      </w:r>
      <w:r>
        <w:rPr>
          <w:rFonts w:hint="eastAsia" w:ascii="Times New Roman" w:hAnsi="Times New Roman" w:eastAsia="宋体" w:cs="Times New Roman"/>
          <w:snapToGrid/>
          <w:color w:val="auto"/>
          <w:kern w:val="2"/>
          <w:sz w:val="24"/>
          <w:szCs w:val="24"/>
          <w:lang w:val="en-US" w:eastAsia="zh-CN" w:bidi="ar-SA"/>
        </w:rPr>
        <w:t>26</w:t>
      </w:r>
      <w:r>
        <w:rPr>
          <w:rFonts w:hint="default" w:ascii="Times New Roman" w:hAnsi="Times New Roman" w:eastAsia="宋体" w:cs="Times New Roman"/>
          <w:snapToGrid/>
          <w:color w:val="auto"/>
          <w:kern w:val="2"/>
          <w:sz w:val="24"/>
          <w:szCs w:val="24"/>
          <w:lang w:val="en-US" w:eastAsia="zh-CN" w:bidi="ar-SA"/>
        </w:rPr>
        <w:t>）</w:t>
      </w:r>
      <w:r>
        <w:rPr>
          <w:rFonts w:hint="eastAsia" w:ascii="Times New Roman" w:hAnsi="Times New Roman" w:eastAsia="宋体" w:cs="Times New Roman"/>
          <w:snapToGrid/>
          <w:color w:val="auto"/>
          <w:kern w:val="2"/>
          <w:sz w:val="24"/>
          <w:szCs w:val="24"/>
          <w:lang w:val="en-US" w:eastAsia="zh-CN" w:bidi="ar-SA"/>
        </w:rPr>
        <w:t>中过渡期</w:t>
      </w:r>
      <w:r>
        <w:rPr>
          <w:rFonts w:hint="default" w:ascii="Times New Roman" w:hAnsi="Times New Roman" w:eastAsia="宋体" w:cs="Times New Roman"/>
          <w:snapToGrid/>
          <w:color w:val="auto"/>
          <w:kern w:val="2"/>
          <w:sz w:val="24"/>
          <w:szCs w:val="24"/>
          <w:lang w:val="en-US" w:eastAsia="zh-CN" w:bidi="ar-SA"/>
        </w:rPr>
        <w:t>二级标准</w:t>
      </w:r>
      <w:r>
        <w:rPr>
          <w:rFonts w:hint="eastAsia" w:ascii="Times New Roman" w:hAnsi="Times New Roman" w:eastAsia="宋体" w:cs="Times New Roman"/>
          <w:snapToGrid/>
          <w:color w:val="auto"/>
          <w:kern w:val="2"/>
          <w:sz w:val="24"/>
          <w:szCs w:val="24"/>
          <w:lang w:val="zh-CN" w:eastAsia="zh-CN" w:bidi="ar-SA"/>
        </w:rPr>
        <w:t>要求，</w:t>
      </w:r>
      <w:r>
        <w:rPr>
          <w:rFonts w:hint="eastAsia" w:ascii="Times New Roman" w:hAnsi="Times New Roman" w:eastAsia="宋体" w:cs="Times New Roman"/>
          <w:snapToGrid/>
          <w:color w:val="auto"/>
          <w:kern w:val="2"/>
          <w:sz w:val="24"/>
          <w:szCs w:val="24"/>
          <w:lang w:val="en-US" w:eastAsia="zh-CN" w:bidi="ar-SA"/>
        </w:rPr>
        <w:t>氨满足</w:t>
      </w:r>
      <w:r>
        <w:rPr>
          <w:rFonts w:hint="default" w:ascii="Times New Roman" w:hAnsi="Times New Roman" w:eastAsia="宋体" w:cs="Times New Roman"/>
          <w:snapToGrid/>
          <w:color w:val="auto"/>
          <w:kern w:val="2"/>
          <w:sz w:val="24"/>
          <w:szCs w:val="24"/>
          <w:lang w:val="en-US" w:eastAsia="zh-CN" w:bidi="ar-SA"/>
        </w:rPr>
        <w:t>《环境影响评价技术导则  大气环境》（HJ2.2-2018）中附录D</w:t>
      </w:r>
      <w:r>
        <w:rPr>
          <w:rFonts w:hint="eastAsia" w:ascii="Times New Roman" w:hAnsi="Times New Roman"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en-US" w:eastAsia="zh-CN" w:bidi="ar-SA"/>
        </w:rPr>
        <w:t>其他污染物空气质量浓度参考限值</w:t>
      </w:r>
      <w:r>
        <w:rPr>
          <w:rFonts w:hint="eastAsia" w:ascii="Times New Roman" w:hAnsi="Times New Roman"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zh-CN" w:eastAsia="zh-CN" w:bidi="ar-SA"/>
        </w:rPr>
        <w:t>。</w:t>
      </w:r>
    </w:p>
    <w:p w14:paraId="43489014">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08" w:name="_Toc355942131"/>
      <w:bookmarkStart w:id="609" w:name="_Toc337734550"/>
      <w:bookmarkStart w:id="610" w:name="_Toc7362"/>
      <w:bookmarkStart w:id="611" w:name="_Toc402"/>
      <w:bookmarkStart w:id="612" w:name="_Toc21550"/>
      <w:r>
        <w:rPr>
          <w:rFonts w:hint="eastAsia" w:ascii="Times New Roman" w:hAnsi="Times New Roman" w:eastAsia="宋体" w:cs="Times New Roman"/>
          <w:b/>
          <w:bCs/>
          <w:color w:val="auto"/>
          <w:sz w:val="28"/>
          <w:szCs w:val="28"/>
          <w:lang w:val="en-US" w:eastAsia="zh-CN"/>
        </w:rPr>
        <w:t>10.5.2 地表水环境质量现状</w:t>
      </w:r>
      <w:bookmarkEnd w:id="608"/>
      <w:bookmarkEnd w:id="609"/>
      <w:bookmarkEnd w:id="610"/>
      <w:bookmarkEnd w:id="611"/>
      <w:bookmarkEnd w:id="612"/>
    </w:p>
    <w:p w14:paraId="09474F5A">
      <w:pPr>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bookmarkStart w:id="613" w:name="_Toc337734552"/>
      <w:bookmarkStart w:id="614" w:name="_Toc8771"/>
      <w:bookmarkStart w:id="615" w:name="_Toc9602"/>
      <w:bookmarkStart w:id="616" w:name="_Toc10197"/>
      <w:bookmarkStart w:id="617" w:name="_Toc355942133"/>
      <w:bookmarkStart w:id="618" w:name="_Toc185048003"/>
      <w:bookmarkStart w:id="619" w:name="_Toc55171375"/>
      <w:r>
        <w:rPr>
          <w:rFonts w:hint="eastAsia" w:ascii="Times New Roman" w:hAnsi="Times New Roman" w:eastAsia="宋体" w:cs="Times New Roman"/>
          <w:color w:val="auto"/>
          <w:lang w:val="en-US" w:eastAsia="zh-CN"/>
        </w:rPr>
        <w:t>根据《2025年黑龙江省生态环境质量状况》。双鸭山市参与国家考核计算的断面共6个，Ⅰ~Ⅲ类水质比例为66.7%，无劣V类水质断面。与上年同期相比，Ⅰ~Ⅲ类水质比例保持不变，均无劣V类水质断面。</w:t>
      </w:r>
    </w:p>
    <w:p w14:paraId="5FF530E7">
      <w:pPr>
        <w:pStyle w:val="53"/>
        <w:spacing w:line="480" w:lineRule="exact"/>
        <w:ind w:firstLine="480"/>
        <w:textAlignment w:val="auto"/>
        <w:rPr>
          <w:rFonts w:ascii="Times New Roman" w:hAnsi="Times New Roman"/>
          <w:color w:val="auto"/>
        </w:rPr>
      </w:pPr>
      <w:r>
        <w:rPr>
          <w:rFonts w:hint="eastAsia" w:ascii="Times New Roman" w:hAnsi="Times New Roman" w:eastAsia="宋体" w:cs="Times New Roman"/>
          <w:color w:val="auto"/>
          <w:lang w:val="en-US" w:eastAsia="zh-CN"/>
        </w:rPr>
        <w:t>2025年，乌苏里江水系的干流及5条支流共16个断面，水质状况为良好，其中Ⅲ类水质占87.5%，Ⅳ类水质占12.5%，无劣Ⅴ类水质断面，Ⅰ~Ⅲ类水质比例为87.5%。与上年同期相比，Ⅰ~Ⅲ类水质比例上升6.3个百分点，均无劣Ⅴ类水质断面。</w:t>
      </w:r>
    </w:p>
    <w:p w14:paraId="4EFDE48D">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10.5.3 声环境质量现状</w:t>
      </w:r>
      <w:bookmarkEnd w:id="613"/>
      <w:bookmarkEnd w:id="614"/>
      <w:bookmarkEnd w:id="615"/>
      <w:bookmarkEnd w:id="616"/>
      <w:bookmarkEnd w:id="617"/>
    </w:p>
    <w:p w14:paraId="1CA80D99">
      <w:pPr>
        <w:spacing w:line="480" w:lineRule="exact"/>
        <w:ind w:firstLine="480"/>
        <w:rPr>
          <w:rFonts w:ascii="Times New Roman" w:hAnsi="Times New Roman" w:eastAsia="宋体" w:cs="Times New Roman"/>
          <w:color w:val="auto"/>
          <w:szCs w:val="24"/>
        </w:rPr>
      </w:pPr>
      <w:r>
        <w:rPr>
          <w:rFonts w:hint="eastAsia" w:ascii="Times New Roman" w:hAnsi="Times New Roman" w:eastAsia="宋体" w:cs="Times New Roman"/>
          <w:color w:val="auto"/>
          <w:lang w:val="en-US" w:eastAsia="zh-CN"/>
        </w:rPr>
        <w:t>结合噪声现状监测结果，厂界噪声监测点的昼间等效A声级在51~53dB(A)之间，夜间等效A声级在41~45dB(A)之间，声环境现状满足《声环境质量标准》（GB3096-2008）2类标准要求。声环境保护目标处昼间等效A声级在53~56dB(A)之间，夜间等效A声级在44~48dB(A)之间，均满足《声环境质量标准》表1环境噪声限值中的2类标准。</w:t>
      </w:r>
    </w:p>
    <w:p w14:paraId="7D9CF9B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20" w:name="_Toc9368"/>
      <w:bookmarkStart w:id="621" w:name="_Toc8654"/>
      <w:bookmarkStart w:id="622" w:name="_Toc32385"/>
      <w:r>
        <w:rPr>
          <w:rFonts w:hint="eastAsia" w:ascii="Times New Roman" w:hAnsi="Times New Roman" w:eastAsia="宋体" w:cs="Times New Roman"/>
          <w:b/>
          <w:bCs/>
          <w:color w:val="auto"/>
          <w:sz w:val="28"/>
          <w:szCs w:val="28"/>
          <w:lang w:val="en-US" w:eastAsia="zh-CN"/>
        </w:rPr>
        <w:t>10.5.4 土壤环境质量现状</w:t>
      </w:r>
      <w:bookmarkEnd w:id="620"/>
      <w:bookmarkEnd w:id="621"/>
      <w:bookmarkEnd w:id="622"/>
    </w:p>
    <w:p w14:paraId="37E1D331">
      <w:pPr>
        <w:pStyle w:val="96"/>
        <w:keepNext w:val="0"/>
        <w:keepLines w:val="0"/>
        <w:pageBreakBefore w:val="0"/>
        <w:widowControl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spacing w:val="0"/>
          <w:lang w:val="en-US" w:eastAsia="zh-CN"/>
        </w:rPr>
      </w:pPr>
      <w:r>
        <w:rPr>
          <w:rFonts w:hint="default" w:ascii="Times New Roman" w:hAnsi="Times New Roman" w:eastAsia="宋体" w:cs="Times New Roman"/>
          <w:color w:val="auto"/>
          <w:spacing w:val="0"/>
          <w:lang w:val="en-US" w:eastAsia="zh-CN"/>
        </w:rPr>
        <w:t>根据监测结果可知，本项目</w:t>
      </w:r>
      <w:r>
        <w:rPr>
          <w:rFonts w:hint="eastAsia" w:ascii="Times New Roman" w:hAnsi="Times New Roman" w:eastAsia="宋体" w:cs="Times New Roman"/>
          <w:color w:val="auto"/>
          <w:spacing w:val="0"/>
          <w:lang w:val="en-US" w:eastAsia="zh-CN"/>
        </w:rPr>
        <w:t>1#、2#、3#</w:t>
      </w:r>
      <w:r>
        <w:rPr>
          <w:rFonts w:hint="default" w:ascii="Times New Roman" w:hAnsi="Times New Roman" w:eastAsia="宋体" w:cs="Times New Roman"/>
          <w:color w:val="auto"/>
          <w:spacing w:val="0"/>
          <w:lang w:val="en-US" w:eastAsia="zh-CN"/>
        </w:rPr>
        <w:t>土壤环境监测点位监测值满足《土壤环境质量</w:t>
      </w:r>
      <w:r>
        <w:rPr>
          <w:rFonts w:hint="eastAsia" w:ascii="Times New Roman" w:hAnsi="Times New Roman" w:eastAsia="宋体" w:cs="Times New Roman"/>
          <w:color w:val="auto"/>
          <w:spacing w:val="0"/>
          <w:lang w:val="en-US" w:eastAsia="zh-CN"/>
        </w:rPr>
        <w:t xml:space="preserve"> </w:t>
      </w:r>
      <w:r>
        <w:rPr>
          <w:rFonts w:hint="default" w:ascii="Times New Roman" w:hAnsi="Times New Roman" w:eastAsia="宋体" w:cs="Times New Roman"/>
          <w:color w:val="auto"/>
          <w:spacing w:val="0"/>
          <w:lang w:val="en-US" w:eastAsia="zh-CN"/>
        </w:rPr>
        <w:t>建设用地土壤污染风险管控标准》（GB36600-2018）中第二类用地筛选值标准。</w:t>
      </w:r>
    </w:p>
    <w:p w14:paraId="31983C6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23" w:name="_Toc24843"/>
      <w:bookmarkStart w:id="624" w:name="_Toc8325"/>
      <w:bookmarkStart w:id="625" w:name="_Toc27717"/>
      <w:r>
        <w:rPr>
          <w:rFonts w:hint="eastAsia" w:ascii="Times New Roman" w:hAnsi="Times New Roman" w:eastAsia="宋体" w:cs="Times New Roman"/>
          <w:b/>
          <w:bCs/>
          <w:color w:val="auto"/>
          <w:sz w:val="28"/>
          <w:szCs w:val="28"/>
          <w:lang w:val="en-US" w:eastAsia="zh-CN"/>
        </w:rPr>
        <w:t>10.5.5 生态环境质量现状</w:t>
      </w:r>
      <w:bookmarkEnd w:id="623"/>
      <w:bookmarkEnd w:id="624"/>
      <w:bookmarkEnd w:id="625"/>
    </w:p>
    <w:p w14:paraId="664C19AC">
      <w:pPr>
        <w:adjustRightInd w:val="0"/>
        <w:snapToGrid w:val="0"/>
        <w:spacing w:line="480" w:lineRule="exact"/>
        <w:ind w:firstLine="480"/>
        <w:rPr>
          <w:rFonts w:ascii="Times New Roman" w:hAnsi="Times New Roman" w:eastAsia="宋体" w:cs="Times New Roman"/>
          <w:color w:val="auto"/>
        </w:rPr>
      </w:pPr>
      <w:r>
        <w:rPr>
          <w:rFonts w:hint="default" w:ascii="Times New Roman" w:hAnsi="Times New Roman" w:eastAsia="宋体" w:cs="Times New Roman"/>
          <w:color w:val="auto"/>
          <w:spacing w:val="0"/>
        </w:rPr>
        <w:t>本项目位于</w:t>
      </w:r>
      <w:r>
        <w:rPr>
          <w:rFonts w:hint="eastAsia" w:eastAsia="宋体" w:cs="Times New Roman"/>
          <w:color w:val="auto"/>
          <w:spacing w:val="0"/>
          <w:lang w:val="en-US" w:eastAsia="zh-CN"/>
        </w:rPr>
        <w:t>八五二农场场部建成区</w:t>
      </w:r>
      <w:r>
        <w:rPr>
          <w:rFonts w:hint="default" w:ascii="Times New Roman" w:hAnsi="Times New Roman" w:eastAsia="宋体" w:cs="Times New Roman"/>
          <w:color w:val="auto"/>
          <w:spacing w:val="0"/>
        </w:rPr>
        <w:t>范围内，由于多年的开发活动，本项目所在区域自然生态环境已被人工生态环境所取代。区域内土地肥沃，植被主要以水稻、玉米、大豆等粮食作物为主，其他农作物主要为蔬菜。此外，道路两旁及房前屋后栽种的各种绿化或经济林木也有效地改善了生态环境质量。本区陆生动物除了人工饲养的牛、猪、鸡、兔、羊之外，还有少量的野生动物，包括鸟、鼠、蛙、昆虫等，无大型野生哺乳动物，本项目区域范围内不涉及珍惜野生保护植物及动物。</w:t>
      </w:r>
    </w:p>
    <w:p w14:paraId="1FABF753">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626" w:name="_Toc355942134"/>
      <w:bookmarkStart w:id="627" w:name="_Toc337734553"/>
      <w:bookmarkStart w:id="628" w:name="_Toc29410"/>
      <w:bookmarkStart w:id="629" w:name="_Toc26730"/>
      <w:bookmarkStart w:id="630" w:name="_Toc15417"/>
      <w:r>
        <w:rPr>
          <w:rFonts w:hint="eastAsia" w:ascii="Times New Roman" w:hAnsi="Times New Roman" w:eastAsia="宋体" w:cs="Times New Roman"/>
          <w:b/>
          <w:bCs/>
          <w:color w:val="auto"/>
        </w:rPr>
        <w:t>10.6 环境污染防治措施</w:t>
      </w:r>
      <w:bookmarkEnd w:id="626"/>
      <w:bookmarkEnd w:id="627"/>
      <w:r>
        <w:rPr>
          <w:rFonts w:hint="eastAsia" w:ascii="Times New Roman" w:hAnsi="Times New Roman" w:eastAsia="宋体" w:cs="Times New Roman"/>
          <w:b/>
          <w:bCs/>
          <w:color w:val="auto"/>
        </w:rPr>
        <w:t>结论</w:t>
      </w:r>
      <w:bookmarkEnd w:id="628"/>
      <w:bookmarkEnd w:id="629"/>
      <w:bookmarkEnd w:id="630"/>
    </w:p>
    <w:p w14:paraId="21FED438">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31" w:name="_Toc9916"/>
      <w:bookmarkStart w:id="632" w:name="_Toc2435"/>
      <w:bookmarkStart w:id="633" w:name="_Toc13656"/>
      <w:r>
        <w:rPr>
          <w:rFonts w:hint="eastAsia" w:ascii="Times New Roman" w:hAnsi="Times New Roman" w:eastAsia="宋体" w:cs="Times New Roman"/>
          <w:b/>
          <w:bCs/>
          <w:color w:val="auto"/>
          <w:sz w:val="28"/>
          <w:szCs w:val="28"/>
          <w:lang w:val="en-US" w:eastAsia="zh-CN"/>
        </w:rPr>
        <w:t>10.6.1 废气污染防治措施</w:t>
      </w:r>
      <w:bookmarkEnd w:id="631"/>
      <w:bookmarkEnd w:id="632"/>
      <w:bookmarkEnd w:id="633"/>
    </w:p>
    <w:p w14:paraId="2C8394D5">
      <w:pPr>
        <w:adjustRightInd w:val="0"/>
        <w:snapToGrid w:val="0"/>
        <w:spacing w:line="480" w:lineRule="exact"/>
        <w:ind w:firstLine="480"/>
        <w:rPr>
          <w:rFonts w:hint="default" w:ascii="Times New Roman" w:hAnsi="Times New Roman" w:eastAsia="宋体" w:cs="Times New Roman"/>
          <w:color w:val="auto"/>
          <w:spacing w:val="0"/>
          <w:lang w:val="zh-CN" w:eastAsia="zh-CN"/>
        </w:rPr>
      </w:pPr>
      <w:r>
        <w:rPr>
          <w:rFonts w:hint="default" w:ascii="Times New Roman" w:hAnsi="Times New Roman" w:eastAsia="宋体" w:cs="Times New Roman"/>
          <w:color w:val="auto"/>
          <w:spacing w:val="0"/>
        </w:rPr>
        <w:t>本项目产生的锅炉烟气经“</w:t>
      </w:r>
      <w:r>
        <w:rPr>
          <w:rFonts w:hint="eastAsia" w:ascii="Times New Roman" w:hAnsi="Times New Roman" w:eastAsia="宋体" w:cs="Times New Roman"/>
          <w:color w:val="auto"/>
          <w:spacing w:val="0"/>
        </w:rPr>
        <w:t>SNCR-SCR脱硝</w:t>
      </w:r>
      <w:r>
        <w:rPr>
          <w:rFonts w:hint="default" w:ascii="Times New Roman" w:hAnsi="Times New Roman" w:eastAsia="宋体" w:cs="Times New Roman"/>
          <w:color w:val="auto"/>
          <w:spacing w:val="0"/>
        </w:rPr>
        <w:t>+</w:t>
      </w:r>
      <w:r>
        <w:rPr>
          <w:rFonts w:hint="eastAsia" w:ascii="Times New Roman" w:hAnsi="Times New Roman" w:eastAsia="宋体" w:cs="Times New Roman"/>
          <w:color w:val="auto"/>
          <w:spacing w:val="0"/>
        </w:rPr>
        <w:t>布袋除尘器除尘+</w:t>
      </w:r>
      <w:r>
        <w:rPr>
          <w:rFonts w:hint="eastAsia" w:ascii="Times New Roman" w:hAnsi="Times New Roman" w:eastAsia="宋体" w:cs="Times New Roman"/>
          <w:color w:val="auto"/>
          <w:spacing w:val="0"/>
          <w:lang w:val="en-US" w:eastAsia="zh-CN"/>
        </w:rPr>
        <w:t>氧化镁</w:t>
      </w:r>
      <w:r>
        <w:rPr>
          <w:rFonts w:hint="eastAsia" w:ascii="Times New Roman" w:hAnsi="Times New Roman" w:eastAsia="宋体" w:cs="Times New Roman"/>
          <w:color w:val="auto"/>
          <w:spacing w:val="0"/>
        </w:rPr>
        <w:t>法脱硫</w:t>
      </w:r>
      <w:r>
        <w:rPr>
          <w:rFonts w:hint="default" w:ascii="Times New Roman" w:hAnsi="Times New Roman" w:eastAsia="宋体" w:cs="Times New Roman"/>
          <w:color w:val="auto"/>
          <w:spacing w:val="0"/>
        </w:rPr>
        <w:t>”处理后，</w:t>
      </w:r>
      <w:r>
        <w:rPr>
          <w:rFonts w:hint="eastAsia" w:ascii="Times New Roman" w:hAnsi="Times New Roman" w:eastAsia="宋体" w:cs="Times New Roman"/>
          <w:color w:val="auto"/>
          <w:spacing w:val="0"/>
        </w:rPr>
        <w:t>通过</w:t>
      </w:r>
      <w:r>
        <w:rPr>
          <w:rFonts w:hint="default" w:ascii="Times New Roman" w:hAnsi="Times New Roman" w:eastAsia="宋体" w:cs="Times New Roman"/>
          <w:color w:val="auto"/>
          <w:spacing w:val="0"/>
        </w:rPr>
        <w:t>1座</w:t>
      </w:r>
      <w:r>
        <w:rPr>
          <w:rFonts w:hint="eastAsia" w:ascii="Times New Roman" w:hAnsi="Times New Roman" w:eastAsia="宋体" w:cs="Times New Roman"/>
          <w:color w:val="auto"/>
          <w:spacing w:val="0"/>
          <w:lang w:val="en-US" w:eastAsia="zh-CN"/>
        </w:rPr>
        <w:t>100</w:t>
      </w:r>
      <w:r>
        <w:rPr>
          <w:rFonts w:hint="default" w:ascii="Times New Roman" w:hAnsi="Times New Roman" w:eastAsia="宋体" w:cs="Times New Roman"/>
          <w:color w:val="auto"/>
          <w:spacing w:val="0"/>
        </w:rPr>
        <w:t>m</w:t>
      </w:r>
      <w:r>
        <w:rPr>
          <w:rFonts w:hint="eastAsia" w:ascii="Times New Roman" w:hAnsi="Times New Roman" w:eastAsia="宋体" w:cs="Times New Roman"/>
          <w:color w:val="auto"/>
          <w:spacing w:val="0"/>
        </w:rPr>
        <w:t>高</w:t>
      </w:r>
      <w:r>
        <w:rPr>
          <w:rFonts w:hint="default" w:ascii="Times New Roman" w:hAnsi="Times New Roman" w:eastAsia="宋体" w:cs="Times New Roman"/>
          <w:color w:val="auto"/>
          <w:spacing w:val="0"/>
        </w:rPr>
        <w:t>烟囱</w:t>
      </w:r>
      <w:r>
        <w:rPr>
          <w:rFonts w:hint="eastAsia" w:ascii="Times New Roman" w:hAnsi="Times New Roman" w:eastAsia="宋体" w:cs="Times New Roman"/>
          <w:color w:val="auto"/>
          <w:spacing w:val="0"/>
        </w:rPr>
        <w:t>DA001</w:t>
      </w:r>
      <w:r>
        <w:rPr>
          <w:rFonts w:hint="default" w:ascii="Times New Roman" w:hAnsi="Times New Roman" w:eastAsia="宋体" w:cs="Times New Roman"/>
          <w:color w:val="auto"/>
          <w:spacing w:val="0"/>
        </w:rPr>
        <w:t>排放</w:t>
      </w:r>
      <w:r>
        <w:rPr>
          <w:rFonts w:hint="eastAsia" w:ascii="Times New Roman" w:hAnsi="Times New Roman" w:eastAsia="宋体" w:cs="Times New Roman"/>
          <w:color w:val="auto"/>
          <w:spacing w:val="0"/>
          <w:lang w:eastAsia="zh-CN"/>
        </w:rPr>
        <w:t>。</w:t>
      </w:r>
      <w:r>
        <w:rPr>
          <w:rFonts w:hint="eastAsia" w:ascii="Times New Roman" w:hAnsi="Times New Roman" w:eastAsia="宋体" w:cs="Times New Roman"/>
          <w:color w:val="auto"/>
          <w:spacing w:val="0"/>
          <w:lang w:val="en-US" w:eastAsia="zh-CN"/>
        </w:rPr>
        <w:t>同时，</w:t>
      </w:r>
      <w:r>
        <w:rPr>
          <w:rFonts w:hint="default" w:ascii="Times New Roman" w:hAnsi="Times New Roman" w:eastAsia="宋体" w:cs="Times New Roman"/>
          <w:color w:val="auto"/>
          <w:spacing w:val="0"/>
          <w:lang w:val="zh-CN" w:eastAsia="zh-CN"/>
        </w:rPr>
        <w:t>为及时了解和监测热源厂烟气污染防治措施运行效果和烟气排放情况，锅炉</w:t>
      </w:r>
      <w:r>
        <w:rPr>
          <w:rFonts w:hint="eastAsia" w:ascii="Times New Roman" w:hAnsi="Times New Roman" w:eastAsia="宋体" w:cs="Times New Roman"/>
          <w:color w:val="auto"/>
          <w:spacing w:val="0"/>
          <w:lang w:val="zh-CN" w:eastAsia="zh-CN"/>
        </w:rPr>
        <w:t>设置</w:t>
      </w:r>
      <w:r>
        <w:rPr>
          <w:rFonts w:hint="default" w:ascii="Times New Roman" w:hAnsi="Times New Roman" w:eastAsia="宋体" w:cs="Times New Roman"/>
          <w:color w:val="auto"/>
          <w:spacing w:val="0"/>
          <w:lang w:val="zh-CN" w:eastAsia="zh-CN"/>
        </w:rPr>
        <w:t>烟气在线监测系统</w:t>
      </w:r>
      <w:r>
        <w:rPr>
          <w:rFonts w:hint="eastAsia" w:ascii="Times New Roman" w:hAnsi="Times New Roman" w:eastAsia="宋体" w:cs="Times New Roman"/>
          <w:color w:val="auto"/>
          <w:spacing w:val="0"/>
          <w:lang w:val="zh-CN" w:eastAsia="zh-CN"/>
        </w:rPr>
        <w:t>，</w:t>
      </w:r>
      <w:r>
        <w:rPr>
          <w:rFonts w:hint="eastAsia" w:ascii="Times New Roman" w:hAnsi="Times New Roman" w:eastAsia="宋体" w:cs="Times New Roman"/>
          <w:color w:val="auto"/>
          <w:spacing w:val="0"/>
          <w:lang w:val="en-US" w:eastAsia="zh-CN"/>
        </w:rPr>
        <w:t>并</w:t>
      </w:r>
      <w:r>
        <w:rPr>
          <w:rFonts w:hint="default" w:ascii="Times New Roman" w:hAnsi="Times New Roman" w:eastAsia="宋体" w:cs="Times New Roman"/>
          <w:color w:val="auto"/>
          <w:spacing w:val="0"/>
          <w:lang w:val="zh-CN" w:eastAsia="zh-CN"/>
        </w:rPr>
        <w:t>与当地生态环境局监控中心联网。</w:t>
      </w:r>
    </w:p>
    <w:p w14:paraId="1839FEB6">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color w:val="auto"/>
          <w:lang w:val="en-US" w:eastAsia="zh-CN"/>
        </w:rPr>
      </w:pPr>
      <w:r>
        <w:rPr>
          <w:rFonts w:hint="default" w:ascii="Times New Roman" w:hAnsi="Times New Roman" w:eastAsia="宋体" w:cs="Times New Roman"/>
          <w:color w:val="auto"/>
          <w:sz w:val="24"/>
          <w:szCs w:val="24"/>
          <w:highlight w:val="none"/>
          <w:lang w:val="zh-CN" w:eastAsia="zh-CN"/>
        </w:rPr>
        <w:t>本项目脱硝采用</w:t>
      </w:r>
      <w:r>
        <w:rPr>
          <w:rFonts w:hint="eastAsia" w:ascii="Times New Roman" w:hAnsi="Times New Roman" w:eastAsia="宋体" w:cs="Times New Roman"/>
          <w:color w:val="auto"/>
          <w:sz w:val="24"/>
          <w:szCs w:val="24"/>
          <w:highlight w:val="none"/>
          <w:lang w:val="en-US" w:eastAsia="zh-CN"/>
        </w:rPr>
        <w:t>尿素溶液</w:t>
      </w:r>
      <w:r>
        <w:rPr>
          <w:rFonts w:hint="default" w:ascii="Times New Roman" w:hAnsi="Times New Roman" w:eastAsia="宋体" w:cs="Times New Roman"/>
          <w:color w:val="auto"/>
          <w:sz w:val="24"/>
          <w:szCs w:val="24"/>
          <w:highlight w:val="none"/>
          <w:lang w:val="zh-CN" w:eastAsia="zh-CN"/>
        </w:rPr>
        <w:t>脱硝，与NO</w:t>
      </w:r>
      <w:r>
        <w:rPr>
          <w:rFonts w:hint="default" w:ascii="Times New Roman" w:hAnsi="Times New Roman" w:eastAsia="宋体" w:cs="Times New Roman"/>
          <w:color w:val="auto"/>
          <w:sz w:val="24"/>
          <w:szCs w:val="24"/>
          <w:highlight w:val="none"/>
          <w:vertAlign w:val="subscript"/>
          <w:lang w:val="zh-CN" w:eastAsia="zh-CN"/>
        </w:rPr>
        <w:t>x</w:t>
      </w:r>
      <w:r>
        <w:rPr>
          <w:rFonts w:hint="default" w:ascii="Times New Roman" w:hAnsi="Times New Roman" w:eastAsia="宋体" w:cs="Times New Roman"/>
          <w:color w:val="auto"/>
          <w:sz w:val="24"/>
          <w:szCs w:val="24"/>
          <w:highlight w:val="none"/>
          <w:lang w:val="zh-CN" w:eastAsia="zh-CN"/>
        </w:rPr>
        <w:t>反应过程中将产生无组织排放的NH</w:t>
      </w:r>
      <w:r>
        <w:rPr>
          <w:rFonts w:hint="default" w:ascii="Times New Roman" w:hAnsi="Times New Roman" w:eastAsia="宋体" w:cs="Times New Roman"/>
          <w:color w:val="auto"/>
          <w:sz w:val="24"/>
          <w:szCs w:val="24"/>
          <w:highlight w:val="none"/>
          <w:vertAlign w:val="subscript"/>
          <w:lang w:val="zh-CN" w:eastAsia="zh-CN"/>
        </w:rPr>
        <w:t>3</w:t>
      </w:r>
      <w:r>
        <w:rPr>
          <w:rFonts w:hint="default" w:ascii="Times New Roman" w:hAnsi="Times New Roman" w:eastAsia="宋体" w:cs="Times New Roman"/>
          <w:color w:val="auto"/>
          <w:sz w:val="24"/>
          <w:szCs w:val="24"/>
          <w:highlight w:val="none"/>
          <w:lang w:val="zh-CN" w:eastAsia="zh-CN"/>
        </w:rPr>
        <w:t>，产生逃逸现象。本项目的脱硝</w:t>
      </w:r>
      <w:r>
        <w:rPr>
          <w:rFonts w:hint="eastAsia" w:ascii="Times New Roman" w:hAnsi="Times New Roman" w:eastAsia="宋体" w:cs="Times New Roman"/>
          <w:color w:val="auto"/>
          <w:sz w:val="24"/>
          <w:szCs w:val="24"/>
          <w:highlight w:val="none"/>
          <w:lang w:val="zh-CN" w:eastAsia="zh-CN"/>
        </w:rPr>
        <w:t>过程中向</w:t>
      </w:r>
      <w:r>
        <w:rPr>
          <w:rFonts w:hint="default" w:ascii="Times New Roman" w:hAnsi="Times New Roman" w:eastAsia="宋体" w:cs="Times New Roman"/>
          <w:color w:val="auto"/>
          <w:sz w:val="24"/>
          <w:szCs w:val="24"/>
          <w:highlight w:val="none"/>
          <w:lang w:val="zh-CN" w:eastAsia="zh-CN"/>
        </w:rPr>
        <w:t>炉内喷淋</w:t>
      </w:r>
      <w:r>
        <w:rPr>
          <w:rFonts w:hint="eastAsia" w:ascii="Times New Roman" w:hAnsi="Times New Roman" w:eastAsia="宋体" w:cs="Times New Roman"/>
          <w:color w:val="auto"/>
          <w:sz w:val="24"/>
          <w:szCs w:val="24"/>
          <w:highlight w:val="none"/>
          <w:lang w:val="en-US" w:eastAsia="zh-CN"/>
        </w:rPr>
        <w:t>尿素溶液</w:t>
      </w:r>
      <w:r>
        <w:rPr>
          <w:rFonts w:hint="default" w:ascii="Times New Roman" w:hAnsi="Times New Roman" w:eastAsia="宋体" w:cs="Times New Roman"/>
          <w:color w:val="auto"/>
          <w:sz w:val="24"/>
          <w:szCs w:val="24"/>
          <w:highlight w:val="none"/>
          <w:lang w:val="zh-CN" w:eastAsia="zh-CN"/>
        </w:rPr>
        <w:t>，合理控制喷淋量以及其分布的均匀性，同时采用控制反应区内温度及足够的停留时间等措施，确保氨与烟气中氮氧化物具备良好的接触，降低氨的逃逸量</w:t>
      </w:r>
      <w:r>
        <w:rPr>
          <w:rFonts w:hint="eastAsia" w:ascii="Times New Roman" w:hAnsi="Times New Roman" w:eastAsia="宋体" w:cs="Times New Roman"/>
          <w:color w:val="auto"/>
          <w:sz w:val="24"/>
          <w:szCs w:val="24"/>
          <w:highlight w:val="none"/>
          <w:lang w:val="zh-CN" w:eastAsia="zh-CN"/>
        </w:rPr>
        <w:t>。</w:t>
      </w:r>
    </w:p>
    <w:p w14:paraId="69EE9F7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本项目运营期无组织废气主要来自</w:t>
      </w:r>
      <w:r>
        <w:rPr>
          <w:rFonts w:hint="eastAsia" w:ascii="Times New Roman" w:hAnsi="Times New Roman" w:eastAsia="宋体" w:cs="Times New Roman"/>
          <w:color w:val="auto"/>
          <w:sz w:val="24"/>
          <w:szCs w:val="24"/>
          <w:highlight w:val="none"/>
          <w:lang w:val="zh-CN" w:eastAsia="zh-CN"/>
        </w:rPr>
        <w:t>输煤系统、</w:t>
      </w:r>
      <w:r>
        <w:rPr>
          <w:rFonts w:hint="eastAsia" w:ascii="Times New Roman" w:hAnsi="Times New Roman" w:eastAsia="宋体" w:cs="Times New Roman"/>
          <w:color w:val="auto"/>
          <w:sz w:val="24"/>
          <w:szCs w:val="24"/>
          <w:highlight w:val="none"/>
          <w:lang w:val="en-US" w:eastAsia="zh-CN"/>
        </w:rPr>
        <w:t>煤库、</w:t>
      </w:r>
      <w:r>
        <w:rPr>
          <w:rFonts w:hint="default" w:ascii="Times New Roman" w:hAnsi="Times New Roman" w:eastAsia="宋体" w:cs="Times New Roman"/>
          <w:color w:val="auto"/>
          <w:sz w:val="24"/>
          <w:szCs w:val="24"/>
          <w:highlight w:val="none"/>
          <w:lang w:val="zh-CN" w:eastAsia="zh-CN"/>
        </w:rPr>
        <w:t>碎煤机室</w:t>
      </w:r>
      <w:r>
        <w:rPr>
          <w:rFonts w:hint="eastAsia" w:ascii="Times New Roman" w:hAnsi="Times New Roman" w:eastAsia="宋体" w:cs="Times New Roman"/>
          <w:color w:val="auto"/>
          <w:sz w:val="24"/>
          <w:szCs w:val="24"/>
          <w:highlight w:val="none"/>
          <w:lang w:val="zh-CN" w:eastAsia="zh-CN"/>
        </w:rPr>
        <w:t>、</w:t>
      </w:r>
      <w:r>
        <w:rPr>
          <w:rFonts w:hint="eastAsia" w:ascii="Times New Roman" w:hAnsi="Times New Roman" w:eastAsia="宋体" w:cs="Times New Roman"/>
          <w:color w:val="auto"/>
          <w:sz w:val="24"/>
          <w:szCs w:val="24"/>
          <w:highlight w:val="none"/>
          <w:lang w:val="en-US" w:eastAsia="zh-CN"/>
        </w:rPr>
        <w:t>灰渣仓</w:t>
      </w:r>
      <w:r>
        <w:rPr>
          <w:rFonts w:hint="default" w:ascii="Times New Roman" w:hAnsi="Times New Roman" w:eastAsia="宋体" w:cs="Times New Roman"/>
          <w:color w:val="auto"/>
          <w:sz w:val="24"/>
          <w:szCs w:val="24"/>
          <w:highlight w:val="none"/>
          <w:lang w:val="zh-CN" w:eastAsia="zh-CN"/>
        </w:rPr>
        <w:t>等。</w:t>
      </w:r>
    </w:p>
    <w:p w14:paraId="537E159A">
      <w:pPr>
        <w:adjustRightInd w:val="0"/>
        <w:snapToGrid w:val="0"/>
        <w:spacing w:line="480" w:lineRule="exact"/>
        <w:ind w:firstLine="480"/>
        <w:rPr>
          <w:rFonts w:hint="eastAsia" w:ascii="Times New Roman" w:hAnsi="Times New Roman" w:cs="Times New Roman" w:eastAsiaTheme="minorEastAsia"/>
          <w:color w:val="auto"/>
          <w:kern w:val="0"/>
          <w:szCs w:val="24"/>
          <w:lang w:eastAsia="zh-CN"/>
        </w:rPr>
      </w:pPr>
      <w:r>
        <w:rPr>
          <w:rFonts w:hint="eastAsia" w:ascii="Times New Roman" w:hAnsi="Times New Roman" w:eastAsia="宋体" w:cs="Times New Roman"/>
          <w:color w:val="auto"/>
          <w:sz w:val="24"/>
          <w:szCs w:val="24"/>
          <w:highlight w:val="none"/>
          <w:lang w:val="zh-CN" w:eastAsia="zh-CN"/>
        </w:rPr>
        <w:t>本次</w:t>
      </w:r>
      <w:r>
        <w:rPr>
          <w:rFonts w:hint="eastAsia" w:ascii="Times New Roman" w:hAnsi="Times New Roman" w:eastAsia="宋体" w:cs="Times New Roman"/>
          <w:color w:val="auto"/>
          <w:sz w:val="24"/>
          <w:szCs w:val="24"/>
          <w:highlight w:val="none"/>
          <w:lang w:val="en-US" w:eastAsia="zh-CN"/>
        </w:rPr>
        <w:t>评价要求</w:t>
      </w:r>
      <w:r>
        <w:rPr>
          <w:rFonts w:hint="eastAsia" w:ascii="Times New Roman" w:hAnsi="Times New Roman" w:eastAsia="宋体" w:cs="Times New Roman"/>
          <w:color w:val="auto"/>
          <w:sz w:val="24"/>
          <w:szCs w:val="24"/>
          <w:highlight w:val="none"/>
          <w:lang w:val="zh-CN" w:eastAsia="zh-CN"/>
        </w:rPr>
        <w:t>碎煤机室、</w:t>
      </w:r>
      <w:r>
        <w:rPr>
          <w:rFonts w:hint="eastAsia" w:ascii="Times New Roman" w:hAnsi="Times New Roman" w:eastAsia="宋体" w:cs="Times New Roman"/>
          <w:color w:val="auto"/>
          <w:sz w:val="24"/>
          <w:szCs w:val="24"/>
          <w:highlight w:val="none"/>
          <w:lang w:val="en-US" w:eastAsia="zh-CN"/>
        </w:rPr>
        <w:t>灰渣仓全封闭处理，煤库全封闭，定期洒水降尘</w:t>
      </w:r>
      <w:r>
        <w:rPr>
          <w:rFonts w:hint="default" w:ascii="Times New Roman" w:hAnsi="Times New Roman" w:eastAsia="宋体" w:cs="Times New Roman"/>
          <w:color w:val="auto"/>
          <w:sz w:val="24"/>
          <w:szCs w:val="24"/>
          <w:highlight w:val="none"/>
          <w:lang w:val="zh-CN" w:eastAsia="zh-CN"/>
        </w:rPr>
        <w:t>。</w:t>
      </w:r>
      <w:r>
        <w:rPr>
          <w:rFonts w:hint="eastAsia" w:ascii="Times New Roman" w:hAnsi="Times New Roman" w:eastAsia="宋体" w:cs="Times New Roman"/>
          <w:color w:val="auto"/>
          <w:sz w:val="24"/>
          <w:szCs w:val="24"/>
          <w:highlight w:val="none"/>
          <w:lang w:val="en-US" w:eastAsia="zh-CN"/>
        </w:rPr>
        <w:t>输煤栈桥全封闭，设喷水降尘装置。</w:t>
      </w:r>
    </w:p>
    <w:bookmarkEnd w:id="618"/>
    <w:p w14:paraId="4433BA8B">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34" w:name="_Toc16347"/>
      <w:bookmarkStart w:id="635" w:name="_Toc18599"/>
      <w:bookmarkStart w:id="636" w:name="_Toc26714"/>
      <w:r>
        <w:rPr>
          <w:rFonts w:hint="eastAsia" w:ascii="Times New Roman" w:hAnsi="Times New Roman" w:eastAsia="宋体" w:cs="Times New Roman"/>
          <w:b/>
          <w:bCs/>
          <w:color w:val="auto"/>
          <w:sz w:val="28"/>
          <w:szCs w:val="28"/>
          <w:lang w:val="en-US" w:eastAsia="zh-CN"/>
        </w:rPr>
        <w:t>10.6.2 废水污染防治措施</w:t>
      </w:r>
      <w:bookmarkEnd w:id="634"/>
      <w:bookmarkEnd w:id="635"/>
      <w:bookmarkEnd w:id="636"/>
    </w:p>
    <w:p w14:paraId="0F347FC8">
      <w:pPr>
        <w:adjustRightInd w:val="0"/>
        <w:snapToGrid w:val="0"/>
        <w:spacing w:line="480" w:lineRule="exact"/>
        <w:ind w:firstLine="480"/>
        <w:rPr>
          <w:rFonts w:hint="eastAsia" w:ascii="Times New Roman" w:hAnsi="Times New Roman" w:eastAsia="宋体" w:cs="Times New Roman"/>
          <w:color w:val="auto"/>
          <w:sz w:val="24"/>
          <w:szCs w:val="24"/>
          <w:highlight w:val="none"/>
          <w:lang w:val="en-US" w:eastAsia="zh-CN"/>
        </w:rPr>
      </w:pPr>
      <w:bookmarkStart w:id="637" w:name="_Toc355942137"/>
      <w:bookmarkStart w:id="638" w:name="_Toc337734556"/>
      <w:r>
        <w:rPr>
          <w:rFonts w:hint="eastAsia" w:ascii="Times New Roman" w:hAnsi="Times New Roman" w:eastAsia="宋体" w:cs="Times New Roman"/>
          <w:color w:val="auto"/>
          <w:sz w:val="24"/>
          <w:szCs w:val="24"/>
          <w:highlight w:val="none"/>
          <w:lang w:val="en-US" w:eastAsia="zh-CN"/>
        </w:rPr>
        <w:t>（1）地表水污污染防治措施</w:t>
      </w:r>
    </w:p>
    <w:p w14:paraId="2861F007">
      <w:pPr>
        <w:adjustRightInd w:val="0"/>
        <w:snapToGrid w:val="0"/>
        <w:spacing w:line="480" w:lineRule="exact"/>
        <w:ind w:firstLine="480"/>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zh-CN" w:eastAsia="zh-CN"/>
        </w:rPr>
        <w:t>本项目不新增生活污水排放，生产废水全部回用不外排，锅炉排污水及软化水系统排污水全部回用于除灰加湿及输煤系统除尘用水。</w:t>
      </w:r>
    </w:p>
    <w:p w14:paraId="1CF31839">
      <w:pPr>
        <w:adjustRightInd w:val="0"/>
        <w:snapToGrid w:val="0"/>
        <w:spacing w:line="480" w:lineRule="exact"/>
        <w:ind w:firstLine="480"/>
        <w:rPr>
          <w:rFonts w:hint="default"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（2）地下水污染防治措施</w:t>
      </w:r>
    </w:p>
    <w:bookmarkEnd w:id="637"/>
    <w:bookmarkEnd w:id="638"/>
    <w:p w14:paraId="5E56A7A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1</w:t>
      </w:r>
      <w:r>
        <w:rPr>
          <w:rFonts w:hint="eastAsia" w:ascii="Times New Roman" w:hAnsi="Times New Roman" w:eastAsia="宋体" w:cs="Times New Roman"/>
          <w:color w:val="auto"/>
          <w:sz w:val="24"/>
          <w:szCs w:val="24"/>
          <w:highlight w:val="none"/>
          <w:lang w:val="zh-CN" w:eastAsia="zh-CN"/>
        </w:rPr>
        <w:t>、一般防渗区（一般污染防治区）</w:t>
      </w:r>
    </w:p>
    <w:p w14:paraId="6DE94E6D">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本次建设内容中，</w:t>
      </w:r>
      <w:r>
        <w:rPr>
          <w:rFonts w:hint="default" w:ascii="Times New Roman" w:hAnsi="Times New Roman" w:eastAsia="宋体" w:cs="Times New Roman"/>
          <w:color w:val="auto"/>
          <w:sz w:val="24"/>
          <w:szCs w:val="24"/>
          <w:highlight w:val="none"/>
          <w:lang w:val="zh-CN" w:eastAsia="zh-CN"/>
        </w:rPr>
        <w:t>一般防渗区主要包括</w:t>
      </w:r>
      <w:r>
        <w:rPr>
          <w:rFonts w:hint="eastAsia" w:ascii="Times New Roman" w:hAnsi="Times New Roman" w:eastAsia="宋体" w:cs="Times New Roman"/>
          <w:color w:val="auto"/>
          <w:sz w:val="24"/>
          <w:szCs w:val="24"/>
          <w:highlight w:val="none"/>
          <w:lang w:val="en-US" w:eastAsia="zh-CN"/>
        </w:rPr>
        <w:t>脱硫副产品间</w:t>
      </w:r>
      <w:r>
        <w:rPr>
          <w:rFonts w:hint="default" w:ascii="Times New Roman" w:hAnsi="Times New Roman" w:eastAsia="宋体" w:cs="Times New Roman"/>
          <w:color w:val="auto"/>
          <w:sz w:val="24"/>
          <w:szCs w:val="24"/>
          <w:highlight w:val="none"/>
          <w:lang w:val="zh-CN" w:eastAsia="zh-CN"/>
        </w:rPr>
        <w:t>、消防水泵房、消防水池等，一般防渗区的地面可采用抗渗混凝土作为其防渗层，混凝土强度等级不低于C25，抗渗混凝土等级不低于P6，厚度不小于100mm。一般防渗区防渗层的防渗性能不应低于1.5m厚，渗透系数为1×10</w:t>
      </w:r>
      <w:r>
        <w:rPr>
          <w:rFonts w:hint="default" w:ascii="Times New Roman" w:hAnsi="Times New Roman" w:eastAsia="宋体" w:cs="Times New Roman"/>
          <w:color w:val="auto"/>
          <w:sz w:val="24"/>
          <w:szCs w:val="24"/>
          <w:highlight w:val="none"/>
          <w:vertAlign w:val="superscript"/>
          <w:lang w:val="zh-CN" w:eastAsia="zh-CN"/>
        </w:rPr>
        <w:t>-7</w:t>
      </w:r>
      <w:r>
        <w:rPr>
          <w:rFonts w:hint="default" w:ascii="Times New Roman" w:hAnsi="Times New Roman" w:eastAsia="宋体" w:cs="Times New Roman"/>
          <w:color w:val="auto"/>
          <w:sz w:val="24"/>
          <w:szCs w:val="24"/>
          <w:highlight w:val="none"/>
          <w:lang w:val="zh-CN" w:eastAsia="zh-CN"/>
        </w:rPr>
        <w:t>cm/s的黏土层的防渗性能。</w:t>
      </w:r>
    </w:p>
    <w:p w14:paraId="39E2A08A">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2</w:t>
      </w:r>
      <w:r>
        <w:rPr>
          <w:rFonts w:hint="eastAsia" w:ascii="Times New Roman" w:hAnsi="Times New Roman" w:eastAsia="宋体" w:cs="Times New Roman"/>
          <w:color w:val="auto"/>
          <w:sz w:val="24"/>
          <w:szCs w:val="24"/>
          <w:highlight w:val="none"/>
          <w:lang w:val="zh-CN" w:eastAsia="zh-CN"/>
        </w:rPr>
        <w:t>、简单防渗区（非污染防治区）</w:t>
      </w:r>
    </w:p>
    <w:p w14:paraId="47106E7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除重点防渗区、一般防渗区外的厂区（绿化区除外），</w:t>
      </w:r>
      <w:r>
        <w:rPr>
          <w:rFonts w:hint="eastAsia" w:ascii="Times New Roman" w:hAnsi="Times New Roman" w:eastAsia="宋体" w:cs="Times New Roman"/>
          <w:color w:val="auto"/>
          <w:sz w:val="24"/>
          <w:szCs w:val="24"/>
          <w:highlight w:val="none"/>
          <w:lang w:val="en-US" w:eastAsia="zh-CN"/>
        </w:rPr>
        <w:t>主要为</w:t>
      </w:r>
      <w:r>
        <w:rPr>
          <w:rFonts w:hint="eastAsia" w:ascii="Times New Roman" w:hAnsi="Times New Roman" w:eastAsia="宋体" w:cs="Times New Roman"/>
          <w:color w:val="auto"/>
          <w:sz w:val="24"/>
          <w:szCs w:val="24"/>
          <w:highlight w:val="none"/>
          <w:lang w:val="zh-CN" w:eastAsia="zh-CN"/>
        </w:rPr>
        <w:t>围墙及电动大门门库等进行地表硬化处理。防渗性能应不大于1×10</w:t>
      </w:r>
      <w:r>
        <w:rPr>
          <w:rFonts w:hint="eastAsia" w:ascii="Times New Roman" w:hAnsi="Times New Roman" w:eastAsia="宋体" w:cs="Times New Roman"/>
          <w:color w:val="auto"/>
          <w:sz w:val="24"/>
          <w:szCs w:val="24"/>
          <w:highlight w:val="none"/>
          <w:vertAlign w:val="superscript"/>
          <w:lang w:val="zh-CN" w:eastAsia="zh-CN"/>
        </w:rPr>
        <w:t>-6</w:t>
      </w:r>
      <w:r>
        <w:rPr>
          <w:rFonts w:hint="eastAsia" w:ascii="Times New Roman" w:hAnsi="Times New Roman" w:eastAsia="宋体" w:cs="Times New Roman"/>
          <w:color w:val="auto"/>
          <w:sz w:val="24"/>
          <w:szCs w:val="24"/>
          <w:highlight w:val="none"/>
          <w:lang w:val="zh-CN" w:eastAsia="zh-CN"/>
        </w:rPr>
        <w:t>cm/s。</w:t>
      </w:r>
    </w:p>
    <w:p w14:paraId="51AABA4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厂区道路采取了水泥地面硬化的防渗措施。</w:t>
      </w:r>
    </w:p>
    <w:p w14:paraId="23118C7C">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39" w:name="_Toc12078"/>
      <w:bookmarkStart w:id="640" w:name="_Toc15777"/>
      <w:bookmarkStart w:id="641" w:name="_Toc15642"/>
      <w:r>
        <w:rPr>
          <w:rFonts w:hint="eastAsia" w:ascii="Times New Roman" w:hAnsi="Times New Roman" w:eastAsia="宋体" w:cs="Times New Roman"/>
          <w:b/>
          <w:bCs/>
          <w:color w:val="auto"/>
          <w:sz w:val="28"/>
          <w:szCs w:val="28"/>
          <w:lang w:val="en-US" w:eastAsia="zh-CN"/>
        </w:rPr>
        <w:t>10.6.3 噪声污染防治措施</w:t>
      </w:r>
      <w:bookmarkEnd w:id="639"/>
      <w:bookmarkEnd w:id="640"/>
      <w:bookmarkEnd w:id="641"/>
    </w:p>
    <w:p w14:paraId="7B4EA33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default" w:ascii="Times New Roman" w:hAnsi="Times New Roman" w:eastAsia="宋体" w:cs="Times New Roman"/>
          <w:color w:val="auto"/>
          <w:sz w:val="24"/>
          <w:szCs w:val="24"/>
          <w:highlight w:val="none"/>
          <w:lang w:val="zh-CN" w:eastAsia="zh-CN"/>
        </w:rPr>
        <w:t>本项目主要噪声源为锅炉引风、送风机、皮带输送机及各类泵等。</w:t>
      </w:r>
      <w:r>
        <w:rPr>
          <w:rFonts w:hint="eastAsia" w:ascii="Times New Roman" w:hAnsi="Times New Roman" w:eastAsia="宋体" w:cs="Times New Roman"/>
          <w:color w:val="auto"/>
          <w:sz w:val="24"/>
          <w:szCs w:val="24"/>
          <w:highlight w:val="none"/>
          <w:lang w:val="en-US" w:eastAsia="zh-CN"/>
        </w:rPr>
        <w:t>项目选用低噪声设备，且主要设置于室内。各噪声设备</w:t>
      </w:r>
      <w:r>
        <w:rPr>
          <w:rFonts w:hint="eastAsia" w:ascii="Times New Roman" w:hAnsi="Times New Roman" w:eastAsia="宋体" w:cs="Times New Roman"/>
          <w:color w:val="auto"/>
          <w:sz w:val="24"/>
          <w:szCs w:val="24"/>
          <w:highlight w:val="none"/>
          <w:lang w:val="zh-CN" w:eastAsia="zh-CN"/>
        </w:rPr>
        <w:t>采用隔音、消声、减振等降噪措施，</w:t>
      </w:r>
      <w:r>
        <w:rPr>
          <w:rFonts w:hint="eastAsia" w:ascii="Times New Roman" w:hAnsi="Times New Roman" w:eastAsia="宋体" w:cs="Times New Roman"/>
          <w:color w:val="auto"/>
          <w:sz w:val="24"/>
          <w:szCs w:val="24"/>
          <w:highlight w:val="none"/>
          <w:lang w:val="en-US" w:eastAsia="zh-CN"/>
        </w:rPr>
        <w:t>同时加强管理，</w:t>
      </w:r>
      <w:r>
        <w:rPr>
          <w:rFonts w:hint="eastAsia" w:ascii="Times New Roman" w:hAnsi="Times New Roman" w:eastAsia="宋体" w:cs="Times New Roman"/>
          <w:color w:val="auto"/>
          <w:sz w:val="24"/>
          <w:szCs w:val="24"/>
          <w:highlight w:val="none"/>
          <w:lang w:val="zh-CN" w:eastAsia="zh-CN"/>
        </w:rPr>
        <w:t>使各种噪声源得到有效的控制。</w:t>
      </w:r>
    </w:p>
    <w:p w14:paraId="05C744BE">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42" w:name="_Toc9204"/>
      <w:bookmarkStart w:id="643" w:name="_Toc4399"/>
      <w:bookmarkStart w:id="644" w:name="_Toc9822"/>
      <w:r>
        <w:rPr>
          <w:rFonts w:hint="eastAsia" w:ascii="Times New Roman" w:hAnsi="Times New Roman" w:eastAsia="宋体" w:cs="Times New Roman"/>
          <w:b/>
          <w:bCs/>
          <w:color w:val="auto"/>
          <w:sz w:val="28"/>
          <w:szCs w:val="28"/>
          <w:lang w:val="en-US" w:eastAsia="zh-CN"/>
        </w:rPr>
        <w:t>10.6.4 固体废物防治措施</w:t>
      </w:r>
      <w:bookmarkEnd w:id="642"/>
      <w:bookmarkEnd w:id="643"/>
      <w:bookmarkEnd w:id="644"/>
    </w:p>
    <w:p w14:paraId="535C3688">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本项目运营期产生的锅炉灰渣</w:t>
      </w:r>
      <w:r>
        <w:rPr>
          <w:rFonts w:hint="default" w:ascii="Times New Roman" w:hAnsi="Times New Roman" w:eastAsia="宋体" w:cs="Times New Roman"/>
          <w:color w:val="auto"/>
          <w:sz w:val="24"/>
          <w:szCs w:val="24"/>
          <w:highlight w:val="none"/>
          <w:lang w:val="en-US" w:eastAsia="zh-CN"/>
        </w:rPr>
        <w:t>不在厂区内长期存储，</w:t>
      </w:r>
      <w:r>
        <w:rPr>
          <w:rFonts w:hint="eastAsia" w:ascii="Times New Roman" w:hAnsi="Times New Roman" w:eastAsia="宋体" w:cs="Times New Roman"/>
          <w:color w:val="auto"/>
          <w:sz w:val="24"/>
          <w:szCs w:val="24"/>
          <w:highlight w:val="none"/>
          <w:lang w:val="en-US" w:eastAsia="zh-CN"/>
        </w:rPr>
        <w:t>在灰渣仓</w:t>
      </w:r>
      <w:r>
        <w:rPr>
          <w:rFonts w:hint="default" w:ascii="Times New Roman" w:hAnsi="Times New Roman" w:eastAsia="宋体" w:cs="Times New Roman"/>
          <w:color w:val="auto"/>
          <w:sz w:val="24"/>
          <w:szCs w:val="24"/>
          <w:highlight w:val="none"/>
          <w:lang w:val="en-US" w:eastAsia="zh-CN"/>
        </w:rPr>
        <w:t>内暂存，</w:t>
      </w:r>
      <w:r>
        <w:rPr>
          <w:rFonts w:hint="eastAsia" w:ascii="Times New Roman" w:hAnsi="Times New Roman" w:eastAsia="宋体" w:cs="Times New Roman"/>
          <w:color w:val="auto"/>
          <w:sz w:val="24"/>
          <w:szCs w:val="24"/>
          <w:highlight w:val="none"/>
          <w:lang w:val="en-US" w:eastAsia="zh-CN"/>
        </w:rPr>
        <w:t>外售综合利用</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脱硫副产物</w:t>
      </w:r>
      <w:r>
        <w:rPr>
          <w:rFonts w:hint="default" w:ascii="Times New Roman" w:hAnsi="Times New Roman" w:eastAsia="宋体" w:cs="Times New Roman"/>
          <w:color w:val="auto"/>
          <w:sz w:val="24"/>
          <w:szCs w:val="24"/>
          <w:highlight w:val="none"/>
          <w:lang w:val="en-US" w:eastAsia="zh-CN"/>
        </w:rPr>
        <w:t>不在厂区内长期存储，</w:t>
      </w:r>
      <w:r>
        <w:rPr>
          <w:rFonts w:hint="eastAsia" w:ascii="Times New Roman" w:hAnsi="Times New Roman" w:eastAsia="宋体" w:cs="Times New Roman"/>
          <w:color w:val="auto"/>
          <w:sz w:val="24"/>
          <w:szCs w:val="24"/>
          <w:highlight w:val="none"/>
          <w:lang w:val="en-US" w:eastAsia="zh-CN"/>
        </w:rPr>
        <w:t>暂存于脱硫副产品间，外售综合利用</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zh-CN" w:eastAsia="zh-CN"/>
        </w:rPr>
        <w:t>布袋除尘器废布袋、废离子交换树脂由厂家回收，</w:t>
      </w:r>
      <w:r>
        <w:rPr>
          <w:rFonts w:hint="eastAsia" w:ascii="Times New Roman" w:hAnsi="Times New Roman" w:eastAsia="宋体" w:cs="Times New Roman"/>
          <w:color w:val="auto"/>
          <w:sz w:val="24"/>
          <w:szCs w:val="24"/>
          <w:highlight w:val="none"/>
          <w:lang w:val="en-US" w:eastAsia="zh-CN"/>
        </w:rPr>
        <w:t>不在厂区贮存，初期雨水收集池沉渣入炉燃烧</w:t>
      </w:r>
      <w:r>
        <w:rPr>
          <w:rFonts w:hint="eastAsia" w:ascii="Times New Roman" w:hAnsi="Times New Roman" w:eastAsia="宋体" w:cs="Times New Roman"/>
          <w:color w:val="auto"/>
          <w:sz w:val="24"/>
          <w:szCs w:val="24"/>
          <w:highlight w:val="none"/>
          <w:lang w:val="zh-CN" w:eastAsia="zh-CN"/>
        </w:rPr>
        <w:t>。</w:t>
      </w:r>
    </w:p>
    <w:p w14:paraId="5848E5B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根据《国家危险废物名录（2025年版）》，本项目产生的废催化剂属于危险废物，厂家定期更换，委托有资质单位运走、处置，不在厂区暂存。废矿物油产生后暂存于危险废物贮存点，定期交由有资质单位处置。</w:t>
      </w:r>
    </w:p>
    <w:p w14:paraId="61C97064">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本项目不新增工作人员，所需工作人员内部调配，不新增生活垃圾。厂区原有生活垃圾由市政环卫部门统一处理。</w:t>
      </w:r>
    </w:p>
    <w:p w14:paraId="13695FA0">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645" w:name="_Toc12556"/>
      <w:bookmarkStart w:id="646" w:name="_Toc5497"/>
      <w:bookmarkStart w:id="647" w:name="_Toc25090"/>
      <w:r>
        <w:rPr>
          <w:rFonts w:hint="eastAsia" w:ascii="Times New Roman" w:hAnsi="Times New Roman" w:eastAsia="宋体" w:cs="Times New Roman"/>
          <w:b/>
          <w:bCs/>
          <w:color w:val="auto"/>
        </w:rPr>
        <w:t>10.7 环境影响预测分析结论</w:t>
      </w:r>
      <w:bookmarkEnd w:id="645"/>
      <w:bookmarkEnd w:id="646"/>
      <w:bookmarkEnd w:id="647"/>
    </w:p>
    <w:p w14:paraId="49469569">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48" w:name="_Toc20069"/>
      <w:bookmarkStart w:id="649" w:name="_Toc276"/>
      <w:bookmarkStart w:id="650" w:name="_Toc9285"/>
      <w:r>
        <w:rPr>
          <w:rFonts w:hint="eastAsia" w:ascii="Times New Roman" w:hAnsi="Times New Roman" w:eastAsia="宋体" w:cs="Times New Roman"/>
          <w:b/>
          <w:bCs/>
          <w:color w:val="auto"/>
          <w:sz w:val="28"/>
          <w:szCs w:val="28"/>
          <w:lang w:val="en-US" w:eastAsia="zh-CN"/>
        </w:rPr>
        <w:t>10.7.1 环境空气影响分析</w:t>
      </w:r>
      <w:bookmarkEnd w:id="648"/>
      <w:bookmarkEnd w:id="649"/>
      <w:bookmarkEnd w:id="650"/>
      <w:r>
        <w:rPr>
          <w:rFonts w:hint="eastAsia" w:ascii="Times New Roman" w:hAnsi="Times New Roman" w:eastAsia="宋体" w:cs="Times New Roman"/>
          <w:b/>
          <w:bCs/>
          <w:color w:val="auto"/>
          <w:sz w:val="28"/>
          <w:szCs w:val="28"/>
          <w:lang w:val="en-US" w:eastAsia="zh-CN"/>
        </w:rPr>
        <w:t>结论</w:t>
      </w:r>
    </w:p>
    <w:bookmarkEnd w:id="619"/>
    <w:p w14:paraId="35B9B050">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szCs w:val="24"/>
        </w:rPr>
        <w:t>本项目位于环境空气二类区的环境空气质量达标区，评价范围内无一类区，大气环境影响评价结论如下：</w:t>
      </w:r>
    </w:p>
    <w:p w14:paraId="5141D5E5">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szCs w:val="24"/>
        </w:rPr>
        <w:t>（1）由预测结果可知，本项目正常工况下新增各污染物PM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、PM</w:t>
      </w:r>
      <w:r>
        <w:rPr>
          <w:rFonts w:ascii="Times New Roman" w:hAnsi="Times New Roman" w:eastAsia="宋体" w:cs="Times New Roman"/>
          <w:color w:val="auto"/>
          <w:szCs w:val="24"/>
          <w:vertAlign w:val="subscript"/>
        </w:rPr>
        <w:t>2.5</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、Hg、TSP短期浓度贡献值的最大落地浓度占标均≤100%。</w:t>
      </w:r>
    </w:p>
    <w:p w14:paraId="63D691E5">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szCs w:val="24"/>
        </w:rPr>
        <w:t>（2）由预测可知，本项目正常工况下新增污染物PM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、PM</w:t>
      </w:r>
      <w:r>
        <w:rPr>
          <w:rFonts w:ascii="Times New Roman" w:hAnsi="Times New Roman" w:eastAsia="宋体" w:cs="Times New Roman"/>
          <w:color w:val="auto"/>
          <w:szCs w:val="24"/>
          <w:vertAlign w:val="subscript"/>
        </w:rPr>
        <w:t>2.5</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年均浓度贡献值的最大落地浓度占标均≤30%。</w:t>
      </w:r>
    </w:p>
    <w:p w14:paraId="0C46068C">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r>
        <w:rPr>
          <w:rFonts w:ascii="Times New Roman" w:hAnsi="Times New Roman" w:eastAsia="宋体" w:cs="Times New Roman"/>
          <w:color w:val="auto"/>
          <w:kern w:val="0"/>
          <w:szCs w:val="24"/>
        </w:rPr>
        <w:t>（3）</w:t>
      </w:r>
      <w:r>
        <w:rPr>
          <w:rFonts w:ascii="Times New Roman" w:hAnsi="Times New Roman" w:eastAsia="宋体" w:cs="Times New Roman"/>
          <w:color w:val="auto"/>
          <w:szCs w:val="24"/>
        </w:rPr>
        <w:t>本项目环境影响符合区域环境功能区划。</w:t>
      </w:r>
    </w:p>
    <w:p w14:paraId="1D757D71">
      <w:pPr>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eastAsia="宋体" w:cs="Times New Roman"/>
          <w:color w:val="auto"/>
          <w:szCs w:val="24"/>
        </w:rPr>
      </w:pPr>
      <w:bookmarkStart w:id="651" w:name="_Toc355942143"/>
      <w:bookmarkStart w:id="652" w:name="_Toc337734561"/>
      <w:bookmarkStart w:id="653" w:name="_Toc14776"/>
      <w:bookmarkStart w:id="654" w:name="_Toc2011"/>
      <w:bookmarkStart w:id="655" w:name="_Toc29227"/>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4</w:t>
      </w:r>
      <w:r>
        <w:rPr>
          <w:rFonts w:ascii="Times New Roman" w:hAnsi="Times New Roman" w:eastAsia="宋体" w:cs="Times New Roman"/>
          <w:color w:val="auto"/>
          <w:szCs w:val="24"/>
        </w:rPr>
        <w:t>）根据预测结果可知，叠加现状背景浓度后，污染物PM</w:t>
      </w:r>
      <w:r>
        <w:rPr>
          <w:rFonts w:ascii="Times New Roman" w:hAnsi="Times New Roman" w:eastAsia="宋体" w:cs="Times New Roman"/>
          <w:color w:val="auto"/>
          <w:szCs w:val="24"/>
          <w:vertAlign w:val="subscript"/>
        </w:rPr>
        <w:t>10</w:t>
      </w:r>
      <w:r>
        <w:rPr>
          <w:rFonts w:ascii="Times New Roman" w:hAnsi="Times New Roman" w:eastAsia="宋体" w:cs="Times New Roman"/>
          <w:color w:val="auto"/>
          <w:szCs w:val="24"/>
        </w:rPr>
        <w:t>、PM</w:t>
      </w:r>
      <w:r>
        <w:rPr>
          <w:rFonts w:ascii="Times New Roman" w:hAnsi="Times New Roman" w:eastAsia="宋体" w:cs="Times New Roman"/>
          <w:color w:val="auto"/>
          <w:szCs w:val="24"/>
          <w:vertAlign w:val="subscript"/>
        </w:rPr>
        <w:t>2.5</w:t>
      </w:r>
      <w:r>
        <w:rPr>
          <w:rFonts w:ascii="Times New Roman" w:hAnsi="Times New Roman" w:eastAsia="宋体" w:cs="Times New Roman"/>
          <w:color w:val="auto"/>
          <w:szCs w:val="24"/>
        </w:rPr>
        <w:t>、SO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、NO</w:t>
      </w:r>
      <w:r>
        <w:rPr>
          <w:rFonts w:ascii="Times New Roman" w:hAnsi="Times New Roman" w:eastAsia="宋体" w:cs="Times New Roman"/>
          <w:color w:val="auto"/>
          <w:szCs w:val="24"/>
          <w:vertAlign w:val="subscript"/>
        </w:rPr>
        <w:t>2</w:t>
      </w:r>
      <w:r>
        <w:rPr>
          <w:rFonts w:ascii="Times New Roman" w:hAnsi="Times New Roman" w:eastAsia="宋体" w:cs="Times New Roman"/>
          <w:color w:val="auto"/>
          <w:szCs w:val="24"/>
        </w:rPr>
        <w:t>保证率日平均质量浓度和年平均质量浓度均满足《环境空气质量标准》（GB3095-20</w:t>
      </w:r>
      <w:r>
        <w:rPr>
          <w:rFonts w:hint="eastAsia" w:ascii="Times New Roman" w:hAnsi="Times New Roman" w:eastAsia="宋体" w:cs="Times New Roman"/>
          <w:color w:val="auto"/>
          <w:szCs w:val="24"/>
          <w:lang w:val="en-US" w:eastAsia="zh-CN"/>
        </w:rPr>
        <w:t>26</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二类</w:t>
      </w:r>
      <w:r>
        <w:rPr>
          <w:rFonts w:hint="eastAsia" w:ascii="Times New Roman" w:hAnsi="Times New Roman" w:eastAsia="宋体" w:cs="Times New Roman"/>
          <w:color w:val="auto"/>
          <w:szCs w:val="24"/>
          <w:lang w:val="en-US" w:eastAsia="zh-CN"/>
        </w:rPr>
        <w:t>过渡阶段限值</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lang w:val="en-US" w:eastAsia="zh-CN"/>
        </w:rPr>
        <w:t>煤库全封闭，定期洒水降尘</w:t>
      </w:r>
      <w:r>
        <w:rPr>
          <w:rFonts w:ascii="Times New Roman" w:hAnsi="Times New Roman" w:eastAsia="宋体" w:cs="Times New Roman"/>
          <w:color w:val="auto"/>
          <w:szCs w:val="24"/>
        </w:rPr>
        <w:t>。TSP满足《环境空气质量标准》（GB3095-</w:t>
      </w:r>
      <w:r>
        <w:rPr>
          <w:rFonts w:hint="eastAsia" w:ascii="Times New Roman" w:hAnsi="Times New Roman" w:eastAsia="宋体" w:cs="Times New Roman"/>
          <w:color w:val="auto"/>
          <w:szCs w:val="24"/>
          <w:lang w:val="en-US" w:eastAsia="zh-CN"/>
        </w:rPr>
        <w:t>2026</w:t>
      </w:r>
      <w:r>
        <w:rPr>
          <w:rFonts w:ascii="Times New Roman" w:hAnsi="Times New Roman" w:eastAsia="宋体" w:cs="Times New Roman"/>
          <w:color w:val="auto"/>
          <w:szCs w:val="24"/>
        </w:rPr>
        <w:t>）要求。</w:t>
      </w:r>
    </w:p>
    <w:p w14:paraId="0EBB1258">
      <w:pPr>
        <w:pStyle w:val="53"/>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color w:val="auto"/>
        </w:rPr>
      </w:pPr>
      <w:r>
        <w:rPr>
          <w:rFonts w:ascii="Times New Roman" w:hAnsi="Times New Roman"/>
          <w:color w:val="auto"/>
        </w:rPr>
        <w:t>（</w:t>
      </w:r>
      <w:r>
        <w:rPr>
          <w:rFonts w:hint="eastAsia" w:ascii="Times New Roman" w:hAnsi="Times New Roman"/>
          <w:color w:val="auto"/>
        </w:rPr>
        <w:t>5</w:t>
      </w:r>
      <w:r>
        <w:rPr>
          <w:rFonts w:ascii="Times New Roman" w:hAnsi="Times New Roman"/>
          <w:color w:val="auto"/>
        </w:rPr>
        <w:t>）经计算本项目厂界线外部没有超标点，无须设大气环境防护距离。</w:t>
      </w:r>
    </w:p>
    <w:p w14:paraId="3752C389">
      <w:pPr>
        <w:pStyle w:val="53"/>
        <w:keepNext w:val="0"/>
        <w:keepLines w:val="0"/>
        <w:pageBreakBefore w:val="0"/>
        <w:widowControl w:val="0"/>
        <w:kinsoku/>
        <w:wordWrap/>
        <w:overflowPunct/>
        <w:topLinePunct w:val="0"/>
        <w:bidi w:val="0"/>
        <w:snapToGrid/>
        <w:spacing w:line="500" w:lineRule="exact"/>
        <w:ind w:firstLine="480"/>
        <w:textAlignment w:val="auto"/>
        <w:rPr>
          <w:rFonts w:ascii="Times New Roman" w:hAnsi="Times New Roman"/>
          <w:color w:val="auto"/>
        </w:rPr>
      </w:pPr>
      <w:r>
        <w:rPr>
          <w:rFonts w:ascii="Times New Roman" w:hAnsi="Times New Roman"/>
          <w:color w:val="auto"/>
        </w:rPr>
        <w:t>因此，本项目建成后，</w:t>
      </w:r>
      <w:r>
        <w:rPr>
          <w:rFonts w:hint="eastAsia" w:ascii="Times New Roman" w:hAnsi="Times New Roman"/>
          <w:color w:val="auto"/>
          <w:lang w:val="en-US" w:eastAsia="zh-CN"/>
        </w:rPr>
        <w:t>对周边居民区等敏感目标影响较小，</w:t>
      </w:r>
      <w:r>
        <w:rPr>
          <w:rFonts w:ascii="Times New Roman" w:hAnsi="Times New Roman"/>
          <w:color w:val="auto"/>
        </w:rPr>
        <w:t>大气环境影响可接受，大气污染物排放方案可行。</w:t>
      </w:r>
    </w:p>
    <w:p w14:paraId="6D835F77">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val="en-US" w:eastAsia="zh-CN"/>
        </w:rPr>
        <w:t>10.7.2 地表水环境影响</w:t>
      </w:r>
      <w:bookmarkEnd w:id="651"/>
      <w:bookmarkEnd w:id="652"/>
      <w:r>
        <w:rPr>
          <w:rFonts w:hint="eastAsia" w:ascii="Times New Roman" w:hAnsi="Times New Roman" w:eastAsia="宋体" w:cs="Times New Roman"/>
          <w:b/>
          <w:bCs/>
          <w:color w:val="auto"/>
          <w:sz w:val="28"/>
          <w:szCs w:val="28"/>
          <w:lang w:val="en-US" w:eastAsia="zh-CN"/>
        </w:rPr>
        <w:t>分析</w:t>
      </w:r>
      <w:bookmarkEnd w:id="653"/>
      <w:bookmarkEnd w:id="654"/>
      <w:bookmarkEnd w:id="655"/>
      <w:r>
        <w:rPr>
          <w:rFonts w:hint="eastAsia" w:ascii="Times New Roman" w:hAnsi="Times New Roman" w:eastAsia="宋体" w:cs="Times New Roman"/>
          <w:b/>
          <w:bCs/>
          <w:color w:val="auto"/>
          <w:sz w:val="28"/>
          <w:szCs w:val="28"/>
          <w:lang w:val="en-US" w:eastAsia="zh-CN"/>
        </w:rPr>
        <w:t>结论</w:t>
      </w:r>
    </w:p>
    <w:p w14:paraId="61704DC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不新增工作人员，不新增生活污水。锅炉用水来自市政管网自来水，生产废水全部回用于厂区降尘和冲渣，不外排。厂区现有生活污水经市政污水管网进入八五二农场污水处理厂进行处理，达到《城镇污水处理厂污染物排放标准》（GB18918-2002）中的一级A标准后，排水进入蛤蟆通河。综合分析，本项目对地表水环境影响较小。</w:t>
      </w:r>
    </w:p>
    <w:p w14:paraId="7B486D71">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56" w:name="_Toc337734563"/>
      <w:bookmarkStart w:id="657" w:name="_Toc355942145"/>
      <w:bookmarkStart w:id="658" w:name="_Toc18650"/>
      <w:bookmarkStart w:id="659" w:name="_Toc10021"/>
      <w:bookmarkStart w:id="660" w:name="_Toc13658"/>
      <w:r>
        <w:rPr>
          <w:rFonts w:hint="eastAsia" w:ascii="Times New Roman" w:hAnsi="Times New Roman" w:eastAsia="宋体" w:cs="Times New Roman"/>
          <w:b/>
          <w:bCs/>
          <w:color w:val="auto"/>
          <w:sz w:val="28"/>
          <w:szCs w:val="28"/>
          <w:lang w:val="en-US" w:eastAsia="zh-CN"/>
        </w:rPr>
        <w:t>10.7.3 声环境影响</w:t>
      </w:r>
      <w:bookmarkEnd w:id="656"/>
      <w:bookmarkEnd w:id="657"/>
      <w:r>
        <w:rPr>
          <w:rFonts w:hint="eastAsia" w:ascii="Times New Roman" w:hAnsi="Times New Roman" w:eastAsia="宋体" w:cs="Times New Roman"/>
          <w:b/>
          <w:bCs/>
          <w:color w:val="auto"/>
          <w:sz w:val="28"/>
          <w:szCs w:val="28"/>
          <w:lang w:val="en-US" w:eastAsia="zh-CN"/>
        </w:rPr>
        <w:t>分析</w:t>
      </w:r>
      <w:bookmarkEnd w:id="658"/>
      <w:bookmarkEnd w:id="659"/>
      <w:bookmarkEnd w:id="660"/>
      <w:r>
        <w:rPr>
          <w:rFonts w:hint="eastAsia" w:ascii="Times New Roman" w:hAnsi="Times New Roman" w:eastAsia="宋体" w:cs="Times New Roman"/>
          <w:b/>
          <w:bCs/>
          <w:color w:val="auto"/>
          <w:sz w:val="28"/>
          <w:szCs w:val="28"/>
          <w:lang w:val="en-US" w:eastAsia="zh-CN"/>
        </w:rPr>
        <w:t>结论</w:t>
      </w:r>
    </w:p>
    <w:p w14:paraId="04228772">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投产后厂界昼夜间噪声满足《工业企业厂界环境噪声排放标准》（GB12348-2008）表1工业企业厂界环境噪声排放限值中2类声环境功能区标准，本项目声环境敏感目标（主要为厂区外居民区）昼夜间噪声预测值均满足《声环境质量标准》表1环境噪声限值中的2类标准，即昼间60dB(A)，夜间50dB(A)，对四周居民影响较小，项目建设对声环境敏感点的影响是可以接受的。从声环境影响角度分析，本工程的建设是可行的。</w:t>
      </w:r>
    </w:p>
    <w:p w14:paraId="0B44029F">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61" w:name="_Toc355942146"/>
      <w:bookmarkStart w:id="662" w:name="_Toc15847"/>
      <w:bookmarkStart w:id="663" w:name="_Toc7784"/>
      <w:bookmarkStart w:id="664" w:name="_Toc23668"/>
      <w:bookmarkStart w:id="665" w:name="_Toc337734564"/>
      <w:r>
        <w:rPr>
          <w:rFonts w:hint="eastAsia" w:ascii="Times New Roman" w:hAnsi="Times New Roman" w:eastAsia="宋体" w:cs="Times New Roman"/>
          <w:b/>
          <w:bCs/>
          <w:color w:val="auto"/>
          <w:sz w:val="28"/>
          <w:szCs w:val="28"/>
          <w:lang w:val="en-US" w:eastAsia="zh-CN"/>
        </w:rPr>
        <w:t>10.7.4 固体废物环境影响分析</w:t>
      </w:r>
      <w:bookmarkEnd w:id="661"/>
      <w:bookmarkEnd w:id="662"/>
      <w:bookmarkEnd w:id="663"/>
      <w:bookmarkEnd w:id="664"/>
      <w:bookmarkEnd w:id="665"/>
      <w:r>
        <w:rPr>
          <w:rFonts w:hint="eastAsia" w:ascii="Times New Roman" w:hAnsi="Times New Roman" w:eastAsia="宋体" w:cs="Times New Roman"/>
          <w:b/>
          <w:bCs/>
          <w:color w:val="auto"/>
          <w:sz w:val="28"/>
          <w:szCs w:val="28"/>
          <w:lang w:val="en-US" w:eastAsia="zh-CN"/>
        </w:rPr>
        <w:t>结论</w:t>
      </w:r>
    </w:p>
    <w:p w14:paraId="369A13FE">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auto"/>
          <w:sz w:val="24"/>
          <w:szCs w:val="24"/>
          <w:highlight w:val="none"/>
          <w:lang w:val="en-US" w:eastAsia="zh-CN"/>
        </w:rPr>
      </w:pPr>
      <w:bookmarkStart w:id="666" w:name="_Toc185048005"/>
      <w:bookmarkStart w:id="667" w:name="_Toc337734566"/>
      <w:bookmarkStart w:id="668" w:name="_Toc355942148"/>
      <w:r>
        <w:rPr>
          <w:rFonts w:hint="eastAsia" w:ascii="Times New Roman" w:hAnsi="Times New Roman" w:eastAsia="宋体" w:cs="Times New Roman"/>
          <w:color w:val="auto"/>
          <w:sz w:val="24"/>
          <w:szCs w:val="24"/>
          <w:highlight w:val="none"/>
          <w:lang w:val="en-US" w:eastAsia="zh-CN"/>
        </w:rPr>
        <w:t>本项目锅炉除灰渣系统产生的锅炉灰渣在厂区灰渣仓，脱硫副产物在脱硫副产品间分别暂存后，外售综合利用单位，废布袋由厂家定期更换回收，不在厂区堆存；废离子交换树脂由更换厂家定期回收；初期雨水收集池沉渣作为燃料入炉燃烧；不新增工作人员，因此不新增生活垃圾。根据《国家危险废物名录（2025年版）》，本项目机械维修过程中产生的废矿物油属于危险废物（HW08废矿物油与含矿物油废物中非特定行业900-214-08车辆、轮船及其它机械维修过程中产生的废发动机油、制动器油、自动变速器油、齿轮油等废润滑油）。脱硝系统产生的废脱硝催化剂，属于危险废物（HW50废催化剂中的772-007-50烟气脱硝过程中产生的废钒钛系催化剂）。由设备厂家对脱硝催化剂进行定期更换，产废周期较长，废脱硝催化剂不在厂区暂存，直接由更换厂家委托有资质单位进行运输处置。废矿物油在危废贮存点暂存后委托有资质单位处置。</w:t>
      </w:r>
    </w:p>
    <w:p w14:paraId="70F50125">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本工程的固体废物均能综合利用或无害化处置，固废处置率100%。</w:t>
      </w:r>
    </w:p>
    <w:p w14:paraId="1791538A">
      <w:pPr>
        <w:pStyle w:val="8"/>
        <w:keepNext/>
        <w:keepLines/>
        <w:pageBreakBefore w:val="0"/>
        <w:widowControl w:val="0"/>
        <w:kinsoku/>
        <w:wordWrap/>
        <w:overflowPunct/>
        <w:topLinePunct w:val="0"/>
        <w:autoSpaceDE/>
        <w:autoSpaceDN/>
        <w:bidi w:val="0"/>
        <w:adjustRightInd/>
        <w:snapToGrid/>
        <w:spacing w:before="79" w:beforeLines="25" w:after="79" w:afterLines="25" w:line="500" w:lineRule="exact"/>
        <w:ind w:firstLine="0" w:firstLineChars="0"/>
        <w:textAlignment w:val="auto"/>
        <w:outlineLvl w:val="2"/>
        <w:rPr>
          <w:rFonts w:hint="eastAsia" w:ascii="Times New Roman" w:hAnsi="Times New Roman" w:eastAsia="宋体" w:cs="Times New Roman"/>
          <w:b/>
          <w:bCs/>
          <w:color w:val="auto"/>
          <w:sz w:val="28"/>
          <w:szCs w:val="28"/>
          <w:lang w:val="en-US" w:eastAsia="zh-CN"/>
        </w:rPr>
      </w:pPr>
      <w:bookmarkStart w:id="669" w:name="_Toc10552"/>
      <w:bookmarkStart w:id="670" w:name="_Toc30230"/>
      <w:bookmarkStart w:id="671" w:name="_Toc28503"/>
      <w:r>
        <w:rPr>
          <w:rFonts w:hint="eastAsia" w:ascii="Times New Roman" w:hAnsi="Times New Roman" w:eastAsia="宋体" w:cs="Times New Roman"/>
          <w:b/>
          <w:bCs/>
          <w:color w:val="auto"/>
          <w:sz w:val="28"/>
          <w:szCs w:val="28"/>
          <w:lang w:val="en-US" w:eastAsia="zh-CN"/>
        </w:rPr>
        <w:t>10.7.5 土壤环境影响分析</w:t>
      </w:r>
      <w:bookmarkEnd w:id="669"/>
      <w:bookmarkEnd w:id="670"/>
      <w:bookmarkEnd w:id="671"/>
      <w:r>
        <w:rPr>
          <w:rFonts w:hint="eastAsia" w:ascii="Times New Roman" w:hAnsi="Times New Roman" w:eastAsia="宋体" w:cs="Times New Roman"/>
          <w:b/>
          <w:bCs/>
          <w:color w:val="auto"/>
          <w:sz w:val="28"/>
          <w:szCs w:val="28"/>
          <w:lang w:val="en-US" w:eastAsia="zh-CN"/>
        </w:rPr>
        <w:t>结论</w:t>
      </w:r>
    </w:p>
    <w:p w14:paraId="7C09FCC0">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生产运行过程中，在保证厂区防渗措施良好的前提下，项目厂区及周围土壤环境的影响很小。满足《土壤环境质量 建设用地土壤污染风险管控标准（试行）》（GB36600-2018）表1建设用地土壤污染风险筛选值和管制值（基本项目）中的第二类用地标准。经20年沉降累积土壤中Hg增量甚微，对周边土壤影响较小，土壤累积污染在可接受范围内，在大气沉降过程中对土壤环境影响减小。</w:t>
      </w:r>
    </w:p>
    <w:bookmarkEnd w:id="666"/>
    <w:bookmarkEnd w:id="667"/>
    <w:bookmarkEnd w:id="668"/>
    <w:p w14:paraId="696424D9">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rPr>
      </w:pPr>
      <w:bookmarkStart w:id="672" w:name="_Toc23435"/>
      <w:bookmarkStart w:id="673" w:name="_Toc355942149"/>
      <w:bookmarkStart w:id="674" w:name="_Toc337734567"/>
      <w:bookmarkStart w:id="675" w:name="_Toc26651"/>
      <w:bookmarkStart w:id="676" w:name="_Toc185048006"/>
      <w:bookmarkStart w:id="677" w:name="_Toc15655"/>
      <w:r>
        <w:rPr>
          <w:rFonts w:hint="eastAsia" w:ascii="Times New Roman" w:hAnsi="Times New Roman" w:eastAsia="宋体" w:cs="Times New Roman"/>
          <w:b/>
          <w:bCs/>
          <w:color w:val="auto"/>
        </w:rPr>
        <w:t>10.8 总量控制</w:t>
      </w:r>
      <w:bookmarkEnd w:id="672"/>
      <w:bookmarkEnd w:id="673"/>
      <w:bookmarkEnd w:id="674"/>
      <w:bookmarkEnd w:id="675"/>
      <w:bookmarkEnd w:id="676"/>
      <w:r>
        <w:rPr>
          <w:rFonts w:hint="eastAsia" w:ascii="Times New Roman" w:hAnsi="Times New Roman" w:eastAsia="宋体" w:cs="Times New Roman"/>
          <w:b/>
          <w:bCs/>
          <w:color w:val="auto"/>
        </w:rPr>
        <w:t>结论</w:t>
      </w:r>
      <w:bookmarkEnd w:id="677"/>
    </w:p>
    <w:p w14:paraId="714483EF">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本项目建设的2台42MW热水锅炉</w:t>
      </w:r>
      <w:r>
        <w:rPr>
          <w:rFonts w:hint="eastAsia" w:ascii="Times New Roman" w:hAnsi="Times New Roman" w:eastAsia="宋体" w:cs="Times New Roman"/>
          <w:color w:val="auto"/>
          <w:sz w:val="24"/>
          <w:szCs w:val="24"/>
          <w:highlight w:val="none"/>
          <w:lang w:val="zh-CN" w:eastAsia="zh-CN"/>
        </w:rPr>
        <w:t>烟气治理措施采用</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zh-CN" w:eastAsia="zh-CN"/>
        </w:rPr>
        <w:t>SNCR-SCR脱硝+布袋除尘器除尘+</w:t>
      </w:r>
      <w:r>
        <w:rPr>
          <w:rFonts w:hint="eastAsia" w:ascii="Times New Roman" w:hAnsi="Times New Roman" w:eastAsia="宋体" w:cs="Times New Roman"/>
          <w:color w:val="auto"/>
          <w:sz w:val="24"/>
          <w:szCs w:val="24"/>
          <w:highlight w:val="none"/>
          <w:lang w:val="en-US" w:eastAsia="zh-CN"/>
        </w:rPr>
        <w:t>氧化镁</w:t>
      </w:r>
      <w:r>
        <w:rPr>
          <w:rFonts w:hint="eastAsia" w:ascii="Times New Roman" w:hAnsi="Times New Roman" w:eastAsia="宋体" w:cs="Times New Roman"/>
          <w:color w:val="auto"/>
          <w:sz w:val="24"/>
          <w:szCs w:val="24"/>
          <w:highlight w:val="none"/>
          <w:lang w:val="zh-CN" w:eastAsia="zh-CN"/>
        </w:rPr>
        <w:t>脱硫”</w:t>
      </w:r>
      <w:r>
        <w:rPr>
          <w:rFonts w:hint="eastAsia"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zh-CN" w:eastAsia="zh-CN"/>
        </w:rPr>
        <w:t>颗粒物</w:t>
      </w:r>
      <w:r>
        <w:rPr>
          <w:rFonts w:hint="eastAsia" w:ascii="Times New Roman" w:hAnsi="Times New Roman" w:eastAsia="宋体" w:cs="Times New Roman"/>
          <w:color w:val="auto"/>
          <w:sz w:val="24"/>
          <w:szCs w:val="24"/>
          <w:highlight w:val="none"/>
          <w:lang w:val="en-US" w:eastAsia="zh-CN"/>
        </w:rPr>
        <w:t>、二</w:t>
      </w:r>
      <w:r>
        <w:rPr>
          <w:rFonts w:hint="eastAsia" w:ascii="Times New Roman" w:hAnsi="Times New Roman" w:eastAsia="宋体" w:cs="Times New Roman"/>
          <w:color w:val="auto"/>
          <w:sz w:val="24"/>
          <w:szCs w:val="24"/>
          <w:highlight w:val="none"/>
          <w:lang w:val="zh-CN" w:eastAsia="zh-CN"/>
        </w:rPr>
        <w:t>氧化硫、氮氧化物等许可排放总量为：颗粒物</w:t>
      </w:r>
      <w:r>
        <w:rPr>
          <w:rFonts w:hint="eastAsia" w:ascii="Times New Roman" w:hAnsi="Times New Roman" w:eastAsia="宋体" w:cs="Times New Roman"/>
          <w:color w:val="auto"/>
          <w:sz w:val="24"/>
          <w:szCs w:val="24"/>
          <w:highlight w:val="none"/>
          <w:lang w:val="en-US" w:eastAsia="zh-CN"/>
        </w:rPr>
        <w:t>15.55</w:t>
      </w:r>
      <w:r>
        <w:rPr>
          <w:rFonts w:hint="eastAsia" w:ascii="Times New Roman" w:hAnsi="Times New Roman" w:eastAsia="宋体" w:cs="Times New Roman"/>
          <w:color w:val="auto"/>
          <w:sz w:val="24"/>
          <w:szCs w:val="24"/>
          <w:highlight w:val="none"/>
          <w:lang w:val="zh-CN" w:eastAsia="zh-CN"/>
        </w:rPr>
        <w:t>t/a、二氧化硫</w:t>
      </w:r>
      <w:r>
        <w:rPr>
          <w:rFonts w:hint="eastAsia" w:ascii="Times New Roman" w:hAnsi="Times New Roman" w:eastAsia="宋体" w:cs="Times New Roman"/>
          <w:color w:val="auto"/>
          <w:sz w:val="24"/>
          <w:szCs w:val="24"/>
          <w:highlight w:val="none"/>
          <w:lang w:val="en-US" w:eastAsia="zh-CN"/>
        </w:rPr>
        <w:t>74.64</w:t>
      </w:r>
      <w:r>
        <w:rPr>
          <w:rFonts w:hint="eastAsia" w:ascii="Times New Roman" w:hAnsi="Times New Roman" w:eastAsia="宋体" w:cs="Times New Roman"/>
          <w:color w:val="auto"/>
          <w:sz w:val="24"/>
          <w:szCs w:val="24"/>
          <w:highlight w:val="none"/>
          <w:lang w:val="zh-CN" w:eastAsia="zh-CN"/>
        </w:rPr>
        <w:t>t/a、氮氧化物</w:t>
      </w:r>
      <w:r>
        <w:rPr>
          <w:rFonts w:hint="eastAsia" w:ascii="Times New Roman" w:hAnsi="Times New Roman" w:eastAsia="宋体" w:cs="Times New Roman"/>
          <w:color w:val="auto"/>
          <w:sz w:val="24"/>
          <w:szCs w:val="24"/>
          <w:highlight w:val="none"/>
          <w:lang w:val="en-US" w:eastAsia="zh-CN"/>
        </w:rPr>
        <w:t>93.30</w:t>
      </w:r>
      <w:r>
        <w:rPr>
          <w:rFonts w:hint="eastAsia" w:ascii="Times New Roman" w:hAnsi="Times New Roman" w:eastAsia="宋体" w:cs="Times New Roman"/>
          <w:color w:val="auto"/>
          <w:sz w:val="24"/>
          <w:szCs w:val="24"/>
          <w:highlight w:val="none"/>
          <w:lang w:val="zh-CN" w:eastAsia="zh-CN"/>
        </w:rPr>
        <w:t>t/a。</w:t>
      </w:r>
      <w:bookmarkStart w:id="678" w:name="_Toc355942152"/>
      <w:bookmarkStart w:id="679" w:name="_Toc337734570"/>
      <w:bookmarkStart w:id="680" w:name="_Toc185048009"/>
      <w:bookmarkStart w:id="681" w:name="_Toc29236"/>
      <w:bookmarkStart w:id="682" w:name="_Toc4167"/>
    </w:p>
    <w:p w14:paraId="3976DB4F">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eastAsia="zh-CN"/>
        </w:rPr>
      </w:pPr>
      <w:bookmarkStart w:id="683" w:name="_Toc18344"/>
      <w:bookmarkStart w:id="684" w:name="_Toc14593"/>
      <w:r>
        <w:rPr>
          <w:rFonts w:hint="default" w:ascii="Times New Roman" w:hAnsi="Times New Roman" w:eastAsia="宋体" w:cs="Times New Roman"/>
          <w:b/>
          <w:bCs/>
          <w:color w:val="auto"/>
        </w:rPr>
        <w:t>10.</w:t>
      </w:r>
      <w:r>
        <w:rPr>
          <w:rFonts w:hint="eastAsia" w:ascii="Times New Roman" w:hAnsi="Times New Roman" w:eastAsia="宋体" w:cs="Times New Roman"/>
          <w:b/>
          <w:bCs/>
          <w:color w:val="auto"/>
          <w:lang w:val="en-US" w:eastAsia="zh-CN"/>
        </w:rPr>
        <w:t>9</w:t>
      </w:r>
      <w:r>
        <w:rPr>
          <w:rFonts w:hint="eastAsia" w:ascii="Times New Roman" w:hAnsi="Times New Roman" w:eastAsia="宋体" w:cs="Times New Roman"/>
          <w:b/>
          <w:bCs/>
          <w:color w:val="auto"/>
          <w:lang w:eastAsia="zh-CN"/>
        </w:rPr>
        <w:t>公众参与采纳说明</w:t>
      </w:r>
      <w:bookmarkEnd w:id="683"/>
      <w:bookmarkEnd w:id="684"/>
    </w:p>
    <w:p w14:paraId="34CB37FF">
      <w:pPr>
        <w:rPr>
          <w:rFonts w:hint="eastAsia"/>
          <w:color w:val="auto"/>
          <w:lang w:eastAsia="zh-CN"/>
        </w:rPr>
      </w:pPr>
      <w:r>
        <w:rPr>
          <w:rFonts w:hint="eastAsia" w:ascii="Times New Roman" w:hAnsi="Times New Roman" w:eastAsia="宋体" w:cs="Times New Roman"/>
          <w:snapToGrid w:val="0"/>
          <w:color w:val="auto"/>
          <w:sz w:val="24"/>
          <w:szCs w:val="24"/>
          <w:highlight w:val="none"/>
          <w:lang w:val="en-US" w:eastAsia="zh-CN"/>
        </w:rPr>
        <w:t>在项目环评报告编制期间，北大荒集团黑龙江八五二农场有限公司</w:t>
      </w:r>
      <w:r>
        <w:rPr>
          <w:rFonts w:hint="eastAsia"/>
          <w:color w:val="auto"/>
          <w:szCs w:val="21"/>
          <w:lang w:eastAsia="zh-CN"/>
        </w:rPr>
        <w:t>组织开展了公众参与工作，</w:t>
      </w:r>
      <w:r>
        <w:rPr>
          <w:rFonts w:hint="eastAsia" w:ascii="Times New Roman" w:hAnsi="Times New Roman" w:eastAsia="宋体" w:cs="Times New Roman"/>
          <w:snapToGrid w:val="0"/>
          <w:color w:val="auto"/>
          <w:sz w:val="24"/>
          <w:szCs w:val="24"/>
          <w:highlight w:val="none"/>
          <w:lang w:val="en-US" w:eastAsia="zh-CN"/>
        </w:rPr>
        <w:t>建设单位于2026年3月3日在</w:t>
      </w:r>
      <w:r>
        <w:rPr>
          <w:rFonts w:hint="eastAsia" w:cs="Times New Roman"/>
          <w:color w:val="auto"/>
        </w:rPr>
        <w:t>黑龙江新闻网</w:t>
      </w:r>
      <w:r>
        <w:rPr>
          <w:rFonts w:hint="eastAsia" w:ascii="Times New Roman" w:hAnsi="Times New Roman" w:eastAsia="宋体" w:cs="Times New Roman"/>
          <w:snapToGrid w:val="0"/>
          <w:color w:val="auto"/>
          <w:sz w:val="24"/>
          <w:szCs w:val="24"/>
          <w:highlight w:val="none"/>
          <w:lang w:val="en-US" w:eastAsia="zh-CN"/>
        </w:rPr>
        <w:t>首次公开了本项目环境影响评价信息。2026年4月14日在</w:t>
      </w:r>
      <w:r>
        <w:rPr>
          <w:rFonts w:hint="eastAsia" w:cs="Times New Roman"/>
          <w:color w:val="auto"/>
        </w:rPr>
        <w:t>黑龙江新闻网</w:t>
      </w:r>
      <w:r>
        <w:rPr>
          <w:rFonts w:hint="eastAsia" w:ascii="Times New Roman" w:hAnsi="Times New Roman" w:eastAsia="宋体" w:cs="Times New Roman"/>
          <w:snapToGrid w:val="0"/>
          <w:color w:val="auto"/>
          <w:sz w:val="24"/>
          <w:szCs w:val="24"/>
          <w:highlight w:val="none"/>
          <w:lang w:val="en-US" w:eastAsia="zh-CN"/>
        </w:rPr>
        <w:t>公开了本项目环境影响报告书征求意见稿，并于2026年4月15日和2026年4月16日在《黑龙江日报》发布了本项目的报纸公示信息，2026年4月28日进行了本项目环境影响报告书报批前信息公开。在信息公开阶段未收到任何反对意见，本项目拟选厂址所在地区的公众对本项目无反对意见。建设单位对以上信息公开内容进行了整理总结，</w:t>
      </w:r>
      <w:r>
        <w:rPr>
          <w:rFonts w:hint="default" w:ascii="Times New Roman" w:hAnsi="Times New Roman" w:eastAsia="宋体" w:cs="Times New Roman"/>
          <w:snapToGrid w:val="0"/>
          <w:color w:val="auto"/>
          <w:sz w:val="24"/>
          <w:szCs w:val="24"/>
          <w:highlight w:val="none"/>
          <w:lang w:val="en-US" w:eastAsia="zh-CN"/>
        </w:rPr>
        <w:t>编制了</w:t>
      </w:r>
      <w:r>
        <w:rPr>
          <w:rFonts w:hint="default" w:ascii="Times New Roman" w:hAnsi="Times New Roman" w:cs="Times New Roman"/>
          <w:snapToGrid w:val="0"/>
          <w:color w:val="auto"/>
          <w:kern w:val="0"/>
        </w:rPr>
        <w:t>《</w:t>
      </w:r>
      <w:r>
        <w:rPr>
          <w:rFonts w:hint="eastAsia" w:ascii="Times New Roman" w:hAnsi="Times New Roman" w:cs="Times New Roman"/>
          <w:snapToGrid w:val="0"/>
          <w:color w:val="auto"/>
          <w:kern w:val="0"/>
          <w:lang w:eastAsia="zh-CN"/>
        </w:rPr>
        <w:t>北大荒集团八五二农场两供两治一业供热改造项目环境影响评价公众参与说明</w:t>
      </w:r>
      <w:r>
        <w:rPr>
          <w:rFonts w:hint="default" w:ascii="Times New Roman" w:hAnsi="Times New Roman" w:cs="Times New Roman"/>
          <w:snapToGrid w:val="0"/>
          <w:color w:val="auto"/>
          <w:kern w:val="0"/>
        </w:rPr>
        <w:t>》</w:t>
      </w:r>
      <w:r>
        <w:rPr>
          <w:rFonts w:hint="default" w:ascii="Times New Roman" w:hAnsi="Times New Roman" w:cs="Times New Roman"/>
          <w:snapToGrid w:val="0"/>
          <w:color w:val="auto"/>
          <w:kern w:val="0"/>
          <w:lang w:eastAsia="zh-CN"/>
        </w:rPr>
        <w:t>。</w:t>
      </w:r>
    </w:p>
    <w:p w14:paraId="47AEFF83">
      <w:pPr>
        <w:pStyle w:val="7"/>
        <w:keepNext/>
        <w:keepLines/>
        <w:pageBreakBefore w:val="0"/>
        <w:widowControl w:val="0"/>
        <w:kinsoku/>
        <w:wordWrap/>
        <w:overflowPunct/>
        <w:topLinePunct w:val="0"/>
        <w:autoSpaceDE/>
        <w:autoSpaceDN/>
        <w:bidi w:val="0"/>
        <w:adjustRightInd/>
        <w:snapToGrid/>
        <w:spacing w:before="157" w:beforeLines="50" w:after="157" w:afterLines="50" w:line="500" w:lineRule="exact"/>
        <w:ind w:firstLine="0" w:firstLineChars="0"/>
        <w:jc w:val="left"/>
        <w:textAlignment w:val="auto"/>
        <w:rPr>
          <w:rFonts w:hint="eastAsia" w:ascii="Times New Roman" w:hAnsi="Times New Roman" w:eastAsia="宋体" w:cs="Times New Roman"/>
          <w:b/>
          <w:bCs/>
          <w:color w:val="auto"/>
          <w:lang w:eastAsia="zh-CN"/>
        </w:rPr>
      </w:pPr>
      <w:bookmarkStart w:id="685" w:name="_Toc11893"/>
      <w:r>
        <w:rPr>
          <w:rFonts w:hint="eastAsia" w:ascii="Times New Roman" w:hAnsi="Times New Roman" w:eastAsia="宋体" w:cs="Times New Roman"/>
          <w:b/>
          <w:bCs/>
          <w:color w:val="auto"/>
          <w:lang w:eastAsia="zh-CN"/>
        </w:rPr>
        <w:t>10.</w:t>
      </w:r>
      <w:bookmarkEnd w:id="678"/>
      <w:bookmarkEnd w:id="679"/>
      <w:bookmarkEnd w:id="680"/>
      <w:bookmarkStart w:id="686" w:name="_Toc185048010"/>
      <w:bookmarkStart w:id="687" w:name="_Toc355942153"/>
      <w:bookmarkStart w:id="688" w:name="_Toc337734571"/>
      <w:r>
        <w:rPr>
          <w:rFonts w:hint="eastAsia" w:ascii="Times New Roman" w:hAnsi="Times New Roman" w:eastAsia="宋体" w:cs="Times New Roman"/>
          <w:b/>
          <w:bCs/>
          <w:color w:val="auto"/>
          <w:lang w:val="en-US" w:eastAsia="zh-CN"/>
        </w:rPr>
        <w:t>10</w:t>
      </w:r>
      <w:r>
        <w:rPr>
          <w:rFonts w:hint="eastAsia" w:ascii="Times New Roman" w:hAnsi="Times New Roman" w:eastAsia="宋体" w:cs="Times New Roman"/>
          <w:b/>
          <w:bCs/>
          <w:color w:val="auto"/>
          <w:lang w:eastAsia="zh-CN"/>
        </w:rPr>
        <w:t>综合评价结论</w:t>
      </w:r>
      <w:bookmarkEnd w:id="681"/>
      <w:bookmarkEnd w:id="682"/>
      <w:bookmarkEnd w:id="685"/>
      <w:bookmarkEnd w:id="686"/>
      <w:bookmarkEnd w:id="687"/>
      <w:bookmarkEnd w:id="688"/>
    </w:p>
    <w:p w14:paraId="17D979D3">
      <w:pPr>
        <w:pStyle w:val="165"/>
        <w:keepNext w:val="0"/>
        <w:keepLines w:val="0"/>
        <w:pageBreakBefore w:val="0"/>
        <w:widowControl w:val="0"/>
        <w:kinsoku/>
        <w:wordWrap/>
        <w:overflowPunct/>
        <w:topLinePunct w:val="0"/>
        <w:autoSpaceDE/>
        <w:autoSpaceDN/>
        <w:bidi w:val="0"/>
        <w:adjustRightInd w:val="0"/>
        <w:snapToGrid w:val="0"/>
        <w:spacing w:line="500" w:lineRule="exact"/>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t>本项目建设内容符合《产业结构调整指导目录（2024年本）》，本项目运营期对周围环境的影响主要表现在对大气环境、地表水环境、地下水环境、声环境、固体废物影响，通过采取相应的环境污染防治措施后能够实现污染物达标排放，从而降低对周围环境及敏感目标的影响。经过预测分析，本项目建设对外环境影响较小，总量控制指标能够落实。综上所述，项目建设是合理可行的。</w:t>
      </w:r>
    </w:p>
    <w:p w14:paraId="1FED3F72">
      <w:pPr>
        <w:pStyle w:val="168"/>
        <w:keepNext w:val="0"/>
        <w:keepLines w:val="0"/>
        <w:pageBreakBefore/>
        <w:widowControl w:val="0"/>
        <w:kinsoku/>
        <w:wordWrap/>
        <w:overflowPunct/>
        <w:topLinePunct w:val="0"/>
        <w:autoSpaceDE/>
        <w:autoSpaceDN/>
        <w:bidi w:val="0"/>
        <w:adjustRightInd w:val="0"/>
        <w:snapToGrid w:val="0"/>
        <w:spacing w:before="180" w:after="180" w:line="480" w:lineRule="exact"/>
        <w:ind w:firstLine="0" w:firstLineChars="0"/>
        <w:textAlignment w:val="auto"/>
        <w:outlineLvl w:val="0"/>
        <w:rPr>
          <w:rFonts w:hint="default" w:ascii="Times New Roman" w:hAnsi="Times New Roman" w:eastAsia="宋体" w:cs="Times New Roman"/>
          <w:b/>
          <w:color w:val="auto"/>
          <w:sz w:val="30"/>
          <w:szCs w:val="32"/>
          <w:lang w:val="en-US" w:eastAsia="zh-CN"/>
        </w:rPr>
      </w:pPr>
      <w:bookmarkStart w:id="689" w:name="_Toc2838"/>
      <w:bookmarkStart w:id="690" w:name="_Toc3587"/>
      <w:r>
        <w:rPr>
          <w:rFonts w:hint="eastAsia" w:ascii="Times New Roman" w:hAnsi="Times New Roman" w:eastAsia="宋体" w:cs="Times New Roman"/>
          <w:b/>
          <w:color w:val="auto"/>
          <w:sz w:val="30"/>
          <w:szCs w:val="32"/>
          <w:lang w:val="en-US" w:eastAsia="zh-CN"/>
        </w:rPr>
        <w:t>附件</w:t>
      </w:r>
      <w:bookmarkEnd w:id="689"/>
      <w:bookmarkEnd w:id="690"/>
    </w:p>
    <w:p w14:paraId="16D91925">
      <w:pPr>
        <w:keepNext w:val="0"/>
        <w:keepLines w:val="0"/>
        <w:pageBreakBefore w:val="0"/>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eastAsia" w:ascii="Times New Roman" w:hAnsi="Times New Roman" w:eastAsia="宋体" w:cs="Times New Roman"/>
          <w:b/>
          <w:bCs/>
          <w:snapToGrid/>
          <w:color w:val="auto"/>
          <w:kern w:val="2"/>
          <w:sz w:val="30"/>
          <w:szCs w:val="30"/>
          <w:lang w:val="en-US" w:eastAsia="zh-CN"/>
        </w:rPr>
      </w:pPr>
      <w:bookmarkStart w:id="691" w:name="_Toc2287"/>
      <w:bookmarkStart w:id="692" w:name="_Toc32458"/>
      <w:r>
        <w:rPr>
          <w:rFonts w:hint="eastAsia" w:ascii="Times New Roman" w:hAnsi="Times New Roman" w:eastAsia="宋体" w:cs="Times New Roman"/>
          <w:b/>
          <w:bCs/>
          <w:snapToGrid/>
          <w:color w:val="auto"/>
          <w:kern w:val="2"/>
          <w:sz w:val="30"/>
          <w:szCs w:val="30"/>
          <w:lang w:val="en-US" w:eastAsia="zh-CN"/>
        </w:rPr>
        <w:t>附件1 营业执照</w:t>
      </w:r>
      <w:bookmarkEnd w:id="691"/>
      <w:bookmarkEnd w:id="692"/>
    </w:p>
    <w:p w14:paraId="2F2F9A05">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drawing>
          <wp:inline distT="0" distB="0" distL="114300" distR="114300">
            <wp:extent cx="5249545" cy="3820160"/>
            <wp:effectExtent l="0" t="0" r="8255" b="2540"/>
            <wp:docPr id="14" name="图片 14" descr="营业执照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营业执照_01"/>
                    <pic:cNvPicPr>
                      <a:picLocks noChangeAspect="1"/>
                    </pic:cNvPicPr>
                  </pic:nvPicPr>
                  <pic:blipFill>
                    <a:blip r:embed="rId125"/>
                    <a:stretch>
                      <a:fillRect/>
                    </a:stretch>
                  </pic:blipFill>
                  <pic:spPr>
                    <a:xfrm>
                      <a:off x="0" y="0"/>
                      <a:ext cx="5249545" cy="3820160"/>
                    </a:xfrm>
                    <a:prstGeom prst="rect">
                      <a:avLst/>
                    </a:prstGeom>
                  </pic:spPr>
                </pic:pic>
              </a:graphicData>
            </a:graphic>
          </wp:inline>
        </w:drawing>
      </w:r>
    </w:p>
    <w:p w14:paraId="70E8065D">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693" w:name="_Toc20622"/>
      <w:r>
        <w:rPr>
          <w:rFonts w:hint="eastAsia" w:ascii="Times New Roman" w:hAnsi="Times New Roman" w:eastAsia="宋体" w:cs="Times New Roman"/>
          <w:b/>
          <w:bCs/>
          <w:snapToGrid/>
          <w:color w:val="auto"/>
          <w:kern w:val="2"/>
          <w:sz w:val="30"/>
          <w:szCs w:val="30"/>
          <w:lang w:val="en-US" w:eastAsia="zh-CN"/>
        </w:rPr>
        <w:t>附件2 备案承诺书</w:t>
      </w:r>
      <w:bookmarkEnd w:id="693"/>
    </w:p>
    <w:p w14:paraId="406B46B2">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drawing>
          <wp:inline distT="0" distB="0" distL="114300" distR="114300">
            <wp:extent cx="5255260" cy="3716655"/>
            <wp:effectExtent l="0" t="0" r="2540" b="4445"/>
            <wp:docPr id="23" name="图片 23" descr="（备案承诺）北大荒集团八五二农场两供两治一业供热改造项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备案承诺）北大荒集团八五二农场两供两治一业供热改造项目_01"/>
                    <pic:cNvPicPr>
                      <a:picLocks noChangeAspect="1"/>
                    </pic:cNvPicPr>
                  </pic:nvPicPr>
                  <pic:blipFill>
                    <a:blip r:embed="rId126"/>
                    <a:stretch>
                      <a:fillRect/>
                    </a:stretch>
                  </pic:blipFill>
                  <pic:spPr>
                    <a:xfrm>
                      <a:off x="0" y="0"/>
                      <a:ext cx="5255260" cy="3716655"/>
                    </a:xfrm>
                    <a:prstGeom prst="rect">
                      <a:avLst/>
                    </a:prstGeom>
                  </pic:spPr>
                </pic:pic>
              </a:graphicData>
            </a:graphic>
          </wp:inline>
        </w:drawing>
      </w:r>
    </w:p>
    <w:p w14:paraId="494F2644">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694" w:name="_Toc14244"/>
      <w:r>
        <w:rPr>
          <w:rFonts w:hint="eastAsia" w:ascii="Times New Roman" w:hAnsi="Times New Roman" w:eastAsia="宋体" w:cs="Times New Roman"/>
          <w:b/>
          <w:bCs/>
          <w:snapToGrid/>
          <w:color w:val="auto"/>
          <w:kern w:val="2"/>
          <w:sz w:val="30"/>
          <w:szCs w:val="30"/>
          <w:lang w:val="en-US" w:eastAsia="zh-CN"/>
        </w:rPr>
        <w:t>附件3 不动产权证</w:t>
      </w:r>
      <w:bookmarkEnd w:id="694"/>
    </w:p>
    <w:p w14:paraId="151BD43F">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drawing>
          <wp:inline distT="0" distB="0" distL="114300" distR="114300">
            <wp:extent cx="5252085" cy="7432675"/>
            <wp:effectExtent l="0" t="0" r="5715" b="9525"/>
            <wp:docPr id="68" name="图片 68" descr="143-供热中心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143-供热中心_01"/>
                    <pic:cNvPicPr>
                      <a:picLocks noChangeAspect="1"/>
                    </pic:cNvPicPr>
                  </pic:nvPicPr>
                  <pic:blipFill>
                    <a:blip r:embed="rId127"/>
                    <a:stretch>
                      <a:fillRect/>
                    </a:stretch>
                  </pic:blipFill>
                  <pic:spPr>
                    <a:xfrm>
                      <a:off x="0" y="0"/>
                      <a:ext cx="5252085" cy="7432675"/>
                    </a:xfrm>
                    <a:prstGeom prst="rect">
                      <a:avLst/>
                    </a:prstGeom>
                  </pic:spPr>
                </pic:pic>
              </a:graphicData>
            </a:graphic>
          </wp:inline>
        </w:drawing>
      </w:r>
      <w:r>
        <w:rPr>
          <w:rFonts w:hint="eastAsia" w:ascii="Times New Roman" w:hAnsi="Times New Roman" w:eastAsia="宋体" w:cs="Times New Roman"/>
          <w:color w:val="auto"/>
          <w:sz w:val="24"/>
          <w:szCs w:val="24"/>
          <w:highlight w:val="none"/>
          <w:lang w:val="zh-CN" w:eastAsia="zh-CN"/>
        </w:rPr>
        <w:drawing>
          <wp:inline distT="0" distB="0" distL="114300" distR="114300">
            <wp:extent cx="5252085" cy="7432675"/>
            <wp:effectExtent l="0" t="0" r="5715" b="9525"/>
            <wp:docPr id="67" name="图片 67" descr="143-供热中心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143-供热中心_02"/>
                    <pic:cNvPicPr>
                      <a:picLocks noChangeAspect="1"/>
                    </pic:cNvPicPr>
                  </pic:nvPicPr>
                  <pic:blipFill>
                    <a:blip r:embed="rId128"/>
                    <a:stretch>
                      <a:fillRect/>
                    </a:stretch>
                  </pic:blipFill>
                  <pic:spPr>
                    <a:xfrm>
                      <a:off x="0" y="0"/>
                      <a:ext cx="5252085" cy="7432675"/>
                    </a:xfrm>
                    <a:prstGeom prst="rect">
                      <a:avLst/>
                    </a:prstGeom>
                  </pic:spPr>
                </pic:pic>
              </a:graphicData>
            </a:graphic>
          </wp:inline>
        </w:drawing>
      </w:r>
      <w:r>
        <w:rPr>
          <w:rFonts w:hint="eastAsia" w:ascii="Times New Roman" w:hAnsi="Times New Roman" w:eastAsia="宋体" w:cs="Times New Roman"/>
          <w:color w:val="auto"/>
          <w:sz w:val="24"/>
          <w:szCs w:val="24"/>
          <w:highlight w:val="none"/>
          <w:lang w:val="zh-CN" w:eastAsia="zh-CN"/>
        </w:rPr>
        <w:drawing>
          <wp:inline distT="0" distB="0" distL="114300" distR="114300">
            <wp:extent cx="5252085" cy="7432675"/>
            <wp:effectExtent l="0" t="0" r="5715" b="9525"/>
            <wp:docPr id="54" name="图片 54" descr="143-供热中心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43-供热中心_03"/>
                    <pic:cNvPicPr>
                      <a:picLocks noChangeAspect="1"/>
                    </pic:cNvPicPr>
                  </pic:nvPicPr>
                  <pic:blipFill>
                    <a:blip r:embed="rId129"/>
                    <a:stretch>
                      <a:fillRect/>
                    </a:stretch>
                  </pic:blipFill>
                  <pic:spPr>
                    <a:xfrm>
                      <a:off x="0" y="0"/>
                      <a:ext cx="5252085" cy="7432675"/>
                    </a:xfrm>
                    <a:prstGeom prst="rect">
                      <a:avLst/>
                    </a:prstGeom>
                  </pic:spPr>
                </pic:pic>
              </a:graphicData>
            </a:graphic>
          </wp:inline>
        </w:drawing>
      </w:r>
      <w:r>
        <w:rPr>
          <w:rFonts w:hint="eastAsia" w:ascii="Times New Roman" w:hAnsi="Times New Roman" w:eastAsia="宋体" w:cs="Times New Roman"/>
          <w:color w:val="auto"/>
          <w:sz w:val="24"/>
          <w:szCs w:val="24"/>
          <w:highlight w:val="none"/>
          <w:lang w:val="zh-CN" w:eastAsia="zh-CN"/>
        </w:rPr>
        <w:drawing>
          <wp:inline distT="0" distB="0" distL="114300" distR="114300">
            <wp:extent cx="5252085" cy="7432675"/>
            <wp:effectExtent l="0" t="0" r="5715" b="9525"/>
            <wp:docPr id="47" name="图片 47" descr="143-供热中心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43-供热中心_04"/>
                    <pic:cNvPicPr>
                      <a:picLocks noChangeAspect="1"/>
                    </pic:cNvPicPr>
                  </pic:nvPicPr>
                  <pic:blipFill>
                    <a:blip r:embed="rId130"/>
                    <a:stretch>
                      <a:fillRect/>
                    </a:stretch>
                  </pic:blipFill>
                  <pic:spPr>
                    <a:xfrm>
                      <a:off x="0" y="0"/>
                      <a:ext cx="5252085" cy="7432675"/>
                    </a:xfrm>
                    <a:prstGeom prst="rect">
                      <a:avLst/>
                    </a:prstGeom>
                  </pic:spPr>
                </pic:pic>
              </a:graphicData>
            </a:graphic>
          </wp:inline>
        </w:drawing>
      </w:r>
      <w:r>
        <w:rPr>
          <w:rFonts w:hint="eastAsia" w:ascii="Times New Roman" w:hAnsi="Times New Roman" w:eastAsia="宋体" w:cs="Times New Roman"/>
          <w:color w:val="auto"/>
          <w:sz w:val="24"/>
          <w:szCs w:val="24"/>
          <w:highlight w:val="none"/>
          <w:lang w:val="zh-CN" w:eastAsia="zh-CN"/>
        </w:rPr>
        <w:drawing>
          <wp:inline distT="0" distB="0" distL="114300" distR="114300">
            <wp:extent cx="5252085" cy="7432675"/>
            <wp:effectExtent l="0" t="0" r="5715" b="9525"/>
            <wp:docPr id="30" name="图片 30" descr="143-供热中心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43-供热中心_05"/>
                    <pic:cNvPicPr>
                      <a:picLocks noChangeAspect="1"/>
                    </pic:cNvPicPr>
                  </pic:nvPicPr>
                  <pic:blipFill>
                    <a:blip r:embed="rId131"/>
                    <a:stretch>
                      <a:fillRect/>
                    </a:stretch>
                  </pic:blipFill>
                  <pic:spPr>
                    <a:xfrm>
                      <a:off x="0" y="0"/>
                      <a:ext cx="5252085" cy="7432675"/>
                    </a:xfrm>
                    <a:prstGeom prst="rect">
                      <a:avLst/>
                    </a:prstGeom>
                  </pic:spPr>
                </pic:pic>
              </a:graphicData>
            </a:graphic>
          </wp:inline>
        </w:drawing>
      </w:r>
    </w:p>
    <w:p w14:paraId="6482172A">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695" w:name="_Toc21297"/>
      <w:r>
        <w:rPr>
          <w:rFonts w:hint="eastAsia" w:ascii="Times New Roman" w:hAnsi="Times New Roman" w:eastAsia="宋体" w:cs="Times New Roman"/>
          <w:b/>
          <w:bCs/>
          <w:snapToGrid/>
          <w:color w:val="auto"/>
          <w:kern w:val="2"/>
          <w:sz w:val="30"/>
          <w:szCs w:val="30"/>
          <w:lang w:val="en-US" w:eastAsia="zh-CN"/>
        </w:rPr>
        <w:t>附件4 关于八五二、八五三农场有限公司第二批“两供两治一业”补充项目实施方案的批复</w:t>
      </w:r>
      <w:bookmarkEnd w:id="695"/>
    </w:p>
    <w:p w14:paraId="36CBC732">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drawing>
          <wp:inline distT="0" distB="0" distL="114300" distR="114300">
            <wp:extent cx="5253990" cy="7431405"/>
            <wp:effectExtent l="0" t="0" r="3810" b="10795"/>
            <wp:docPr id="69" name="图片 69" descr="北大荒集社发〔2025〕166号 关于八五二、八五三农场有限公司第二批“两供两治一业”补充项目实施方案的批复(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北大荒集社发〔2025〕166号 关于八五二、八五三农场有限公司第二批“两供两治一业”补充项目实施方案的批复(2)_01"/>
                    <pic:cNvPicPr>
                      <a:picLocks noChangeAspect="1"/>
                    </pic:cNvPicPr>
                  </pic:nvPicPr>
                  <pic:blipFill>
                    <a:blip r:embed="rId132"/>
                    <a:stretch>
                      <a:fillRect/>
                    </a:stretch>
                  </pic:blipFill>
                  <pic:spPr>
                    <a:xfrm>
                      <a:off x="0" y="0"/>
                      <a:ext cx="5253990" cy="7431405"/>
                    </a:xfrm>
                    <a:prstGeom prst="rect">
                      <a:avLst/>
                    </a:prstGeom>
                  </pic:spPr>
                </pic:pic>
              </a:graphicData>
            </a:graphic>
          </wp:inline>
        </w:drawing>
      </w:r>
    </w:p>
    <w:p w14:paraId="053597F4">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drawing>
          <wp:inline distT="0" distB="0" distL="114300" distR="114300">
            <wp:extent cx="5253990" cy="7431405"/>
            <wp:effectExtent l="0" t="0" r="3810" b="10795"/>
            <wp:docPr id="72" name="图片 72" descr="北大荒集社发〔2025〕166号 关于八五二、八五三农场有限公司第二批“两供两治一业”补充项目实施方案的批复(2)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北大荒集社发〔2025〕166号 关于八五二、八五三农场有限公司第二批“两供两治一业”补充项目实施方案的批复(2)_02"/>
                    <pic:cNvPicPr>
                      <a:picLocks noChangeAspect="1"/>
                    </pic:cNvPicPr>
                  </pic:nvPicPr>
                  <pic:blipFill>
                    <a:blip r:embed="rId133"/>
                    <a:stretch>
                      <a:fillRect/>
                    </a:stretch>
                  </pic:blipFill>
                  <pic:spPr>
                    <a:xfrm>
                      <a:off x="0" y="0"/>
                      <a:ext cx="5253990" cy="7431405"/>
                    </a:xfrm>
                    <a:prstGeom prst="rect">
                      <a:avLst/>
                    </a:prstGeom>
                  </pic:spPr>
                </pic:pic>
              </a:graphicData>
            </a:graphic>
          </wp:inline>
        </w:drawing>
      </w:r>
    </w:p>
    <w:p w14:paraId="45114FCA">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zh-CN" w:eastAsia="zh-CN"/>
        </w:rPr>
        <w:drawing>
          <wp:inline distT="0" distB="0" distL="114300" distR="114300">
            <wp:extent cx="5253990" cy="7431405"/>
            <wp:effectExtent l="0" t="0" r="3810" b="10795"/>
            <wp:docPr id="76" name="图片 76" descr="北大荒集社发〔2025〕166号 关于八五二、八五三农场有限公司第二批“两供两治一业”补充项目实施方案的批复(2)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北大荒集社发〔2025〕166号 关于八五二、八五三农场有限公司第二批“两供两治一业”补充项目实施方案的批复(2)_03"/>
                    <pic:cNvPicPr>
                      <a:picLocks noChangeAspect="1"/>
                    </pic:cNvPicPr>
                  </pic:nvPicPr>
                  <pic:blipFill>
                    <a:blip r:embed="rId134"/>
                    <a:stretch>
                      <a:fillRect/>
                    </a:stretch>
                  </pic:blipFill>
                  <pic:spPr>
                    <a:xfrm>
                      <a:off x="0" y="0"/>
                      <a:ext cx="5253990" cy="7431405"/>
                    </a:xfrm>
                    <a:prstGeom prst="rect">
                      <a:avLst/>
                    </a:prstGeom>
                  </pic:spPr>
                </pic:pic>
              </a:graphicData>
            </a:graphic>
          </wp:inline>
        </w:drawing>
      </w:r>
    </w:p>
    <w:p w14:paraId="55AFBEC4">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696" w:name="_Toc7247"/>
      <w:r>
        <w:rPr>
          <w:rFonts w:hint="eastAsia" w:ascii="Times New Roman" w:hAnsi="Times New Roman" w:eastAsia="宋体" w:cs="Times New Roman"/>
          <w:b/>
          <w:bCs/>
          <w:snapToGrid/>
          <w:color w:val="auto"/>
          <w:kern w:val="2"/>
          <w:sz w:val="30"/>
          <w:szCs w:val="30"/>
          <w:lang w:val="en-US" w:eastAsia="zh-CN"/>
        </w:rPr>
        <w:t>附件5 关于黑龙江省八五二农场保障性安居工程基础设施配套供热建设项目环境影响报告书审批意见的复函</w:t>
      </w:r>
      <w:bookmarkEnd w:id="696"/>
    </w:p>
    <w:p w14:paraId="258A5E39">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Theme="minorEastAsia"/>
          <w:color w:val="auto"/>
          <w:sz w:val="24"/>
          <w:lang w:eastAsia="zh-CN"/>
        </w:rPr>
        <w:drawing>
          <wp:inline distT="0" distB="0" distL="114300" distR="114300">
            <wp:extent cx="5264785" cy="7545705"/>
            <wp:effectExtent l="0" t="0" r="5715" b="10795"/>
            <wp:docPr id="77" name="图片 77" descr="P1040795_cone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P1040795_conew1"/>
                    <pic:cNvPicPr>
                      <a:picLocks noChangeAspect="1"/>
                    </pic:cNvPicPr>
                  </pic:nvPicPr>
                  <pic:blipFill>
                    <a:blip r:embed="rId135"/>
                    <a:stretch>
                      <a:fillRect/>
                    </a:stretch>
                  </pic:blipFill>
                  <pic:spPr>
                    <a:xfrm>
                      <a:off x="0" y="0"/>
                      <a:ext cx="5264785" cy="7545705"/>
                    </a:xfrm>
                    <a:prstGeom prst="rect">
                      <a:avLst/>
                    </a:prstGeom>
                  </pic:spPr>
                </pic:pic>
              </a:graphicData>
            </a:graphic>
          </wp:inline>
        </w:drawing>
      </w:r>
    </w:p>
    <w:p w14:paraId="51007481">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color w:val="auto"/>
          <w:lang w:eastAsia="zh-CN"/>
        </w:rPr>
        <w:drawing>
          <wp:inline distT="0" distB="0" distL="114300" distR="114300">
            <wp:extent cx="5269865" cy="7823200"/>
            <wp:effectExtent l="0" t="0" r="635" b="0"/>
            <wp:docPr id="81" name="图片 81" descr="P1040796_cone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P1040796_conew1"/>
                    <pic:cNvPicPr>
                      <a:picLocks noChangeAspect="1"/>
                    </pic:cNvPicPr>
                  </pic:nvPicPr>
                  <pic:blipFill>
                    <a:blip r:embed="rId136"/>
                    <a:stretch>
                      <a:fillRect/>
                    </a:stretch>
                  </pic:blipFill>
                  <pic:spPr>
                    <a:xfrm>
                      <a:off x="0" y="0"/>
                      <a:ext cx="5269865" cy="7823200"/>
                    </a:xfrm>
                    <a:prstGeom prst="rect">
                      <a:avLst/>
                    </a:prstGeom>
                  </pic:spPr>
                </pic:pic>
              </a:graphicData>
            </a:graphic>
          </wp:inline>
        </w:drawing>
      </w:r>
    </w:p>
    <w:p w14:paraId="435E66B0">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color w:val="auto"/>
          <w:lang w:eastAsia="zh-CN"/>
        </w:rPr>
        <w:drawing>
          <wp:inline distT="0" distB="0" distL="114300" distR="114300">
            <wp:extent cx="5271135" cy="7921625"/>
            <wp:effectExtent l="0" t="0" r="12065" b="3175"/>
            <wp:docPr id="82" name="图片 82" descr="P1040797_cone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P1040797_conew1"/>
                    <pic:cNvPicPr>
                      <a:picLocks noChangeAspect="1"/>
                    </pic:cNvPicPr>
                  </pic:nvPicPr>
                  <pic:blipFill>
                    <a:blip r:embed="rId137"/>
                    <a:stretch>
                      <a:fillRect/>
                    </a:stretch>
                  </pic:blipFill>
                  <pic:spPr>
                    <a:xfrm>
                      <a:off x="0" y="0"/>
                      <a:ext cx="5271135" cy="7921625"/>
                    </a:xfrm>
                    <a:prstGeom prst="rect">
                      <a:avLst/>
                    </a:prstGeom>
                  </pic:spPr>
                </pic:pic>
              </a:graphicData>
            </a:graphic>
          </wp:inline>
        </w:drawing>
      </w:r>
    </w:p>
    <w:p w14:paraId="55E5CC63">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eastAsia" w:ascii="Times New Roman" w:hAnsi="Times New Roman" w:eastAsia="宋体" w:cs="Times New Roman"/>
          <w:b/>
          <w:bCs/>
          <w:snapToGrid/>
          <w:color w:val="auto"/>
          <w:kern w:val="2"/>
          <w:sz w:val="30"/>
          <w:szCs w:val="30"/>
          <w:lang w:val="zh-CN" w:eastAsia="zh-CN"/>
        </w:rPr>
      </w:pPr>
      <w:bookmarkStart w:id="697" w:name="_Toc786"/>
      <w:r>
        <w:rPr>
          <w:rFonts w:hint="eastAsia" w:ascii="Times New Roman" w:hAnsi="Times New Roman" w:eastAsia="宋体" w:cs="Times New Roman"/>
          <w:b/>
          <w:bCs/>
          <w:snapToGrid/>
          <w:color w:val="auto"/>
          <w:kern w:val="2"/>
          <w:sz w:val="30"/>
          <w:szCs w:val="30"/>
          <w:lang w:val="en-US" w:eastAsia="zh-CN"/>
        </w:rPr>
        <w:t>附件6 2021年黑龙江省八五二农场供热中心环保改造项目环境影响登记表</w:t>
      </w:r>
      <w:bookmarkEnd w:id="697"/>
    </w:p>
    <w:p w14:paraId="0E0BEFCF">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宋体" w:cs="Times New Roman"/>
          <w:color w:val="auto"/>
          <w:sz w:val="24"/>
          <w:szCs w:val="24"/>
          <w:highlight w:val="none"/>
          <w:lang w:val="zh-CN" w:eastAsia="zh-CN"/>
        </w:rPr>
      </w:pPr>
      <w:r>
        <w:rPr>
          <w:rFonts w:hint="eastAsia"/>
          <w:color w:val="auto"/>
          <w:lang w:eastAsia="zh-CN"/>
        </w:rPr>
        <w:drawing>
          <wp:inline distT="0" distB="0" distL="114300" distR="114300">
            <wp:extent cx="5270500" cy="7458710"/>
            <wp:effectExtent l="0" t="0" r="0" b="8890"/>
            <wp:docPr id="84" name="图片 84" descr="供热环评登记表2021年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供热环评登记表2021年_01"/>
                    <pic:cNvPicPr>
                      <a:picLocks noChangeAspect="1"/>
                    </pic:cNvPicPr>
                  </pic:nvPicPr>
                  <pic:blipFill>
                    <a:blip r:embed="rId138"/>
                    <a:stretch>
                      <a:fillRect/>
                    </a:stretch>
                  </pic:blipFill>
                  <pic:spPr>
                    <a:xfrm>
                      <a:off x="0" y="0"/>
                      <a:ext cx="5270500" cy="7458710"/>
                    </a:xfrm>
                    <a:prstGeom prst="rect">
                      <a:avLst/>
                    </a:prstGeom>
                  </pic:spPr>
                </pic:pic>
              </a:graphicData>
            </a:graphic>
          </wp:inline>
        </w:drawing>
      </w:r>
    </w:p>
    <w:p w14:paraId="36167B51">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70500" cy="7458710"/>
            <wp:effectExtent l="0" t="0" r="0" b="8890"/>
            <wp:docPr id="89" name="图片 89" descr="供热环评登记表2021年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供热环评登记表2021年_02"/>
                    <pic:cNvPicPr>
                      <a:picLocks noChangeAspect="1"/>
                    </pic:cNvPicPr>
                  </pic:nvPicPr>
                  <pic:blipFill>
                    <a:blip r:embed="rId139"/>
                    <a:stretch>
                      <a:fillRect/>
                    </a:stretch>
                  </pic:blipFill>
                  <pic:spPr>
                    <a:xfrm>
                      <a:off x="0" y="0"/>
                      <a:ext cx="5270500" cy="7458710"/>
                    </a:xfrm>
                    <a:prstGeom prst="rect">
                      <a:avLst/>
                    </a:prstGeom>
                  </pic:spPr>
                </pic:pic>
              </a:graphicData>
            </a:graphic>
          </wp:inline>
        </w:drawing>
      </w:r>
    </w:p>
    <w:p w14:paraId="3F0BB221">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eastAsia" w:ascii="Times New Roman" w:hAnsi="Times New Roman" w:eastAsia="宋体" w:cs="Times New Roman"/>
          <w:b/>
          <w:bCs/>
          <w:snapToGrid/>
          <w:color w:val="auto"/>
          <w:kern w:val="2"/>
          <w:sz w:val="30"/>
          <w:szCs w:val="30"/>
          <w:lang w:val="zh-CN" w:eastAsia="zh-CN"/>
        </w:rPr>
      </w:pPr>
      <w:bookmarkStart w:id="698" w:name="_Toc2084"/>
      <w:r>
        <w:rPr>
          <w:rFonts w:hint="eastAsia" w:ascii="Times New Roman" w:hAnsi="Times New Roman" w:eastAsia="宋体" w:cs="Times New Roman"/>
          <w:b/>
          <w:bCs/>
          <w:snapToGrid/>
          <w:color w:val="auto"/>
          <w:kern w:val="2"/>
          <w:sz w:val="30"/>
          <w:szCs w:val="30"/>
          <w:lang w:val="en-US" w:eastAsia="zh-CN"/>
        </w:rPr>
        <w:t>附件7 北大荒集团黑龙江八五二农场农垦公用基础设施建设项目环境影响登记表</w:t>
      </w:r>
      <w:bookmarkEnd w:id="698"/>
    </w:p>
    <w:p w14:paraId="19F22EFD">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70500" cy="7458710"/>
            <wp:effectExtent l="0" t="0" r="0" b="8890"/>
            <wp:docPr id="90" name="图片 90" descr="2024年农垦公用设施建设项目登记表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2024年农垦公用设施建设项目登记表_01"/>
                    <pic:cNvPicPr>
                      <a:picLocks noChangeAspect="1"/>
                    </pic:cNvPicPr>
                  </pic:nvPicPr>
                  <pic:blipFill>
                    <a:blip r:embed="rId140"/>
                    <a:stretch>
                      <a:fillRect/>
                    </a:stretch>
                  </pic:blipFill>
                  <pic:spPr>
                    <a:xfrm>
                      <a:off x="0" y="0"/>
                      <a:ext cx="5270500" cy="7458710"/>
                    </a:xfrm>
                    <a:prstGeom prst="rect">
                      <a:avLst/>
                    </a:prstGeom>
                  </pic:spPr>
                </pic:pic>
              </a:graphicData>
            </a:graphic>
          </wp:inline>
        </w:drawing>
      </w:r>
    </w:p>
    <w:p w14:paraId="2A0A33A3">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70500" cy="7458710"/>
            <wp:effectExtent l="0" t="0" r="0" b="8890"/>
            <wp:docPr id="91" name="图片 91" descr="2024年农垦公用设施建设项目登记表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2024年农垦公用设施建设项目登记表_02"/>
                    <pic:cNvPicPr>
                      <a:picLocks noChangeAspect="1"/>
                    </pic:cNvPicPr>
                  </pic:nvPicPr>
                  <pic:blipFill>
                    <a:blip r:embed="rId141"/>
                    <a:stretch>
                      <a:fillRect/>
                    </a:stretch>
                  </pic:blipFill>
                  <pic:spPr>
                    <a:xfrm>
                      <a:off x="0" y="0"/>
                      <a:ext cx="5270500" cy="7458710"/>
                    </a:xfrm>
                    <a:prstGeom prst="rect">
                      <a:avLst/>
                    </a:prstGeom>
                  </pic:spPr>
                </pic:pic>
              </a:graphicData>
            </a:graphic>
          </wp:inline>
        </w:drawing>
      </w:r>
    </w:p>
    <w:p w14:paraId="796786E0">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699" w:name="_Toc3532"/>
      <w:r>
        <w:rPr>
          <w:rFonts w:hint="eastAsia" w:ascii="Times New Roman" w:hAnsi="Times New Roman" w:eastAsia="宋体" w:cs="Times New Roman"/>
          <w:b/>
          <w:bCs/>
          <w:snapToGrid/>
          <w:color w:val="auto"/>
          <w:kern w:val="2"/>
          <w:sz w:val="30"/>
          <w:szCs w:val="30"/>
          <w:lang w:val="en-US" w:eastAsia="zh-CN"/>
        </w:rPr>
        <w:t>附件8 北大荒集团黑龙江八五二农场农垦公用基础设施建设项目超低排放技术改造环境影响分析论证报告专家意见</w:t>
      </w:r>
      <w:bookmarkEnd w:id="699"/>
    </w:p>
    <w:p w14:paraId="28E610EB">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70500" cy="7458710"/>
            <wp:effectExtent l="0" t="0" r="0" b="8890"/>
            <wp:docPr id="92" name="图片 92" descr="852供热锅炉论证报告专家意见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852供热锅炉论证报告专家意见_01"/>
                    <pic:cNvPicPr>
                      <a:picLocks noChangeAspect="1"/>
                    </pic:cNvPicPr>
                  </pic:nvPicPr>
                  <pic:blipFill>
                    <a:blip r:embed="rId142"/>
                    <a:stretch>
                      <a:fillRect/>
                    </a:stretch>
                  </pic:blipFill>
                  <pic:spPr>
                    <a:xfrm>
                      <a:off x="0" y="0"/>
                      <a:ext cx="5270500" cy="7458710"/>
                    </a:xfrm>
                    <a:prstGeom prst="rect">
                      <a:avLst/>
                    </a:prstGeom>
                  </pic:spPr>
                </pic:pic>
              </a:graphicData>
            </a:graphic>
          </wp:inline>
        </w:drawing>
      </w:r>
    </w:p>
    <w:p w14:paraId="5EFBF2B9">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color w:val="auto"/>
          <w:lang w:eastAsia="zh-CN"/>
        </w:rPr>
      </w:pPr>
      <w:r>
        <w:rPr>
          <w:rFonts w:hint="eastAsia"/>
          <w:color w:val="auto"/>
          <w:lang w:eastAsia="zh-CN"/>
        </w:rPr>
        <w:drawing>
          <wp:inline distT="0" distB="0" distL="114300" distR="114300">
            <wp:extent cx="5270500" cy="7458710"/>
            <wp:effectExtent l="0" t="0" r="0" b="8890"/>
            <wp:docPr id="102" name="图片 102" descr="852供热锅炉论证报告专家意见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852供热锅炉论证报告专家意见_02"/>
                    <pic:cNvPicPr>
                      <a:picLocks noChangeAspect="1"/>
                    </pic:cNvPicPr>
                  </pic:nvPicPr>
                  <pic:blipFill>
                    <a:blip r:embed="rId143"/>
                    <a:stretch>
                      <a:fillRect/>
                    </a:stretch>
                  </pic:blipFill>
                  <pic:spPr>
                    <a:xfrm>
                      <a:off x="0" y="0"/>
                      <a:ext cx="5270500" cy="7458710"/>
                    </a:xfrm>
                    <a:prstGeom prst="rect">
                      <a:avLst/>
                    </a:prstGeom>
                  </pic:spPr>
                </pic:pic>
              </a:graphicData>
            </a:graphic>
          </wp:inline>
        </w:drawing>
      </w:r>
    </w:p>
    <w:p w14:paraId="0C579A9F">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70500" cy="7458710"/>
            <wp:effectExtent l="0" t="0" r="0" b="8890"/>
            <wp:docPr id="103" name="图片 103" descr="852供热锅炉论证报告专家意见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852供热锅炉论证报告专家意见_03"/>
                    <pic:cNvPicPr>
                      <a:picLocks noChangeAspect="1"/>
                    </pic:cNvPicPr>
                  </pic:nvPicPr>
                  <pic:blipFill>
                    <a:blip r:embed="rId144">
                      <a:lum bright="-6000"/>
                    </a:blip>
                    <a:stretch>
                      <a:fillRect/>
                    </a:stretch>
                  </pic:blipFill>
                  <pic:spPr>
                    <a:xfrm>
                      <a:off x="0" y="0"/>
                      <a:ext cx="5270500" cy="7458710"/>
                    </a:xfrm>
                    <a:prstGeom prst="rect">
                      <a:avLst/>
                    </a:prstGeom>
                  </pic:spPr>
                </pic:pic>
              </a:graphicData>
            </a:graphic>
          </wp:inline>
        </w:drawing>
      </w:r>
    </w:p>
    <w:p w14:paraId="1B7C7E7D">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70500" cy="7458710"/>
            <wp:effectExtent l="0" t="0" r="0" b="8890"/>
            <wp:docPr id="104" name="图片 104" descr="852供热锅炉论证报告专家意见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852供热锅炉论证报告专家意见_04"/>
                    <pic:cNvPicPr>
                      <a:picLocks noChangeAspect="1"/>
                    </pic:cNvPicPr>
                  </pic:nvPicPr>
                  <pic:blipFill>
                    <a:blip r:embed="rId145"/>
                    <a:stretch>
                      <a:fillRect/>
                    </a:stretch>
                  </pic:blipFill>
                  <pic:spPr>
                    <a:xfrm>
                      <a:off x="0" y="0"/>
                      <a:ext cx="5270500" cy="7458710"/>
                    </a:xfrm>
                    <a:prstGeom prst="rect">
                      <a:avLst/>
                    </a:prstGeom>
                  </pic:spPr>
                </pic:pic>
              </a:graphicData>
            </a:graphic>
          </wp:inline>
        </w:drawing>
      </w:r>
    </w:p>
    <w:p w14:paraId="4CADCC96">
      <w:pPr>
        <w:keepNext w:val="0"/>
        <w:keepLines w:val="0"/>
        <w:pageBreakBefore w:val="0"/>
        <w:widowControl w:val="0"/>
        <w:kinsoku/>
        <w:wordWrap/>
        <w:overflowPunct/>
        <w:topLinePunct w:val="0"/>
        <w:autoSpaceDE/>
        <w:autoSpaceDN/>
        <w:bidi w:val="0"/>
        <w:adjustRightInd/>
        <w:snapToGrid/>
        <w:spacing w:line="240" w:lineRule="auto"/>
        <w:ind w:left="0"/>
        <w:jc w:val="center"/>
        <w:textAlignment w:val="auto"/>
        <w:rPr>
          <w:rFonts w:hint="eastAsia" w:ascii="Times New Roman" w:hAnsi="Times New Roman" w:eastAsia="宋体" w:cs="Times New Roman"/>
          <w:b/>
          <w:bCs/>
          <w:snapToGrid/>
          <w:color w:val="auto"/>
          <w:kern w:val="2"/>
          <w:sz w:val="30"/>
          <w:szCs w:val="30"/>
          <w:lang w:val="en-US" w:eastAsia="zh-CN"/>
        </w:rPr>
      </w:pPr>
      <w:r>
        <w:rPr>
          <w:rFonts w:hint="eastAsia"/>
          <w:color w:val="auto"/>
          <w:lang w:eastAsia="zh-CN"/>
        </w:rPr>
        <w:drawing>
          <wp:inline distT="0" distB="0" distL="114300" distR="114300">
            <wp:extent cx="5260975" cy="3717925"/>
            <wp:effectExtent l="0" t="0" r="9525" b="3175"/>
            <wp:docPr id="105" name="图片 105" descr="852供热锅炉论证报告专家意见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852供热锅炉论证报告专家意见_05"/>
                    <pic:cNvPicPr>
                      <a:picLocks noChangeAspect="1"/>
                    </pic:cNvPicPr>
                  </pic:nvPicPr>
                  <pic:blipFill>
                    <a:blip r:embed="rId146"/>
                    <a:stretch>
                      <a:fillRect/>
                    </a:stretch>
                  </pic:blipFill>
                  <pic:spPr>
                    <a:xfrm>
                      <a:off x="0" y="0"/>
                      <a:ext cx="5260975" cy="3717925"/>
                    </a:xfrm>
                    <a:prstGeom prst="rect">
                      <a:avLst/>
                    </a:prstGeom>
                  </pic:spPr>
                </pic:pic>
              </a:graphicData>
            </a:graphic>
          </wp:inline>
        </w:drawing>
      </w:r>
    </w:p>
    <w:p w14:paraId="623832D6">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700" w:name="_Toc15210"/>
      <w:r>
        <w:rPr>
          <w:rFonts w:hint="eastAsia" w:ascii="Times New Roman" w:hAnsi="Times New Roman" w:eastAsia="宋体" w:cs="Times New Roman"/>
          <w:b/>
          <w:bCs/>
          <w:snapToGrid/>
          <w:color w:val="auto"/>
          <w:kern w:val="2"/>
          <w:sz w:val="30"/>
          <w:szCs w:val="30"/>
          <w:lang w:val="en-US" w:eastAsia="zh-CN"/>
        </w:rPr>
        <w:t>附件9 黑龙江省八五二农场保障性安居工程基础设施配套供热建设项目竣工环境保护验收意见</w:t>
      </w:r>
      <w:bookmarkEnd w:id="700"/>
    </w:p>
    <w:p w14:paraId="4ECE3AAB">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53990" cy="7428865"/>
            <wp:effectExtent l="0" t="0" r="3810" b="635"/>
            <wp:docPr id="112" name="图片 112" descr="专家意见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专家意见_01"/>
                    <pic:cNvPicPr>
                      <a:picLocks noChangeAspect="1"/>
                    </pic:cNvPicPr>
                  </pic:nvPicPr>
                  <pic:blipFill>
                    <a:blip r:embed="rId147"/>
                    <a:stretch>
                      <a:fillRect/>
                    </a:stretch>
                  </pic:blipFill>
                  <pic:spPr>
                    <a:xfrm>
                      <a:off x="0" y="0"/>
                      <a:ext cx="5253990" cy="7428865"/>
                    </a:xfrm>
                    <a:prstGeom prst="rect">
                      <a:avLst/>
                    </a:prstGeom>
                  </pic:spPr>
                </pic:pic>
              </a:graphicData>
            </a:graphic>
          </wp:inline>
        </w:drawing>
      </w:r>
    </w:p>
    <w:p w14:paraId="20785053">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53990" cy="7428865"/>
            <wp:effectExtent l="0" t="0" r="3810" b="635"/>
            <wp:docPr id="113" name="图片 113" descr="专家意见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专家意见_02"/>
                    <pic:cNvPicPr>
                      <a:picLocks noChangeAspect="1"/>
                    </pic:cNvPicPr>
                  </pic:nvPicPr>
                  <pic:blipFill>
                    <a:blip r:embed="rId148"/>
                    <a:stretch>
                      <a:fillRect/>
                    </a:stretch>
                  </pic:blipFill>
                  <pic:spPr>
                    <a:xfrm>
                      <a:off x="0" y="0"/>
                      <a:ext cx="5253990" cy="7428865"/>
                    </a:xfrm>
                    <a:prstGeom prst="rect">
                      <a:avLst/>
                    </a:prstGeom>
                  </pic:spPr>
                </pic:pic>
              </a:graphicData>
            </a:graphic>
          </wp:inline>
        </w:drawing>
      </w:r>
    </w:p>
    <w:p w14:paraId="175C8454">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53990" cy="7428865"/>
            <wp:effectExtent l="0" t="0" r="3810" b="635"/>
            <wp:docPr id="114" name="图片 114" descr="专家意见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专家意见_03"/>
                    <pic:cNvPicPr>
                      <a:picLocks noChangeAspect="1"/>
                    </pic:cNvPicPr>
                  </pic:nvPicPr>
                  <pic:blipFill>
                    <a:blip r:embed="rId149"/>
                    <a:stretch>
                      <a:fillRect/>
                    </a:stretch>
                  </pic:blipFill>
                  <pic:spPr>
                    <a:xfrm>
                      <a:off x="0" y="0"/>
                      <a:ext cx="5253990" cy="7428865"/>
                    </a:xfrm>
                    <a:prstGeom prst="rect">
                      <a:avLst/>
                    </a:prstGeom>
                  </pic:spPr>
                </pic:pic>
              </a:graphicData>
            </a:graphic>
          </wp:inline>
        </w:drawing>
      </w:r>
    </w:p>
    <w:p w14:paraId="6F4FFE99">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53990" cy="7428865"/>
            <wp:effectExtent l="0" t="0" r="3810" b="635"/>
            <wp:docPr id="115" name="图片 115" descr="专家意见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专家意见_04"/>
                    <pic:cNvPicPr>
                      <a:picLocks noChangeAspect="1"/>
                    </pic:cNvPicPr>
                  </pic:nvPicPr>
                  <pic:blipFill>
                    <a:blip r:embed="rId150"/>
                    <a:stretch>
                      <a:fillRect/>
                    </a:stretch>
                  </pic:blipFill>
                  <pic:spPr>
                    <a:xfrm>
                      <a:off x="0" y="0"/>
                      <a:ext cx="5253990" cy="7428865"/>
                    </a:xfrm>
                    <a:prstGeom prst="rect">
                      <a:avLst/>
                    </a:prstGeom>
                  </pic:spPr>
                </pic:pic>
              </a:graphicData>
            </a:graphic>
          </wp:inline>
        </w:drawing>
      </w:r>
    </w:p>
    <w:p w14:paraId="6A5A53CD">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53990" cy="7428865"/>
            <wp:effectExtent l="0" t="0" r="3810" b="635"/>
            <wp:docPr id="116" name="图片 116" descr="专家意见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专家意见_05"/>
                    <pic:cNvPicPr>
                      <a:picLocks noChangeAspect="1"/>
                    </pic:cNvPicPr>
                  </pic:nvPicPr>
                  <pic:blipFill>
                    <a:blip r:embed="rId151"/>
                    <a:stretch>
                      <a:fillRect/>
                    </a:stretch>
                  </pic:blipFill>
                  <pic:spPr>
                    <a:xfrm>
                      <a:off x="0" y="0"/>
                      <a:ext cx="5253990" cy="7428865"/>
                    </a:xfrm>
                    <a:prstGeom prst="rect">
                      <a:avLst/>
                    </a:prstGeom>
                  </pic:spPr>
                </pic:pic>
              </a:graphicData>
            </a:graphic>
          </wp:inline>
        </w:drawing>
      </w:r>
    </w:p>
    <w:p w14:paraId="6C01EC47">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ascii="Times New Roman" w:hAnsi="Times New Roman" w:eastAsiaTheme="minorEastAsia"/>
          <w:color w:val="auto"/>
          <w:sz w:val="24"/>
          <w:lang w:eastAsia="zh-CN"/>
        </w:rPr>
        <w:drawing>
          <wp:inline distT="0" distB="0" distL="114300" distR="114300">
            <wp:extent cx="5253990" cy="7428865"/>
            <wp:effectExtent l="0" t="0" r="3810" b="635"/>
            <wp:docPr id="117" name="图片 117" descr="专家意见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专家意见_06"/>
                    <pic:cNvPicPr>
                      <a:picLocks noChangeAspect="1"/>
                    </pic:cNvPicPr>
                  </pic:nvPicPr>
                  <pic:blipFill>
                    <a:blip r:embed="rId152"/>
                    <a:stretch>
                      <a:fillRect/>
                    </a:stretch>
                  </pic:blipFill>
                  <pic:spPr>
                    <a:xfrm>
                      <a:off x="0" y="0"/>
                      <a:ext cx="5253990" cy="7428865"/>
                    </a:xfrm>
                    <a:prstGeom prst="rect">
                      <a:avLst/>
                    </a:prstGeom>
                  </pic:spPr>
                </pic:pic>
              </a:graphicData>
            </a:graphic>
          </wp:inline>
        </w:drawing>
      </w:r>
    </w:p>
    <w:p w14:paraId="0ABD34B1">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701" w:name="_Toc16188"/>
      <w:r>
        <w:rPr>
          <w:rFonts w:hint="eastAsia" w:ascii="Times New Roman" w:hAnsi="Times New Roman" w:eastAsia="宋体" w:cs="Times New Roman"/>
          <w:b/>
          <w:bCs/>
          <w:snapToGrid/>
          <w:color w:val="auto"/>
          <w:kern w:val="2"/>
          <w:sz w:val="30"/>
          <w:szCs w:val="30"/>
          <w:lang w:val="en-US" w:eastAsia="zh-CN"/>
        </w:rPr>
        <w:t>附件10 排污许可证（项目运营单位：黑龙江省八五二农场横林供热供水管理站）</w:t>
      </w:r>
      <w:bookmarkEnd w:id="701"/>
    </w:p>
    <w:p w14:paraId="255B7F38">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r>
        <w:rPr>
          <w:rFonts w:hint="eastAsia"/>
          <w:color w:val="auto"/>
          <w:lang w:val="en-US" w:eastAsia="zh-CN"/>
        </w:rPr>
        <w:drawing>
          <wp:inline distT="0" distB="0" distL="114300" distR="114300">
            <wp:extent cx="5269230" cy="3721100"/>
            <wp:effectExtent l="0" t="0" r="1270" b="0"/>
            <wp:docPr id="118" name="图片 118" descr="横林排污许可证正本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横林排污许可证正本_01"/>
                    <pic:cNvPicPr>
                      <a:picLocks noChangeAspect="1"/>
                    </pic:cNvPicPr>
                  </pic:nvPicPr>
                  <pic:blipFill>
                    <a:blip r:embed="rId153"/>
                    <a:stretch>
                      <a:fillRect/>
                    </a:stretch>
                  </pic:blipFill>
                  <pic:spPr>
                    <a:xfrm>
                      <a:off x="0" y="0"/>
                      <a:ext cx="5269230" cy="3721100"/>
                    </a:xfrm>
                    <a:prstGeom prst="rect">
                      <a:avLst/>
                    </a:prstGeom>
                  </pic:spPr>
                </pic:pic>
              </a:graphicData>
            </a:graphic>
          </wp:inline>
        </w:drawing>
      </w:r>
    </w:p>
    <w:p w14:paraId="6F357F15">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eastAsia="zh-CN"/>
        </w:rPr>
      </w:pPr>
    </w:p>
    <w:p w14:paraId="1EB2A8E0">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702" w:name="_Toc29817"/>
      <w:r>
        <w:rPr>
          <w:rFonts w:hint="eastAsia" w:ascii="Times New Roman" w:hAnsi="Times New Roman" w:eastAsia="宋体" w:cs="Times New Roman"/>
          <w:b/>
          <w:bCs/>
          <w:snapToGrid/>
          <w:color w:val="auto"/>
          <w:kern w:val="2"/>
          <w:sz w:val="30"/>
          <w:szCs w:val="30"/>
          <w:lang w:val="en-US" w:eastAsia="zh-CN"/>
        </w:rPr>
        <w:t>附件11 脱硫副产物综合利用协议</w:t>
      </w:r>
      <w:bookmarkEnd w:id="702"/>
    </w:p>
    <w:p w14:paraId="6BBC1560">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val="zh-CN" w:eastAsia="zh-CN"/>
        </w:rPr>
      </w:pPr>
      <w:r>
        <w:rPr>
          <w:rFonts w:hint="eastAsia" w:ascii="Times New Roman" w:hAnsi="Times New Roman" w:eastAsiaTheme="minorEastAsia"/>
          <w:color w:val="auto"/>
          <w:sz w:val="24"/>
          <w:lang w:eastAsia="zh-CN"/>
        </w:rPr>
        <w:drawing>
          <wp:inline distT="0" distB="0" distL="114300" distR="114300">
            <wp:extent cx="5270500" cy="7458710"/>
            <wp:effectExtent l="0" t="0" r="0" b="8890"/>
            <wp:docPr id="119" name="图片 119" descr="供热脱硫副产物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供热脱硫副产物协议_01"/>
                    <pic:cNvPicPr>
                      <a:picLocks noChangeAspect="1"/>
                    </pic:cNvPicPr>
                  </pic:nvPicPr>
                  <pic:blipFill>
                    <a:blip r:embed="rId154"/>
                    <a:stretch>
                      <a:fillRect/>
                    </a:stretch>
                  </pic:blipFill>
                  <pic:spPr>
                    <a:xfrm>
                      <a:off x="0" y="0"/>
                      <a:ext cx="5270500" cy="7458710"/>
                    </a:xfrm>
                    <a:prstGeom prst="rect">
                      <a:avLst/>
                    </a:prstGeom>
                  </pic:spPr>
                </pic:pic>
              </a:graphicData>
            </a:graphic>
          </wp:inline>
        </w:drawing>
      </w:r>
    </w:p>
    <w:p w14:paraId="0E0E14D7">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FF0000"/>
          <w:kern w:val="2"/>
          <w:sz w:val="30"/>
          <w:szCs w:val="30"/>
          <w:lang w:val="en-US" w:eastAsia="zh-CN"/>
        </w:rPr>
      </w:pPr>
      <w:bookmarkStart w:id="703" w:name="_Toc7835"/>
      <w:r>
        <w:rPr>
          <w:rFonts w:hint="eastAsia" w:ascii="Times New Roman" w:hAnsi="Times New Roman" w:eastAsia="宋体" w:cs="Times New Roman"/>
          <w:b/>
          <w:bCs/>
          <w:snapToGrid/>
          <w:color w:val="FF0000"/>
          <w:kern w:val="2"/>
          <w:sz w:val="30"/>
          <w:szCs w:val="30"/>
          <w:lang w:val="en-US" w:eastAsia="zh-CN"/>
        </w:rPr>
        <w:t>附件12 灰渣及粉煤灰处理协议</w:t>
      </w:r>
      <w:bookmarkEnd w:id="703"/>
    </w:p>
    <w:p w14:paraId="320FC923">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eastAsia="宋体"/>
          <w:color w:val="auto"/>
          <w:lang w:eastAsia="zh-CN"/>
        </w:rPr>
      </w:pPr>
      <w:r>
        <w:rPr>
          <w:rFonts w:hint="eastAsia" w:eastAsia="宋体"/>
          <w:color w:val="auto"/>
          <w:lang w:eastAsia="zh-CN"/>
        </w:rPr>
        <w:drawing>
          <wp:inline distT="0" distB="0" distL="114300" distR="114300">
            <wp:extent cx="5270500" cy="7458710"/>
            <wp:effectExtent l="0" t="0" r="0" b="8890"/>
            <wp:docPr id="120" name="图片 120" descr="固废处置协议（锅炉房）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固废处置协议（锅炉房）_01"/>
                    <pic:cNvPicPr>
                      <a:picLocks noChangeAspect="1"/>
                    </pic:cNvPicPr>
                  </pic:nvPicPr>
                  <pic:blipFill>
                    <a:blip r:embed="rId155"/>
                    <a:stretch>
                      <a:fillRect/>
                    </a:stretch>
                  </pic:blipFill>
                  <pic:spPr>
                    <a:xfrm>
                      <a:off x="0" y="0"/>
                      <a:ext cx="5270500" cy="7458710"/>
                    </a:xfrm>
                    <a:prstGeom prst="rect">
                      <a:avLst/>
                    </a:prstGeom>
                  </pic:spPr>
                </pic:pic>
              </a:graphicData>
            </a:graphic>
          </wp:inline>
        </w:drawing>
      </w:r>
    </w:p>
    <w:p w14:paraId="2C42B953">
      <w:pPr>
        <w:rPr>
          <w:rFonts w:hint="eastAsia"/>
          <w:lang w:val="zh-CN" w:eastAsia="zh-CN"/>
        </w:rPr>
      </w:pPr>
      <w:r>
        <w:rPr>
          <w:rFonts w:hint="eastAsia"/>
          <w:lang w:val="zh-CN" w:eastAsia="zh-CN"/>
        </w:rPr>
        <w:drawing>
          <wp:inline distT="0" distB="0" distL="114300" distR="114300">
            <wp:extent cx="5266690" cy="7336790"/>
            <wp:effectExtent l="0" t="0" r="3810" b="3810"/>
            <wp:docPr id="186" name="图片 186" descr="c43ec063c819f5770dcbc38ded97ec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c43ec063c819f5770dcbc38ded97ecba"/>
                    <pic:cNvPicPr>
                      <a:picLocks noChangeAspect="1"/>
                    </pic:cNvPicPr>
                  </pic:nvPicPr>
                  <pic:blipFill>
                    <a:blip r:embed="rId156"/>
                    <a:stretch>
                      <a:fillRect/>
                    </a:stretch>
                  </pic:blipFill>
                  <pic:spPr>
                    <a:xfrm>
                      <a:off x="0" y="0"/>
                      <a:ext cx="5266690" cy="7336790"/>
                    </a:xfrm>
                    <a:prstGeom prst="rect">
                      <a:avLst/>
                    </a:prstGeom>
                  </pic:spPr>
                </pic:pic>
              </a:graphicData>
            </a:graphic>
          </wp:inline>
        </w:drawing>
      </w:r>
    </w:p>
    <w:p w14:paraId="786DDFCA">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704" w:name="_Toc24281"/>
      <w:r>
        <w:rPr>
          <w:rFonts w:hint="eastAsia" w:ascii="Times New Roman" w:hAnsi="Times New Roman" w:eastAsia="宋体" w:cs="Times New Roman"/>
          <w:b/>
          <w:bCs/>
          <w:snapToGrid/>
          <w:color w:val="auto"/>
          <w:kern w:val="2"/>
          <w:sz w:val="30"/>
          <w:szCs w:val="30"/>
          <w:lang w:val="en-US" w:eastAsia="zh-CN"/>
        </w:rPr>
        <w:t>附件13 危险废物安全处置合同及转移单</w:t>
      </w:r>
      <w:bookmarkEnd w:id="704"/>
    </w:p>
    <w:p w14:paraId="2DF272FD">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val="zh-CN" w:eastAsia="zh-CN"/>
        </w:rPr>
      </w:pP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39" name="图片 39" descr="危险废物委托处置合同扫描版(20260300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危险废物委托处置合同扫描版(202603008)_01"/>
                    <pic:cNvPicPr>
                      <a:picLocks noChangeAspect="1"/>
                    </pic:cNvPicPr>
                  </pic:nvPicPr>
                  <pic:blipFill>
                    <a:blip r:embed="rId157"/>
                    <a:stretch>
                      <a:fillRect/>
                    </a:stretch>
                  </pic:blipFill>
                  <pic:spPr>
                    <a:xfrm>
                      <a:off x="0" y="0"/>
                      <a:ext cx="5236210" cy="741108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38" name="图片 38" descr="危险废物委托处置合同扫描版(202603008)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危险废物委托处置合同扫描版(202603008)_02"/>
                    <pic:cNvPicPr>
                      <a:picLocks noChangeAspect="1"/>
                    </pic:cNvPicPr>
                  </pic:nvPicPr>
                  <pic:blipFill>
                    <a:blip r:embed="rId158"/>
                    <a:stretch>
                      <a:fillRect/>
                    </a:stretch>
                  </pic:blipFill>
                  <pic:spPr>
                    <a:xfrm>
                      <a:off x="0" y="0"/>
                      <a:ext cx="5236210" cy="741108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36" name="图片 36" descr="危险废物委托处置合同扫描版(202603008)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危险废物委托处置合同扫描版(202603008)_03"/>
                    <pic:cNvPicPr>
                      <a:picLocks noChangeAspect="1"/>
                    </pic:cNvPicPr>
                  </pic:nvPicPr>
                  <pic:blipFill>
                    <a:blip r:embed="rId159"/>
                    <a:stretch>
                      <a:fillRect/>
                    </a:stretch>
                  </pic:blipFill>
                  <pic:spPr>
                    <a:xfrm>
                      <a:off x="0" y="0"/>
                      <a:ext cx="5236210" cy="741108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29" name="图片 29" descr="危险废物委托处置合同扫描版(202603008)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危险废物委托处置合同扫描版(202603008)_04"/>
                    <pic:cNvPicPr>
                      <a:picLocks noChangeAspect="1"/>
                    </pic:cNvPicPr>
                  </pic:nvPicPr>
                  <pic:blipFill>
                    <a:blip r:embed="rId160"/>
                    <a:stretch>
                      <a:fillRect/>
                    </a:stretch>
                  </pic:blipFill>
                  <pic:spPr>
                    <a:xfrm>
                      <a:off x="0" y="0"/>
                      <a:ext cx="5236210" cy="741108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27" name="图片 27" descr="危险废物委托处置合同扫描版(202603008)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危险废物委托处置合同扫描版(202603008)_05"/>
                    <pic:cNvPicPr>
                      <a:picLocks noChangeAspect="1"/>
                    </pic:cNvPicPr>
                  </pic:nvPicPr>
                  <pic:blipFill>
                    <a:blip r:embed="rId161"/>
                    <a:stretch>
                      <a:fillRect/>
                    </a:stretch>
                  </pic:blipFill>
                  <pic:spPr>
                    <a:xfrm>
                      <a:off x="0" y="0"/>
                      <a:ext cx="5236210" cy="741108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16" name="图片 16" descr="危险废物委托处置合同扫描版(202603008)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危险废物委托处置合同扫描版(202603008)_06"/>
                    <pic:cNvPicPr>
                      <a:picLocks noChangeAspect="1"/>
                    </pic:cNvPicPr>
                  </pic:nvPicPr>
                  <pic:blipFill>
                    <a:blip r:embed="rId162"/>
                    <a:stretch>
                      <a:fillRect/>
                    </a:stretch>
                  </pic:blipFill>
                  <pic:spPr>
                    <a:xfrm>
                      <a:off x="0" y="0"/>
                      <a:ext cx="5236210" cy="741108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15" name="图片 15" descr="危险废物委托处置合同扫描版(202603008)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危险废物委托处置合同扫描版(202603008)_07"/>
                    <pic:cNvPicPr>
                      <a:picLocks noChangeAspect="1"/>
                    </pic:cNvPicPr>
                  </pic:nvPicPr>
                  <pic:blipFill>
                    <a:blip r:embed="rId163"/>
                    <a:stretch>
                      <a:fillRect/>
                    </a:stretch>
                  </pic:blipFill>
                  <pic:spPr>
                    <a:xfrm>
                      <a:off x="0" y="0"/>
                      <a:ext cx="5236210" cy="741108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36210" cy="7411085"/>
            <wp:effectExtent l="0" t="0" r="10160" b="5080"/>
            <wp:docPr id="13" name="图片 13" descr="危险废物委托处置合同扫描版(202603008)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危险废物委托处置合同扫描版(202603008)_08"/>
                    <pic:cNvPicPr>
                      <a:picLocks noChangeAspect="1"/>
                    </pic:cNvPicPr>
                  </pic:nvPicPr>
                  <pic:blipFill>
                    <a:blip r:embed="rId164"/>
                    <a:stretch>
                      <a:fillRect/>
                    </a:stretch>
                  </pic:blipFill>
                  <pic:spPr>
                    <a:xfrm>
                      <a:off x="0" y="0"/>
                      <a:ext cx="5236210" cy="7411085"/>
                    </a:xfrm>
                    <a:prstGeom prst="rect">
                      <a:avLst/>
                    </a:prstGeom>
                  </pic:spPr>
                </pic:pic>
              </a:graphicData>
            </a:graphic>
          </wp:inline>
        </w:drawing>
      </w:r>
    </w:p>
    <w:p w14:paraId="408277AE">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val="zh-CN" w:eastAsia="zh-CN"/>
        </w:rPr>
      </w:pPr>
      <w:r>
        <w:rPr>
          <w:rFonts w:hint="eastAsia" w:ascii="Times New Roman" w:hAnsi="Times New Roman" w:eastAsiaTheme="minorEastAsia"/>
          <w:color w:val="auto"/>
          <w:sz w:val="24"/>
          <w:lang w:val="zh-CN" w:eastAsia="zh-CN"/>
        </w:rPr>
        <w:drawing>
          <wp:inline distT="0" distB="0" distL="114300" distR="114300">
            <wp:extent cx="5240020" cy="3705225"/>
            <wp:effectExtent l="0" t="0" r="6350" b="8255"/>
            <wp:docPr id="49" name="图片 49" descr="新庆昌执照危废许可证带水印版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新庆昌执照危废许可证带水印版_01"/>
                    <pic:cNvPicPr>
                      <a:picLocks noChangeAspect="1"/>
                    </pic:cNvPicPr>
                  </pic:nvPicPr>
                  <pic:blipFill>
                    <a:blip r:embed="rId165"/>
                    <a:stretch>
                      <a:fillRect/>
                    </a:stretch>
                  </pic:blipFill>
                  <pic:spPr>
                    <a:xfrm>
                      <a:off x="0" y="0"/>
                      <a:ext cx="5240020" cy="370522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40020" cy="3705225"/>
            <wp:effectExtent l="0" t="0" r="6350" b="8255"/>
            <wp:docPr id="48" name="图片 48" descr="新庆昌执照危废许可证带水印版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新庆昌执照危废许可证带水印版_02"/>
                    <pic:cNvPicPr>
                      <a:picLocks noChangeAspect="1"/>
                    </pic:cNvPicPr>
                  </pic:nvPicPr>
                  <pic:blipFill>
                    <a:blip r:embed="rId166"/>
                    <a:stretch>
                      <a:fillRect/>
                    </a:stretch>
                  </pic:blipFill>
                  <pic:spPr>
                    <a:xfrm>
                      <a:off x="0" y="0"/>
                      <a:ext cx="5240020" cy="370522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40020" cy="3705225"/>
            <wp:effectExtent l="0" t="0" r="6350" b="8255"/>
            <wp:docPr id="44" name="图片 44" descr="新庆昌执照危废许可证带水印版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新庆昌执照危废许可证带水印版_03"/>
                    <pic:cNvPicPr>
                      <a:picLocks noChangeAspect="1"/>
                    </pic:cNvPicPr>
                  </pic:nvPicPr>
                  <pic:blipFill>
                    <a:blip r:embed="rId167"/>
                    <a:stretch>
                      <a:fillRect/>
                    </a:stretch>
                  </pic:blipFill>
                  <pic:spPr>
                    <a:xfrm>
                      <a:off x="0" y="0"/>
                      <a:ext cx="5240020" cy="370522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40020" cy="3705225"/>
            <wp:effectExtent l="0" t="0" r="6350" b="8255"/>
            <wp:docPr id="40" name="图片 40" descr="新庆昌执照危废许可证带水印版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新庆昌执照危废许可证带水印版_04"/>
                    <pic:cNvPicPr>
                      <a:picLocks noChangeAspect="1"/>
                    </pic:cNvPicPr>
                  </pic:nvPicPr>
                  <pic:blipFill>
                    <a:blip r:embed="rId168"/>
                    <a:stretch>
                      <a:fillRect/>
                    </a:stretch>
                  </pic:blipFill>
                  <pic:spPr>
                    <a:xfrm>
                      <a:off x="0" y="0"/>
                      <a:ext cx="5240020" cy="3705225"/>
                    </a:xfrm>
                    <a:prstGeom prst="rect">
                      <a:avLst/>
                    </a:prstGeom>
                  </pic:spPr>
                </pic:pic>
              </a:graphicData>
            </a:graphic>
          </wp:inline>
        </w:drawing>
      </w:r>
    </w:p>
    <w:p w14:paraId="329E89C9">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val="zh-CN" w:eastAsia="zh-CN"/>
        </w:rPr>
      </w:pPr>
      <w:r>
        <w:rPr>
          <w:rFonts w:hint="eastAsia" w:ascii="Times New Roman" w:hAnsi="Times New Roman" w:eastAsiaTheme="minorEastAsia"/>
          <w:color w:val="auto"/>
          <w:sz w:val="24"/>
          <w:lang w:val="zh-CN" w:eastAsia="zh-CN"/>
        </w:rPr>
        <w:drawing>
          <wp:inline distT="0" distB="0" distL="114300" distR="114300">
            <wp:extent cx="5240020" cy="3705225"/>
            <wp:effectExtent l="0" t="0" r="6350" b="8255"/>
            <wp:docPr id="59" name="图片 59" descr="新博海杰执照道路运输许可证带水印版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新博海杰执照道路运输许可证带水印版_01"/>
                    <pic:cNvPicPr>
                      <a:picLocks noChangeAspect="1"/>
                    </pic:cNvPicPr>
                  </pic:nvPicPr>
                  <pic:blipFill>
                    <a:blip r:embed="rId169"/>
                    <a:stretch>
                      <a:fillRect/>
                    </a:stretch>
                  </pic:blipFill>
                  <pic:spPr>
                    <a:xfrm>
                      <a:off x="0" y="0"/>
                      <a:ext cx="5240020" cy="3705225"/>
                    </a:xfrm>
                    <a:prstGeom prst="rect">
                      <a:avLst/>
                    </a:prstGeom>
                  </pic:spPr>
                </pic:pic>
              </a:graphicData>
            </a:graphic>
          </wp:inline>
        </w:drawing>
      </w:r>
      <w:r>
        <w:rPr>
          <w:rFonts w:hint="eastAsia" w:ascii="Times New Roman" w:hAnsi="Times New Roman" w:eastAsiaTheme="minorEastAsia"/>
          <w:color w:val="auto"/>
          <w:sz w:val="24"/>
          <w:lang w:val="zh-CN" w:eastAsia="zh-CN"/>
        </w:rPr>
        <w:drawing>
          <wp:inline distT="0" distB="0" distL="114300" distR="114300">
            <wp:extent cx="5240020" cy="3705225"/>
            <wp:effectExtent l="0" t="0" r="6350" b="8255"/>
            <wp:docPr id="58" name="图片 58" descr="新博海杰执照道路运输许可证带水印版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新博海杰执照道路运输许可证带水印版_02"/>
                    <pic:cNvPicPr>
                      <a:picLocks noChangeAspect="1"/>
                    </pic:cNvPicPr>
                  </pic:nvPicPr>
                  <pic:blipFill>
                    <a:blip r:embed="rId170"/>
                    <a:stretch>
                      <a:fillRect/>
                    </a:stretch>
                  </pic:blipFill>
                  <pic:spPr>
                    <a:xfrm>
                      <a:off x="0" y="0"/>
                      <a:ext cx="5240020" cy="3705225"/>
                    </a:xfrm>
                    <a:prstGeom prst="rect">
                      <a:avLst/>
                    </a:prstGeom>
                  </pic:spPr>
                </pic:pic>
              </a:graphicData>
            </a:graphic>
          </wp:inline>
        </w:drawing>
      </w:r>
    </w:p>
    <w:p w14:paraId="7AFD943A">
      <w:pPr>
        <w:spacing w:line="360" w:lineRule="auto"/>
        <w:rPr>
          <w:rFonts w:hint="default" w:ascii="Times New Roman" w:hAnsi="Times New Roman"/>
          <w:color w:val="auto"/>
          <w:sz w:val="24"/>
          <w:lang w:val="en-US" w:eastAsia="zh-CN"/>
        </w:rPr>
      </w:pPr>
    </w:p>
    <w:p w14:paraId="5990774A">
      <w:pPr>
        <w:spacing w:line="360" w:lineRule="auto"/>
        <w:rPr>
          <w:rFonts w:hint="default" w:ascii="Times New Roman" w:hAnsi="Times New Roman"/>
          <w:color w:val="auto"/>
          <w:sz w:val="24"/>
          <w:lang w:val="en-US" w:eastAsia="zh-CN"/>
        </w:rPr>
      </w:pPr>
    </w:p>
    <w:p w14:paraId="048C5489">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eastAsiaTheme="minorEastAsia"/>
          <w:color w:val="auto"/>
          <w:sz w:val="24"/>
          <w:lang w:val="zh-CN" w:eastAsia="zh-CN"/>
        </w:rPr>
      </w:pPr>
    </w:p>
    <w:p w14:paraId="07263DC2">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eastAsia" w:ascii="Times New Roman" w:hAnsi="Times New Roman" w:eastAsia="宋体" w:cs="Times New Roman"/>
          <w:b/>
          <w:bCs/>
          <w:snapToGrid/>
          <w:color w:val="auto"/>
          <w:kern w:val="2"/>
          <w:sz w:val="30"/>
          <w:szCs w:val="30"/>
          <w:lang w:val="zh-CN" w:eastAsia="zh-CN"/>
        </w:rPr>
      </w:pPr>
      <w:bookmarkStart w:id="705" w:name="_Toc19873"/>
      <w:r>
        <w:rPr>
          <w:rFonts w:hint="eastAsia" w:ascii="Times New Roman" w:hAnsi="Times New Roman" w:eastAsia="宋体" w:cs="Times New Roman"/>
          <w:b/>
          <w:bCs/>
          <w:snapToGrid/>
          <w:color w:val="auto"/>
          <w:kern w:val="2"/>
          <w:sz w:val="30"/>
          <w:szCs w:val="30"/>
          <w:lang w:val="en-US" w:eastAsia="zh-CN"/>
        </w:rPr>
        <w:t xml:space="preserve">附件14 </w:t>
      </w:r>
      <w:r>
        <w:rPr>
          <w:rFonts w:hint="eastAsia" w:ascii="Times New Roman" w:hAnsi="Times New Roman" w:eastAsia="宋体" w:cs="Times New Roman"/>
          <w:b/>
          <w:bCs/>
          <w:snapToGrid/>
          <w:color w:val="auto"/>
          <w:kern w:val="2"/>
          <w:sz w:val="30"/>
          <w:szCs w:val="30"/>
          <w:lang w:val="zh-CN" w:eastAsia="zh-CN"/>
        </w:rPr>
        <w:t>在线监测系统验收及联网情况表</w:t>
      </w:r>
      <w:bookmarkEnd w:id="705"/>
    </w:p>
    <w:p w14:paraId="79D666D7">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default"/>
          <w:color w:val="auto"/>
          <w:lang w:val="en-US" w:eastAsia="zh-CN"/>
        </w:rPr>
      </w:pPr>
      <w:r>
        <w:rPr>
          <w:rFonts w:hint="default"/>
          <w:color w:val="auto"/>
          <w:lang w:val="en-US" w:eastAsia="zh-CN"/>
        </w:rPr>
        <w:drawing>
          <wp:inline distT="0" distB="0" distL="114300" distR="114300">
            <wp:extent cx="5272405" cy="3657600"/>
            <wp:effectExtent l="0" t="0" r="10795" b="0"/>
            <wp:docPr id="132" name="图片 132" descr="工程验收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工程验收单"/>
                    <pic:cNvPicPr>
                      <a:picLocks noChangeAspect="1"/>
                    </pic:cNvPicPr>
                  </pic:nvPicPr>
                  <pic:blipFill>
                    <a:blip r:embed="rId171"/>
                    <a:stretch>
                      <a:fillRect/>
                    </a:stretch>
                  </pic:blipFill>
                  <pic:spPr>
                    <a:xfrm>
                      <a:off x="0" y="0"/>
                      <a:ext cx="5272405" cy="3657600"/>
                    </a:xfrm>
                    <a:prstGeom prst="rect">
                      <a:avLst/>
                    </a:prstGeom>
                  </pic:spPr>
                </pic:pic>
              </a:graphicData>
            </a:graphic>
          </wp:inline>
        </w:drawing>
      </w:r>
    </w:p>
    <w:p w14:paraId="5D7EF325">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color w:val="auto"/>
          <w:lang w:val="en-US" w:eastAsia="zh-CN"/>
        </w:rPr>
      </w:pPr>
      <w:r>
        <w:rPr>
          <w:rFonts w:hint="default"/>
          <w:color w:val="auto"/>
          <w:lang w:val="en-US" w:eastAsia="zh-CN"/>
        </w:rPr>
        <w:drawing>
          <wp:inline distT="0" distB="0" distL="114300" distR="114300">
            <wp:extent cx="5270500" cy="7458710"/>
            <wp:effectExtent l="0" t="0" r="0" b="8890"/>
            <wp:docPr id="133" name="图片 133" descr="横林供热在线联网备案页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横林供热在线联网备案页_01"/>
                    <pic:cNvPicPr>
                      <a:picLocks noChangeAspect="1"/>
                    </pic:cNvPicPr>
                  </pic:nvPicPr>
                  <pic:blipFill>
                    <a:blip r:embed="rId172"/>
                    <a:stretch>
                      <a:fillRect/>
                    </a:stretch>
                  </pic:blipFill>
                  <pic:spPr>
                    <a:xfrm>
                      <a:off x="0" y="0"/>
                      <a:ext cx="5270500" cy="7458710"/>
                    </a:xfrm>
                    <a:prstGeom prst="rect">
                      <a:avLst/>
                    </a:prstGeom>
                  </pic:spPr>
                </pic:pic>
              </a:graphicData>
            </a:graphic>
          </wp:inline>
        </w:drawing>
      </w:r>
    </w:p>
    <w:p w14:paraId="5E674E50">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706" w:name="_Toc28784"/>
      <w:r>
        <w:rPr>
          <w:rFonts w:hint="eastAsia" w:ascii="Times New Roman" w:hAnsi="Times New Roman" w:eastAsia="宋体" w:cs="Times New Roman"/>
          <w:b/>
          <w:bCs/>
          <w:snapToGrid/>
          <w:color w:val="auto"/>
          <w:kern w:val="2"/>
          <w:sz w:val="30"/>
          <w:szCs w:val="30"/>
          <w:lang w:val="en-US" w:eastAsia="zh-CN"/>
        </w:rPr>
        <w:t>附件15 煤质分析报告</w:t>
      </w:r>
      <w:bookmarkEnd w:id="706"/>
    </w:p>
    <w:p w14:paraId="6103724A">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default" w:ascii="Times New Roman" w:hAnsi="Times New Roman"/>
          <w:color w:val="auto"/>
          <w:lang w:val="en-US" w:eastAsia="zh-CN"/>
        </w:rPr>
      </w:pPr>
      <w:r>
        <w:rPr>
          <w:rFonts w:hint="default" w:ascii="Times New Roman" w:hAnsi="Times New Roman"/>
          <w:color w:val="auto"/>
          <w:lang w:val="en-US" w:eastAsia="zh-CN"/>
        </w:rPr>
        <w:drawing>
          <wp:inline distT="0" distB="0" distL="114300" distR="114300">
            <wp:extent cx="5252085" cy="7432675"/>
            <wp:effectExtent l="0" t="0" r="5715" b="9525"/>
            <wp:docPr id="138" name="图片 138" descr="1_检测报告(1)(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1_检测报告(1)(1)_01"/>
                    <pic:cNvPicPr>
                      <a:picLocks noChangeAspect="1"/>
                    </pic:cNvPicPr>
                  </pic:nvPicPr>
                  <pic:blipFill>
                    <a:blip r:embed="rId173"/>
                    <a:stretch>
                      <a:fillRect/>
                    </a:stretch>
                  </pic:blipFill>
                  <pic:spPr>
                    <a:xfrm>
                      <a:off x="0" y="0"/>
                      <a:ext cx="5252085" cy="7432675"/>
                    </a:xfrm>
                    <a:prstGeom prst="rect">
                      <a:avLst/>
                    </a:prstGeom>
                  </pic:spPr>
                </pic:pic>
              </a:graphicData>
            </a:graphic>
          </wp:inline>
        </w:drawing>
      </w:r>
      <w:r>
        <w:rPr>
          <w:rFonts w:hint="default" w:ascii="Times New Roman" w:hAnsi="Times New Roman"/>
          <w:color w:val="auto"/>
          <w:lang w:val="en-US" w:eastAsia="zh-CN"/>
        </w:rPr>
        <w:drawing>
          <wp:inline distT="0" distB="0" distL="114300" distR="114300">
            <wp:extent cx="5252085" cy="7432675"/>
            <wp:effectExtent l="0" t="0" r="5715" b="9525"/>
            <wp:docPr id="137" name="图片 137" descr="1_检测报告(1)(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1_检测报告(1)(1)_02"/>
                    <pic:cNvPicPr>
                      <a:picLocks noChangeAspect="1"/>
                    </pic:cNvPicPr>
                  </pic:nvPicPr>
                  <pic:blipFill>
                    <a:blip r:embed="rId174"/>
                    <a:stretch>
                      <a:fillRect/>
                    </a:stretch>
                  </pic:blipFill>
                  <pic:spPr>
                    <a:xfrm>
                      <a:off x="0" y="0"/>
                      <a:ext cx="5252085" cy="7432675"/>
                    </a:xfrm>
                    <a:prstGeom prst="rect">
                      <a:avLst/>
                    </a:prstGeom>
                  </pic:spPr>
                </pic:pic>
              </a:graphicData>
            </a:graphic>
          </wp:inline>
        </w:drawing>
      </w:r>
      <w:r>
        <w:rPr>
          <w:rFonts w:hint="default" w:ascii="Times New Roman" w:hAnsi="Times New Roman"/>
          <w:color w:val="auto"/>
          <w:lang w:val="en-US" w:eastAsia="zh-CN"/>
        </w:rPr>
        <w:drawing>
          <wp:inline distT="0" distB="0" distL="114300" distR="114300">
            <wp:extent cx="5252085" cy="7432675"/>
            <wp:effectExtent l="0" t="0" r="5715" b="9525"/>
            <wp:docPr id="136" name="图片 136" descr="1_检测报告(1)(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1_检测报告(1)(1)_03"/>
                    <pic:cNvPicPr>
                      <a:picLocks noChangeAspect="1"/>
                    </pic:cNvPicPr>
                  </pic:nvPicPr>
                  <pic:blipFill>
                    <a:blip r:embed="rId175"/>
                    <a:stretch>
                      <a:fillRect/>
                    </a:stretch>
                  </pic:blipFill>
                  <pic:spPr>
                    <a:xfrm>
                      <a:off x="0" y="0"/>
                      <a:ext cx="5252085" cy="7432675"/>
                    </a:xfrm>
                    <a:prstGeom prst="rect">
                      <a:avLst/>
                    </a:prstGeom>
                  </pic:spPr>
                </pic:pic>
              </a:graphicData>
            </a:graphic>
          </wp:inline>
        </w:drawing>
      </w:r>
      <w:r>
        <w:rPr>
          <w:rFonts w:hint="default" w:ascii="Times New Roman" w:hAnsi="Times New Roman"/>
          <w:color w:val="auto"/>
          <w:lang w:val="en-US" w:eastAsia="zh-CN"/>
        </w:rPr>
        <w:drawing>
          <wp:inline distT="0" distB="0" distL="114300" distR="114300">
            <wp:extent cx="5252085" cy="7432675"/>
            <wp:effectExtent l="0" t="0" r="5715" b="9525"/>
            <wp:docPr id="135" name="图片 135" descr="1_检测报告(1)(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1_检测报告(1)(1)_04"/>
                    <pic:cNvPicPr>
                      <a:picLocks noChangeAspect="1"/>
                    </pic:cNvPicPr>
                  </pic:nvPicPr>
                  <pic:blipFill>
                    <a:blip r:embed="rId176"/>
                    <a:stretch>
                      <a:fillRect/>
                    </a:stretch>
                  </pic:blipFill>
                  <pic:spPr>
                    <a:xfrm>
                      <a:off x="0" y="0"/>
                      <a:ext cx="5252085" cy="7432675"/>
                    </a:xfrm>
                    <a:prstGeom prst="rect">
                      <a:avLst/>
                    </a:prstGeom>
                  </pic:spPr>
                </pic:pic>
              </a:graphicData>
            </a:graphic>
          </wp:inline>
        </w:drawing>
      </w:r>
      <w:r>
        <w:rPr>
          <w:rFonts w:hint="default" w:ascii="Times New Roman" w:hAnsi="Times New Roman"/>
          <w:color w:val="auto"/>
          <w:lang w:val="en-US" w:eastAsia="zh-CN"/>
        </w:rPr>
        <w:drawing>
          <wp:inline distT="0" distB="0" distL="114300" distR="114300">
            <wp:extent cx="5252085" cy="7432675"/>
            <wp:effectExtent l="0" t="0" r="5715" b="9525"/>
            <wp:docPr id="134" name="图片 134" descr="1_检测报告(1)(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1_检测报告(1)(1)_05"/>
                    <pic:cNvPicPr>
                      <a:picLocks noChangeAspect="1"/>
                    </pic:cNvPicPr>
                  </pic:nvPicPr>
                  <pic:blipFill>
                    <a:blip r:embed="rId177"/>
                    <a:stretch>
                      <a:fillRect/>
                    </a:stretch>
                  </pic:blipFill>
                  <pic:spPr>
                    <a:xfrm>
                      <a:off x="0" y="0"/>
                      <a:ext cx="5252085" cy="7432675"/>
                    </a:xfrm>
                    <a:prstGeom prst="rect">
                      <a:avLst/>
                    </a:prstGeom>
                  </pic:spPr>
                </pic:pic>
              </a:graphicData>
            </a:graphic>
          </wp:inline>
        </w:drawing>
      </w:r>
    </w:p>
    <w:p w14:paraId="6FD6ADAA">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auto"/>
          <w:kern w:val="2"/>
          <w:sz w:val="30"/>
          <w:szCs w:val="30"/>
          <w:lang w:val="en-US" w:eastAsia="zh-CN"/>
        </w:rPr>
      </w:pPr>
      <w:bookmarkStart w:id="707" w:name="_Toc387"/>
      <w:r>
        <w:rPr>
          <w:rFonts w:hint="eastAsia" w:ascii="Times New Roman" w:hAnsi="Times New Roman" w:eastAsia="宋体" w:cs="Times New Roman"/>
          <w:b/>
          <w:bCs/>
          <w:snapToGrid/>
          <w:color w:val="auto"/>
          <w:kern w:val="2"/>
          <w:sz w:val="30"/>
          <w:szCs w:val="30"/>
          <w:lang w:val="en-US" w:eastAsia="zh-CN"/>
        </w:rPr>
        <w:t>附件16 验收检测报告</w:t>
      </w:r>
      <w:bookmarkEnd w:id="707"/>
    </w:p>
    <w:p w14:paraId="377D104A">
      <w:pPr>
        <w:pStyle w:val="15"/>
        <w:rPr>
          <w:rFonts w:hint="eastAsia"/>
          <w:color w:val="auto"/>
          <w:lang w:val="en-US" w:eastAsia="zh-CN"/>
        </w:rPr>
      </w:pPr>
      <w:r>
        <w:rPr>
          <w:rFonts w:hint="eastAsia"/>
          <w:color w:val="auto"/>
          <w:lang w:val="en-US" w:eastAsia="zh-CN"/>
        </w:rPr>
        <w:drawing>
          <wp:inline distT="0" distB="0" distL="114300" distR="114300">
            <wp:extent cx="5259070" cy="7433945"/>
            <wp:effectExtent l="0" t="0" r="11430" b="8255"/>
            <wp:docPr id="139" name="图片 139" descr="八五二农场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八五二农场_01"/>
                    <pic:cNvPicPr>
                      <a:picLocks noChangeAspect="1"/>
                    </pic:cNvPicPr>
                  </pic:nvPicPr>
                  <pic:blipFill>
                    <a:blip r:embed="rId178"/>
                    <a:stretch>
                      <a:fillRect/>
                    </a:stretch>
                  </pic:blipFill>
                  <pic:spPr>
                    <a:xfrm>
                      <a:off x="0" y="0"/>
                      <a:ext cx="5259070" cy="7433945"/>
                    </a:xfrm>
                    <a:prstGeom prst="rect">
                      <a:avLst/>
                    </a:prstGeom>
                  </pic:spPr>
                </pic:pic>
              </a:graphicData>
            </a:graphic>
          </wp:inline>
        </w:drawing>
      </w:r>
      <w:r>
        <w:rPr>
          <w:rFonts w:hint="eastAsia"/>
          <w:color w:val="auto"/>
          <w:lang w:val="en-US" w:eastAsia="zh-CN"/>
        </w:rPr>
        <w:drawing>
          <wp:inline distT="0" distB="0" distL="114300" distR="114300">
            <wp:extent cx="5259070" cy="7433945"/>
            <wp:effectExtent l="0" t="0" r="11430" b="8255"/>
            <wp:docPr id="140" name="图片 140" descr="八五二农场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八五二农场_02"/>
                    <pic:cNvPicPr>
                      <a:picLocks noChangeAspect="1"/>
                    </pic:cNvPicPr>
                  </pic:nvPicPr>
                  <pic:blipFill>
                    <a:blip r:embed="rId179"/>
                    <a:stretch>
                      <a:fillRect/>
                    </a:stretch>
                  </pic:blipFill>
                  <pic:spPr>
                    <a:xfrm>
                      <a:off x="0" y="0"/>
                      <a:ext cx="5259070" cy="7433945"/>
                    </a:xfrm>
                    <a:prstGeom prst="rect">
                      <a:avLst/>
                    </a:prstGeom>
                  </pic:spPr>
                </pic:pic>
              </a:graphicData>
            </a:graphic>
          </wp:inline>
        </w:drawing>
      </w:r>
      <w:r>
        <w:rPr>
          <w:rFonts w:hint="eastAsia"/>
          <w:color w:val="auto"/>
          <w:lang w:val="en-US" w:eastAsia="zh-CN"/>
        </w:rPr>
        <w:drawing>
          <wp:inline distT="0" distB="0" distL="114300" distR="114300">
            <wp:extent cx="5259070" cy="7433945"/>
            <wp:effectExtent l="0" t="0" r="11430" b="8255"/>
            <wp:docPr id="141" name="图片 141" descr="八五二农场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八五二农场_03"/>
                    <pic:cNvPicPr>
                      <a:picLocks noChangeAspect="1"/>
                    </pic:cNvPicPr>
                  </pic:nvPicPr>
                  <pic:blipFill>
                    <a:blip r:embed="rId180"/>
                    <a:stretch>
                      <a:fillRect/>
                    </a:stretch>
                  </pic:blipFill>
                  <pic:spPr>
                    <a:xfrm>
                      <a:off x="0" y="0"/>
                      <a:ext cx="5259070" cy="7433945"/>
                    </a:xfrm>
                    <a:prstGeom prst="rect">
                      <a:avLst/>
                    </a:prstGeom>
                  </pic:spPr>
                </pic:pic>
              </a:graphicData>
            </a:graphic>
          </wp:inline>
        </w:drawing>
      </w:r>
      <w:r>
        <w:rPr>
          <w:rFonts w:hint="eastAsia"/>
          <w:color w:val="auto"/>
          <w:lang w:val="en-US" w:eastAsia="zh-CN"/>
        </w:rPr>
        <w:drawing>
          <wp:inline distT="0" distB="0" distL="114300" distR="114300">
            <wp:extent cx="5259070" cy="7433945"/>
            <wp:effectExtent l="0" t="0" r="11430" b="8255"/>
            <wp:docPr id="142" name="图片 142" descr="八五二农场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八五二农场_04"/>
                    <pic:cNvPicPr>
                      <a:picLocks noChangeAspect="1"/>
                    </pic:cNvPicPr>
                  </pic:nvPicPr>
                  <pic:blipFill>
                    <a:blip r:embed="rId181"/>
                    <a:stretch>
                      <a:fillRect/>
                    </a:stretch>
                  </pic:blipFill>
                  <pic:spPr>
                    <a:xfrm>
                      <a:off x="0" y="0"/>
                      <a:ext cx="5259070" cy="7433945"/>
                    </a:xfrm>
                    <a:prstGeom prst="rect">
                      <a:avLst/>
                    </a:prstGeom>
                  </pic:spPr>
                </pic:pic>
              </a:graphicData>
            </a:graphic>
          </wp:inline>
        </w:drawing>
      </w:r>
      <w:r>
        <w:rPr>
          <w:rFonts w:hint="eastAsia"/>
          <w:color w:val="auto"/>
          <w:lang w:val="en-US" w:eastAsia="zh-CN"/>
        </w:rPr>
        <w:drawing>
          <wp:inline distT="0" distB="0" distL="114300" distR="114300">
            <wp:extent cx="5259070" cy="7433945"/>
            <wp:effectExtent l="0" t="0" r="11430" b="8255"/>
            <wp:docPr id="143" name="图片 143" descr="八五二农场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八五二农场_05"/>
                    <pic:cNvPicPr>
                      <a:picLocks noChangeAspect="1"/>
                    </pic:cNvPicPr>
                  </pic:nvPicPr>
                  <pic:blipFill>
                    <a:blip r:embed="rId182"/>
                    <a:stretch>
                      <a:fillRect/>
                    </a:stretch>
                  </pic:blipFill>
                  <pic:spPr>
                    <a:xfrm>
                      <a:off x="0" y="0"/>
                      <a:ext cx="5259070" cy="7433945"/>
                    </a:xfrm>
                    <a:prstGeom prst="rect">
                      <a:avLst/>
                    </a:prstGeom>
                  </pic:spPr>
                </pic:pic>
              </a:graphicData>
            </a:graphic>
          </wp:inline>
        </w:drawing>
      </w:r>
    </w:p>
    <w:p w14:paraId="13E54573">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eastAsia" w:ascii="Times New Roman" w:hAnsi="Times New Roman" w:eastAsia="宋体" w:cs="Times New Roman"/>
          <w:b/>
          <w:bCs/>
          <w:snapToGrid/>
          <w:color w:val="auto"/>
          <w:kern w:val="2"/>
          <w:sz w:val="30"/>
          <w:szCs w:val="30"/>
          <w:lang w:val="en-US" w:eastAsia="zh-CN"/>
        </w:rPr>
      </w:pPr>
      <w:bookmarkStart w:id="708" w:name="_Toc19703"/>
      <w:r>
        <w:rPr>
          <w:rFonts w:hint="eastAsia" w:ascii="Times New Roman" w:hAnsi="Times New Roman" w:eastAsia="宋体" w:cs="Times New Roman"/>
          <w:b/>
          <w:bCs/>
          <w:snapToGrid/>
          <w:color w:val="auto"/>
          <w:kern w:val="2"/>
          <w:sz w:val="30"/>
          <w:szCs w:val="30"/>
          <w:lang w:val="en-US" w:eastAsia="zh-CN"/>
        </w:rPr>
        <w:t>附件17 本项目现状检测报告</w:t>
      </w:r>
      <w:bookmarkEnd w:id="708"/>
    </w:p>
    <w:p w14:paraId="5CEC4AF4">
      <w:pPr>
        <w:pStyle w:val="15"/>
        <w:rPr>
          <w:rFonts w:hint="default"/>
          <w:color w:val="auto"/>
          <w:lang w:val="en-US" w:eastAsia="zh-CN"/>
        </w:rPr>
      </w:pPr>
      <w:r>
        <w:rPr>
          <w:rFonts w:hint="default"/>
          <w:color w:val="auto"/>
          <w:lang w:val="en-US" w:eastAsia="zh-CN"/>
        </w:rPr>
        <w:drawing>
          <wp:inline distT="0" distB="0" distL="114300" distR="114300">
            <wp:extent cx="5252085" cy="7423785"/>
            <wp:effectExtent l="0" t="0" r="5715" b="5715"/>
            <wp:docPr id="85" name="图片 85" descr="北大荒集团八五二农场两供两治一业供热改造项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北大荒集团八五二农场两供两治一业供热改造项目_01"/>
                    <pic:cNvPicPr>
                      <a:picLocks noChangeAspect="1"/>
                    </pic:cNvPicPr>
                  </pic:nvPicPr>
                  <pic:blipFill>
                    <a:blip r:embed="rId183"/>
                    <a:stretch>
                      <a:fillRect/>
                    </a:stretch>
                  </pic:blipFill>
                  <pic:spPr>
                    <a:xfrm>
                      <a:off x="0" y="0"/>
                      <a:ext cx="5252085" cy="7423785"/>
                    </a:xfrm>
                    <a:prstGeom prst="rect">
                      <a:avLst/>
                    </a:prstGeom>
                  </pic:spPr>
                </pic:pic>
              </a:graphicData>
            </a:graphic>
          </wp:inline>
        </w:drawing>
      </w:r>
      <w:r>
        <w:rPr>
          <w:rFonts w:hint="default"/>
          <w:color w:val="auto"/>
          <w:lang w:val="en-US" w:eastAsia="zh-CN"/>
        </w:rPr>
        <w:drawing>
          <wp:inline distT="0" distB="0" distL="114300" distR="114300">
            <wp:extent cx="5252085" cy="7423785"/>
            <wp:effectExtent l="0" t="0" r="5715" b="5715"/>
            <wp:docPr id="80" name="图片 80" descr="北大荒集团八五二农场两供两治一业供热改造项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北大荒集团八五二农场两供两治一业供热改造项目_02"/>
                    <pic:cNvPicPr>
                      <a:picLocks noChangeAspect="1"/>
                    </pic:cNvPicPr>
                  </pic:nvPicPr>
                  <pic:blipFill>
                    <a:blip r:embed="rId184"/>
                    <a:stretch>
                      <a:fillRect/>
                    </a:stretch>
                  </pic:blipFill>
                  <pic:spPr>
                    <a:xfrm>
                      <a:off x="0" y="0"/>
                      <a:ext cx="5252085" cy="7423785"/>
                    </a:xfrm>
                    <a:prstGeom prst="rect">
                      <a:avLst/>
                    </a:prstGeom>
                  </pic:spPr>
                </pic:pic>
              </a:graphicData>
            </a:graphic>
          </wp:inline>
        </w:drawing>
      </w:r>
      <w:r>
        <w:rPr>
          <w:rFonts w:hint="default"/>
          <w:color w:val="auto"/>
          <w:lang w:val="en-US" w:eastAsia="zh-CN"/>
        </w:rPr>
        <w:drawing>
          <wp:inline distT="0" distB="0" distL="114300" distR="114300">
            <wp:extent cx="5252085" cy="7423785"/>
            <wp:effectExtent l="0" t="0" r="5715" b="5715"/>
            <wp:docPr id="79" name="图片 79" descr="北大荒集团八五二农场两供两治一业供热改造项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北大荒集团八五二农场两供两治一业供热改造项目_03"/>
                    <pic:cNvPicPr>
                      <a:picLocks noChangeAspect="1"/>
                    </pic:cNvPicPr>
                  </pic:nvPicPr>
                  <pic:blipFill>
                    <a:blip r:embed="rId185"/>
                    <a:stretch>
                      <a:fillRect/>
                    </a:stretch>
                  </pic:blipFill>
                  <pic:spPr>
                    <a:xfrm>
                      <a:off x="0" y="0"/>
                      <a:ext cx="5252085" cy="7423785"/>
                    </a:xfrm>
                    <a:prstGeom prst="rect">
                      <a:avLst/>
                    </a:prstGeom>
                  </pic:spPr>
                </pic:pic>
              </a:graphicData>
            </a:graphic>
          </wp:inline>
        </w:drawing>
      </w:r>
      <w:r>
        <w:rPr>
          <w:rFonts w:hint="default"/>
          <w:color w:val="auto"/>
          <w:lang w:val="en-US" w:eastAsia="zh-CN"/>
        </w:rPr>
        <w:drawing>
          <wp:inline distT="0" distB="0" distL="114300" distR="114300">
            <wp:extent cx="5252085" cy="7423785"/>
            <wp:effectExtent l="0" t="0" r="5715" b="5715"/>
            <wp:docPr id="78" name="图片 78" descr="北大荒集团八五二农场两供两治一业供热改造项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北大荒集团八五二农场两供两治一业供热改造项目_04"/>
                    <pic:cNvPicPr>
                      <a:picLocks noChangeAspect="1"/>
                    </pic:cNvPicPr>
                  </pic:nvPicPr>
                  <pic:blipFill>
                    <a:blip r:embed="rId186"/>
                    <a:stretch>
                      <a:fillRect/>
                    </a:stretch>
                  </pic:blipFill>
                  <pic:spPr>
                    <a:xfrm>
                      <a:off x="0" y="0"/>
                      <a:ext cx="5252085" cy="7423785"/>
                    </a:xfrm>
                    <a:prstGeom prst="rect">
                      <a:avLst/>
                    </a:prstGeom>
                  </pic:spPr>
                </pic:pic>
              </a:graphicData>
            </a:graphic>
          </wp:inline>
        </w:drawing>
      </w:r>
      <w:r>
        <w:rPr>
          <w:rFonts w:hint="default"/>
          <w:color w:val="auto"/>
          <w:lang w:val="en-US" w:eastAsia="zh-CN"/>
        </w:rPr>
        <w:drawing>
          <wp:inline distT="0" distB="0" distL="114300" distR="114300">
            <wp:extent cx="5252085" cy="7423785"/>
            <wp:effectExtent l="0" t="0" r="5715" b="5715"/>
            <wp:docPr id="75" name="图片 75" descr="北大荒集团八五二农场两供两治一业供热改造项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北大荒集团八五二农场两供两治一业供热改造项目_05"/>
                    <pic:cNvPicPr>
                      <a:picLocks noChangeAspect="1"/>
                    </pic:cNvPicPr>
                  </pic:nvPicPr>
                  <pic:blipFill>
                    <a:blip r:embed="rId187"/>
                    <a:stretch>
                      <a:fillRect/>
                    </a:stretch>
                  </pic:blipFill>
                  <pic:spPr>
                    <a:xfrm>
                      <a:off x="0" y="0"/>
                      <a:ext cx="5252085" cy="7423785"/>
                    </a:xfrm>
                    <a:prstGeom prst="rect">
                      <a:avLst/>
                    </a:prstGeom>
                  </pic:spPr>
                </pic:pic>
              </a:graphicData>
            </a:graphic>
          </wp:inline>
        </w:drawing>
      </w:r>
      <w:r>
        <w:rPr>
          <w:rFonts w:hint="default"/>
          <w:color w:val="auto"/>
          <w:lang w:val="en-US" w:eastAsia="zh-CN"/>
        </w:rPr>
        <w:drawing>
          <wp:inline distT="0" distB="0" distL="114300" distR="114300">
            <wp:extent cx="5252085" cy="7423785"/>
            <wp:effectExtent l="0" t="0" r="5715" b="5715"/>
            <wp:docPr id="74" name="图片 74" descr="北大荒集团八五二农场两供两治一业供热改造项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北大荒集团八五二农场两供两治一业供热改造项目_06"/>
                    <pic:cNvPicPr>
                      <a:picLocks noChangeAspect="1"/>
                    </pic:cNvPicPr>
                  </pic:nvPicPr>
                  <pic:blipFill>
                    <a:blip r:embed="rId188"/>
                    <a:stretch>
                      <a:fillRect/>
                    </a:stretch>
                  </pic:blipFill>
                  <pic:spPr>
                    <a:xfrm>
                      <a:off x="0" y="0"/>
                      <a:ext cx="5252085" cy="7423785"/>
                    </a:xfrm>
                    <a:prstGeom prst="rect">
                      <a:avLst/>
                    </a:prstGeom>
                  </pic:spPr>
                </pic:pic>
              </a:graphicData>
            </a:graphic>
          </wp:inline>
        </w:drawing>
      </w:r>
      <w:r>
        <w:rPr>
          <w:rFonts w:hint="default"/>
          <w:color w:val="auto"/>
          <w:lang w:val="en-US" w:eastAsia="zh-CN"/>
        </w:rPr>
        <w:drawing>
          <wp:inline distT="0" distB="0" distL="114300" distR="114300">
            <wp:extent cx="5252085" cy="7423785"/>
            <wp:effectExtent l="0" t="0" r="5715" b="5715"/>
            <wp:docPr id="73" name="图片 73" descr="北大荒集团八五二农场两供两治一业供热改造项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北大荒集团八五二农场两供两治一业供热改造项目_07"/>
                    <pic:cNvPicPr>
                      <a:picLocks noChangeAspect="1"/>
                    </pic:cNvPicPr>
                  </pic:nvPicPr>
                  <pic:blipFill>
                    <a:blip r:embed="rId189"/>
                    <a:stretch>
                      <a:fillRect/>
                    </a:stretch>
                  </pic:blipFill>
                  <pic:spPr>
                    <a:xfrm>
                      <a:off x="0" y="0"/>
                      <a:ext cx="5252085" cy="7423785"/>
                    </a:xfrm>
                    <a:prstGeom prst="rect">
                      <a:avLst/>
                    </a:prstGeom>
                  </pic:spPr>
                </pic:pic>
              </a:graphicData>
            </a:graphic>
          </wp:inline>
        </w:drawing>
      </w:r>
    </w:p>
    <w:p w14:paraId="11189AEB">
      <w:pPr>
        <w:pStyle w:val="15"/>
        <w:rPr>
          <w:rFonts w:hint="default"/>
          <w:color w:val="auto"/>
          <w:lang w:val="en-US" w:eastAsia="zh-CN"/>
        </w:rPr>
      </w:pPr>
      <w:r>
        <w:rPr>
          <w:rFonts w:hint="default"/>
          <w:color w:val="auto"/>
          <w:lang w:val="en-US" w:eastAsia="zh-CN"/>
        </w:rPr>
        <w:drawing>
          <wp:inline distT="0" distB="0" distL="114300" distR="114300">
            <wp:extent cx="5252085" cy="7423785"/>
            <wp:effectExtent l="0" t="0" r="5715" b="5715"/>
            <wp:docPr id="71" name="图片 71" descr="北大荒集团八五二农场两供两治一业供热改造项目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北大荒集团八五二农场两供两治一业供热改造项目_08"/>
                    <pic:cNvPicPr>
                      <a:picLocks noChangeAspect="1"/>
                    </pic:cNvPicPr>
                  </pic:nvPicPr>
                  <pic:blipFill>
                    <a:blip r:embed="rId190"/>
                    <a:stretch>
                      <a:fillRect/>
                    </a:stretch>
                  </pic:blipFill>
                  <pic:spPr>
                    <a:xfrm>
                      <a:off x="0" y="0"/>
                      <a:ext cx="5252085" cy="7423785"/>
                    </a:xfrm>
                    <a:prstGeom prst="rect">
                      <a:avLst/>
                    </a:prstGeom>
                  </pic:spPr>
                </pic:pic>
              </a:graphicData>
            </a:graphic>
          </wp:inline>
        </w:drawing>
      </w:r>
    </w:p>
    <w:p w14:paraId="410E5A72">
      <w:pPr>
        <w:pStyle w:val="15"/>
        <w:keepNext w:val="0"/>
        <w:keepLines w:val="0"/>
        <w:pageBreakBefore w:val="0"/>
        <w:widowControl w:val="0"/>
        <w:kinsoku/>
        <w:wordWrap/>
        <w:overflowPunct/>
        <w:topLinePunct w:val="0"/>
        <w:autoSpaceDE/>
        <w:autoSpaceDN/>
        <w:bidi w:val="0"/>
        <w:adjustRightInd/>
        <w:snapToGrid/>
        <w:spacing w:after="0"/>
        <w:ind w:firstLine="0" w:firstLineChars="0"/>
        <w:textAlignment w:val="auto"/>
        <w:rPr>
          <w:rFonts w:hint="default"/>
          <w:color w:val="auto"/>
          <w:lang w:val="en-US" w:eastAsia="zh-CN"/>
        </w:rPr>
      </w:pPr>
      <w:r>
        <w:rPr>
          <w:rFonts w:hint="default"/>
          <w:color w:val="auto"/>
          <w:lang w:val="en-US" w:eastAsia="zh-CN"/>
        </w:rPr>
        <w:drawing>
          <wp:inline distT="0" distB="0" distL="114300" distR="114300">
            <wp:extent cx="5256530" cy="7435850"/>
            <wp:effectExtent l="0" t="0" r="1270" b="6350"/>
            <wp:docPr id="209" name="图片 209" descr="QDYM2603230901B(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QDYM2603230901B(1)_01"/>
                    <pic:cNvPicPr>
                      <a:picLocks noChangeAspect="1"/>
                    </pic:cNvPicPr>
                  </pic:nvPicPr>
                  <pic:blipFill>
                    <a:blip r:embed="rId191"/>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8" name="图片 208" descr="QDYM2603230901B(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QDYM2603230901B(1)_02"/>
                    <pic:cNvPicPr>
                      <a:picLocks noChangeAspect="1"/>
                    </pic:cNvPicPr>
                  </pic:nvPicPr>
                  <pic:blipFill>
                    <a:blip r:embed="rId192"/>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7" name="图片 207" descr="QDYM2603230901B(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QDYM2603230901B(1)_03"/>
                    <pic:cNvPicPr>
                      <a:picLocks noChangeAspect="1"/>
                    </pic:cNvPicPr>
                  </pic:nvPicPr>
                  <pic:blipFill>
                    <a:blip r:embed="rId193"/>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6" name="图片 206" descr="QDYM2603230901B(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QDYM2603230901B(1)_04"/>
                    <pic:cNvPicPr>
                      <a:picLocks noChangeAspect="1"/>
                    </pic:cNvPicPr>
                  </pic:nvPicPr>
                  <pic:blipFill>
                    <a:blip r:embed="rId194"/>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5" name="图片 205" descr="QDYM2603230901B(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QDYM2603230901B(1)_05"/>
                    <pic:cNvPicPr>
                      <a:picLocks noChangeAspect="1"/>
                    </pic:cNvPicPr>
                  </pic:nvPicPr>
                  <pic:blipFill>
                    <a:blip r:embed="rId195"/>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4" name="图片 204" descr="QDYM2603230901B(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QDYM2603230901B(1)_06"/>
                    <pic:cNvPicPr>
                      <a:picLocks noChangeAspect="1"/>
                    </pic:cNvPicPr>
                  </pic:nvPicPr>
                  <pic:blipFill>
                    <a:blip r:embed="rId196"/>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3" name="图片 203" descr="QDYM2603230901B(1)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QDYM2603230901B(1)_07"/>
                    <pic:cNvPicPr>
                      <a:picLocks noChangeAspect="1"/>
                    </pic:cNvPicPr>
                  </pic:nvPicPr>
                  <pic:blipFill>
                    <a:blip r:embed="rId197"/>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2" name="图片 202" descr="QDYM2603230901B(1)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QDYM2603230901B(1)_08"/>
                    <pic:cNvPicPr>
                      <a:picLocks noChangeAspect="1"/>
                    </pic:cNvPicPr>
                  </pic:nvPicPr>
                  <pic:blipFill>
                    <a:blip r:embed="rId198"/>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1" name="图片 201" descr="QDYM2603230901B(1)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QDYM2603230901B(1)_09"/>
                    <pic:cNvPicPr>
                      <a:picLocks noChangeAspect="1"/>
                    </pic:cNvPicPr>
                  </pic:nvPicPr>
                  <pic:blipFill>
                    <a:blip r:embed="rId199"/>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200" name="图片 200" descr="QDYM2603230901B(1)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QDYM2603230901B(1)_10"/>
                    <pic:cNvPicPr>
                      <a:picLocks noChangeAspect="1"/>
                    </pic:cNvPicPr>
                  </pic:nvPicPr>
                  <pic:blipFill>
                    <a:blip r:embed="rId200"/>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199" name="图片 199" descr="QDYM2603230901B(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QDYM2603230901B(1)_11"/>
                    <pic:cNvPicPr>
                      <a:picLocks noChangeAspect="1"/>
                    </pic:cNvPicPr>
                  </pic:nvPicPr>
                  <pic:blipFill>
                    <a:blip r:embed="rId201"/>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198" name="图片 198" descr="QDYM2603230901B(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QDYM2603230901B(1)_12"/>
                    <pic:cNvPicPr>
                      <a:picLocks noChangeAspect="1"/>
                    </pic:cNvPicPr>
                  </pic:nvPicPr>
                  <pic:blipFill>
                    <a:blip r:embed="rId202"/>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188" name="图片 188" descr="QDYM2603230901B(1)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QDYM2603230901B(1)_13"/>
                    <pic:cNvPicPr>
                      <a:picLocks noChangeAspect="1"/>
                    </pic:cNvPicPr>
                  </pic:nvPicPr>
                  <pic:blipFill>
                    <a:blip r:embed="rId203"/>
                    <a:stretch>
                      <a:fillRect/>
                    </a:stretch>
                  </pic:blipFill>
                  <pic:spPr>
                    <a:xfrm>
                      <a:off x="0" y="0"/>
                      <a:ext cx="5256530" cy="7435850"/>
                    </a:xfrm>
                    <a:prstGeom prst="rect">
                      <a:avLst/>
                    </a:prstGeom>
                  </pic:spPr>
                </pic:pic>
              </a:graphicData>
            </a:graphic>
          </wp:inline>
        </w:drawing>
      </w:r>
      <w:r>
        <w:rPr>
          <w:rFonts w:hint="default"/>
          <w:color w:val="auto"/>
          <w:lang w:val="en-US" w:eastAsia="zh-CN"/>
        </w:rPr>
        <w:drawing>
          <wp:inline distT="0" distB="0" distL="114300" distR="114300">
            <wp:extent cx="5256530" cy="7435850"/>
            <wp:effectExtent l="0" t="0" r="1270" b="6350"/>
            <wp:docPr id="187" name="图片 187" descr="QDYM2603230901B(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QDYM2603230901B(1)_14"/>
                    <pic:cNvPicPr>
                      <a:picLocks noChangeAspect="1"/>
                    </pic:cNvPicPr>
                  </pic:nvPicPr>
                  <pic:blipFill>
                    <a:blip r:embed="rId204"/>
                    <a:stretch>
                      <a:fillRect/>
                    </a:stretch>
                  </pic:blipFill>
                  <pic:spPr>
                    <a:xfrm>
                      <a:off x="0" y="0"/>
                      <a:ext cx="5256530" cy="7435850"/>
                    </a:xfrm>
                    <a:prstGeom prst="rect">
                      <a:avLst/>
                    </a:prstGeom>
                  </pic:spPr>
                </pic:pic>
              </a:graphicData>
            </a:graphic>
          </wp:inline>
        </w:drawing>
      </w:r>
    </w:p>
    <w:p w14:paraId="11413BE4">
      <w:pPr>
        <w:pStyle w:val="15"/>
        <w:rPr>
          <w:rFonts w:hint="default"/>
          <w:color w:val="auto"/>
          <w:lang w:val="en-US" w:eastAsia="zh-CN"/>
        </w:rPr>
      </w:pPr>
    </w:p>
    <w:p w14:paraId="2D53348E">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FF0000"/>
          <w:kern w:val="2"/>
          <w:sz w:val="30"/>
          <w:szCs w:val="30"/>
          <w:lang w:val="en-US" w:eastAsia="zh-CN"/>
        </w:rPr>
      </w:pPr>
      <w:r>
        <w:rPr>
          <w:rFonts w:hint="eastAsia" w:ascii="Times New Roman" w:hAnsi="Times New Roman" w:eastAsia="宋体" w:cs="Times New Roman"/>
          <w:b/>
          <w:bCs/>
          <w:snapToGrid/>
          <w:color w:val="FF0000"/>
          <w:kern w:val="2"/>
          <w:sz w:val="30"/>
          <w:szCs w:val="30"/>
          <w:lang w:val="en-US" w:eastAsia="zh-CN"/>
        </w:rPr>
        <w:t>附件18 本项目生态环境分区管控分析报告</w:t>
      </w:r>
    </w:p>
    <w:p w14:paraId="2D6F5D4A">
      <w:pPr>
        <w:pStyle w:val="15"/>
        <w:rPr>
          <w:rFonts w:hint="default"/>
          <w:lang w:val="en-US" w:eastAsia="zh-CN"/>
        </w:rPr>
      </w:pPr>
      <w:r>
        <w:rPr>
          <w:rFonts w:hint="default"/>
          <w:lang w:val="en-US" w:eastAsia="zh-CN"/>
        </w:rPr>
        <w:drawing>
          <wp:inline distT="0" distB="0" distL="114300" distR="114300">
            <wp:extent cx="5255260" cy="3716020"/>
            <wp:effectExtent l="0" t="0" r="2540" b="5080"/>
            <wp:docPr id="130" name="图片 130" descr="北大荒集团八五二农场两供两治一业供热改造_2026年03月10日104056_分析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北大荒集团八五二农场两供两治一业供热改造_2026年03月10日104056_分析报告_01"/>
                    <pic:cNvPicPr>
                      <a:picLocks noChangeAspect="1"/>
                    </pic:cNvPicPr>
                  </pic:nvPicPr>
                  <pic:blipFill>
                    <a:blip r:embed="rId205"/>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9" name="图片 129" descr="北大荒集团八五二农场两供两治一业供热改造_2026年03月10日104056_分析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北大荒集团八五二农场两供两治一业供热改造_2026年03月10日104056_分析报告_02"/>
                    <pic:cNvPicPr>
                      <a:picLocks noChangeAspect="1"/>
                    </pic:cNvPicPr>
                  </pic:nvPicPr>
                  <pic:blipFill>
                    <a:blip r:embed="rId206"/>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8" name="图片 128" descr="北大荒集团八五二农场两供两治一业供热改造_2026年03月10日104056_分析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北大荒集团八五二农场两供两治一业供热改造_2026年03月10日104056_分析报告_03"/>
                    <pic:cNvPicPr>
                      <a:picLocks noChangeAspect="1"/>
                    </pic:cNvPicPr>
                  </pic:nvPicPr>
                  <pic:blipFill>
                    <a:blip r:embed="rId207"/>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7" name="图片 127" descr="北大荒集团八五二农场两供两治一业供热改造_2026年03月10日104056_分析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北大荒集团八五二农场两供两治一业供热改造_2026年03月10日104056_分析报告_04"/>
                    <pic:cNvPicPr>
                      <a:picLocks noChangeAspect="1"/>
                    </pic:cNvPicPr>
                  </pic:nvPicPr>
                  <pic:blipFill>
                    <a:blip r:embed="rId208"/>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6" name="图片 126" descr="北大荒集团八五二农场两供两治一业供热改造_2026年03月10日104056_分析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北大荒集团八五二农场两供两治一业供热改造_2026年03月10日104056_分析报告_05"/>
                    <pic:cNvPicPr>
                      <a:picLocks noChangeAspect="1"/>
                    </pic:cNvPicPr>
                  </pic:nvPicPr>
                  <pic:blipFill>
                    <a:blip r:embed="rId209"/>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5" name="图片 125" descr="北大荒集团八五二农场两供两治一业供热改造_2026年03月10日104056_分析报告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北大荒集团八五二农场两供两治一业供热改造_2026年03月10日104056_分析报告_06"/>
                    <pic:cNvPicPr>
                      <a:picLocks noChangeAspect="1"/>
                    </pic:cNvPicPr>
                  </pic:nvPicPr>
                  <pic:blipFill>
                    <a:blip r:embed="rId210"/>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4" name="图片 124" descr="北大荒集团八五二农场两供两治一业供热改造_2026年03月10日104056_分析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北大荒集团八五二农场两供两治一业供热改造_2026年03月10日104056_分析报告_07"/>
                    <pic:cNvPicPr>
                      <a:picLocks noChangeAspect="1"/>
                    </pic:cNvPicPr>
                  </pic:nvPicPr>
                  <pic:blipFill>
                    <a:blip r:embed="rId211"/>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3" name="图片 123" descr="北大荒集团八五二农场两供两治一业供热改造_2026年03月10日104056_分析报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北大荒集团八五二农场两供两治一业供热改造_2026年03月10日104056_分析报告_08"/>
                    <pic:cNvPicPr>
                      <a:picLocks noChangeAspect="1"/>
                    </pic:cNvPicPr>
                  </pic:nvPicPr>
                  <pic:blipFill>
                    <a:blip r:embed="rId212"/>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22" name="图片 122" descr="北大荒集团八五二农场两供两治一业供热改造_2026年03月10日104056_分析报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北大荒集团八五二农场两供两治一业供热改造_2026年03月10日104056_分析报告_09"/>
                    <pic:cNvPicPr>
                      <a:picLocks noChangeAspect="1"/>
                    </pic:cNvPicPr>
                  </pic:nvPicPr>
                  <pic:blipFill>
                    <a:blip r:embed="rId213"/>
                    <a:stretch>
                      <a:fillRect/>
                    </a:stretch>
                  </pic:blipFill>
                  <pic:spPr>
                    <a:xfrm>
                      <a:off x="0" y="0"/>
                      <a:ext cx="5255260" cy="3716020"/>
                    </a:xfrm>
                    <a:prstGeom prst="rect">
                      <a:avLst/>
                    </a:prstGeom>
                  </pic:spPr>
                </pic:pic>
              </a:graphicData>
            </a:graphic>
          </wp:inline>
        </w:drawing>
      </w:r>
      <w:r>
        <w:rPr>
          <w:rFonts w:hint="default"/>
          <w:lang w:val="en-US" w:eastAsia="zh-CN"/>
        </w:rPr>
        <w:drawing>
          <wp:inline distT="0" distB="0" distL="114300" distR="114300">
            <wp:extent cx="5255260" cy="3716020"/>
            <wp:effectExtent l="0" t="0" r="2540" b="5080"/>
            <wp:docPr id="109" name="图片 109" descr="北大荒集团八五二农场两供两治一业供热改造_2026年03月10日104056_分析报告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北大荒集团八五二农场两供两治一业供热改造_2026年03月10日104056_分析报告_10"/>
                    <pic:cNvPicPr>
                      <a:picLocks noChangeAspect="1"/>
                    </pic:cNvPicPr>
                  </pic:nvPicPr>
                  <pic:blipFill>
                    <a:blip r:embed="rId214"/>
                    <a:stretch>
                      <a:fillRect/>
                    </a:stretch>
                  </pic:blipFill>
                  <pic:spPr>
                    <a:xfrm>
                      <a:off x="0" y="0"/>
                      <a:ext cx="5255260" cy="3716020"/>
                    </a:xfrm>
                    <a:prstGeom prst="rect">
                      <a:avLst/>
                    </a:prstGeom>
                  </pic:spPr>
                </pic:pic>
              </a:graphicData>
            </a:graphic>
          </wp:inline>
        </w:drawing>
      </w:r>
    </w:p>
    <w:p w14:paraId="0992D5E8">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FF0000"/>
          <w:kern w:val="2"/>
          <w:sz w:val="30"/>
          <w:szCs w:val="30"/>
          <w:lang w:val="en-US" w:eastAsia="zh-CN"/>
        </w:rPr>
      </w:pPr>
      <w:r>
        <w:rPr>
          <w:rFonts w:hint="eastAsia" w:ascii="Times New Roman" w:hAnsi="Times New Roman" w:eastAsia="宋体" w:cs="Times New Roman"/>
          <w:b/>
          <w:bCs/>
          <w:snapToGrid/>
          <w:color w:val="FF0000"/>
          <w:kern w:val="2"/>
          <w:sz w:val="30"/>
          <w:szCs w:val="30"/>
          <w:lang w:val="en-US" w:eastAsia="zh-CN"/>
        </w:rPr>
        <w:t>附件19 关于北大荒集团黑龙江八五二农场有限公司两供两治一业移交供热设备维修改造标准的函</w:t>
      </w:r>
    </w:p>
    <w:p w14:paraId="5796FF1D">
      <w:pPr>
        <w:pStyle w:val="15"/>
        <w:rPr>
          <w:rFonts w:hint="default"/>
          <w:lang w:val="en-US" w:eastAsia="zh-CN"/>
        </w:rPr>
      </w:pPr>
      <w:r>
        <w:rPr>
          <w:rFonts w:hint="default"/>
          <w:lang w:val="en-US" w:eastAsia="zh-CN"/>
        </w:rPr>
        <w:drawing>
          <wp:inline distT="0" distB="0" distL="114300" distR="114300">
            <wp:extent cx="5252085" cy="7432675"/>
            <wp:effectExtent l="0" t="0" r="5715" b="9525"/>
            <wp:docPr id="131" name="图片 131" descr="关于北大荒集团黑龙江八五二农场有限公司两供两治一业移交供热设备维修改造标准的函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关于北大荒集团黑龙江八五二农场有限公司两供两治一业移交供热设备维修改造标准的函_01"/>
                    <pic:cNvPicPr>
                      <a:picLocks noChangeAspect="1"/>
                    </pic:cNvPicPr>
                  </pic:nvPicPr>
                  <pic:blipFill>
                    <a:blip r:embed="rId215"/>
                    <a:stretch>
                      <a:fillRect/>
                    </a:stretch>
                  </pic:blipFill>
                  <pic:spPr>
                    <a:xfrm>
                      <a:off x="0" y="0"/>
                      <a:ext cx="5252085" cy="7432675"/>
                    </a:xfrm>
                    <a:prstGeom prst="rect">
                      <a:avLst/>
                    </a:prstGeom>
                  </pic:spPr>
                </pic:pic>
              </a:graphicData>
            </a:graphic>
          </wp:inline>
        </w:drawing>
      </w:r>
    </w:p>
    <w:p w14:paraId="605A7354">
      <w:pPr>
        <w:pStyle w:val="15"/>
        <w:rPr>
          <w:rFonts w:hint="default" w:ascii="Times New Roman" w:hAnsi="Times New Roman" w:eastAsia="宋体" w:cs="Times New Roman"/>
          <w:lang w:val="en-US" w:eastAsia="zh-CN"/>
        </w:rPr>
      </w:pPr>
      <w:r>
        <w:rPr>
          <w:rFonts w:hint="default"/>
          <w:lang w:val="en-US" w:eastAsia="zh-CN"/>
        </w:rPr>
        <w:drawing>
          <wp:inline distT="0" distB="0" distL="114300" distR="114300">
            <wp:extent cx="5252085" cy="7432675"/>
            <wp:effectExtent l="0" t="0" r="5715" b="9525"/>
            <wp:docPr id="150" name="图片 150" descr="关于北大荒集团黑龙江八五二农场有限公司两供两治一业移交供热设备维修改造标准的函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关于北大荒集团黑龙江八五二农场有限公司两供两治一业移交供热设备维修改造标准的函_02"/>
                    <pic:cNvPicPr>
                      <a:picLocks noChangeAspect="1"/>
                    </pic:cNvPicPr>
                  </pic:nvPicPr>
                  <pic:blipFill>
                    <a:blip r:embed="rId216"/>
                    <a:stretch>
                      <a:fillRect/>
                    </a:stretch>
                  </pic:blipFill>
                  <pic:spPr>
                    <a:xfrm>
                      <a:off x="0" y="0"/>
                      <a:ext cx="5252085" cy="7432675"/>
                    </a:xfrm>
                    <a:prstGeom prst="rect">
                      <a:avLst/>
                    </a:prstGeom>
                  </pic:spPr>
                </pic:pic>
              </a:graphicData>
            </a:graphic>
          </wp:inline>
        </w:drawing>
      </w:r>
    </w:p>
    <w:p w14:paraId="510A444B">
      <w:pPr>
        <w:keepNext w:val="0"/>
        <w:keepLines w:val="0"/>
        <w:pageBreakBefore/>
        <w:widowControl w:val="0"/>
        <w:kinsoku/>
        <w:wordWrap/>
        <w:overflowPunct/>
        <w:topLinePunct/>
        <w:autoSpaceDE/>
        <w:autoSpaceDN/>
        <w:bidi w:val="0"/>
        <w:adjustRightInd/>
        <w:snapToGrid/>
        <w:spacing w:before="157" w:beforeLines="50" w:after="157" w:afterLines="50" w:line="500" w:lineRule="exact"/>
        <w:ind w:firstLine="0" w:firstLineChars="0"/>
        <w:jc w:val="left"/>
        <w:textAlignment w:val="auto"/>
        <w:outlineLvl w:val="1"/>
        <w:rPr>
          <w:rFonts w:hint="default" w:ascii="Times New Roman" w:hAnsi="Times New Roman" w:eastAsia="宋体" w:cs="Times New Roman"/>
          <w:b/>
          <w:bCs/>
          <w:snapToGrid/>
          <w:color w:val="FF0000"/>
          <w:kern w:val="2"/>
          <w:sz w:val="30"/>
          <w:szCs w:val="30"/>
          <w:lang w:val="en-US" w:eastAsia="zh-CN"/>
        </w:rPr>
      </w:pPr>
      <w:r>
        <w:rPr>
          <w:rFonts w:hint="eastAsia" w:ascii="Times New Roman" w:hAnsi="Times New Roman" w:eastAsia="宋体" w:cs="Times New Roman"/>
          <w:b/>
          <w:bCs/>
          <w:snapToGrid/>
          <w:color w:val="FF0000"/>
          <w:kern w:val="2"/>
          <w:sz w:val="30"/>
          <w:szCs w:val="30"/>
          <w:lang w:val="en-US" w:eastAsia="zh-CN"/>
        </w:rPr>
        <w:t>附件20 双鸭山市生态环境局关于北大荒集团黑龙江八五二农场两供两治一业供热改造项目污染物排放总量认定的函</w:t>
      </w:r>
    </w:p>
    <w:p w14:paraId="1285544E">
      <w:pPr>
        <w:pStyle w:val="15"/>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drawing>
          <wp:inline distT="0" distB="0" distL="114300" distR="114300">
            <wp:extent cx="5271135" cy="7364730"/>
            <wp:effectExtent l="0" t="0" r="12065" b="1270"/>
            <wp:docPr id="153" name="图片 153" descr="总量认定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总量认定1"/>
                    <pic:cNvPicPr>
                      <a:picLocks noChangeAspect="1"/>
                    </pic:cNvPicPr>
                  </pic:nvPicPr>
                  <pic:blipFill>
                    <a:blip r:embed="rId217"/>
                    <a:stretch>
                      <a:fillRect/>
                    </a:stretch>
                  </pic:blipFill>
                  <pic:spPr>
                    <a:xfrm>
                      <a:off x="0" y="0"/>
                      <a:ext cx="5271135" cy="7364730"/>
                    </a:xfrm>
                    <a:prstGeom prst="rect">
                      <a:avLst/>
                    </a:prstGeom>
                  </pic:spPr>
                </pic:pic>
              </a:graphicData>
            </a:graphic>
          </wp:inline>
        </w:drawing>
      </w:r>
    </w:p>
    <w:p w14:paraId="22460432">
      <w:pPr>
        <w:rPr>
          <w:rFonts w:hint="default"/>
          <w:lang w:val="en-US" w:eastAsia="zh-CN"/>
        </w:rPr>
      </w:pPr>
      <w:r>
        <w:rPr>
          <w:rFonts w:hint="default"/>
          <w:lang w:val="en-US" w:eastAsia="zh-CN"/>
        </w:rPr>
        <w:drawing>
          <wp:inline distT="0" distB="0" distL="114300" distR="114300">
            <wp:extent cx="5266690" cy="7451725"/>
            <wp:effectExtent l="0" t="0" r="3810" b="3175"/>
            <wp:docPr id="165" name="图片 165" descr="1a62045d86fa93d727d3c3c1ebe648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1a62045d86fa93d727d3c3c1ebe6483e"/>
                    <pic:cNvPicPr>
                      <a:picLocks noChangeAspect="1"/>
                    </pic:cNvPicPr>
                  </pic:nvPicPr>
                  <pic:blipFill>
                    <a:blip r:embed="rId218"/>
                    <a:stretch>
                      <a:fillRect/>
                    </a:stretch>
                  </pic:blipFill>
                  <pic:spPr>
                    <a:xfrm>
                      <a:off x="0" y="0"/>
                      <a:ext cx="5266690" cy="7451725"/>
                    </a:xfrm>
                    <a:prstGeom prst="rect">
                      <a:avLst/>
                    </a:prstGeom>
                  </pic:spPr>
                </pic:pic>
              </a:graphicData>
            </a:graphic>
          </wp:inline>
        </w:drawing>
      </w:r>
    </w:p>
    <w:p w14:paraId="3710BD79">
      <w:pPr>
        <w:pStyle w:val="15"/>
        <w:rPr>
          <w:rFonts w:hint="default" w:ascii="Times New Roman" w:hAnsi="Times New Roman" w:eastAsia="宋体" w:cs="Times New Roman"/>
          <w:lang w:val="en-US" w:eastAsia="zh-CN"/>
        </w:rPr>
        <w:sectPr>
          <w:headerReference r:id="rId17" w:type="default"/>
          <w:footerReference r:id="rId18"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26" w:charSpace="0"/>
        </w:sectPr>
      </w:pPr>
    </w:p>
    <w:p w14:paraId="7AFF1F25">
      <w:pPr>
        <w:pStyle w:val="168"/>
        <w:keepNext w:val="0"/>
        <w:keepLines w:val="0"/>
        <w:pageBreakBefore/>
        <w:widowControl w:val="0"/>
        <w:kinsoku/>
        <w:wordWrap/>
        <w:overflowPunct/>
        <w:topLinePunct w:val="0"/>
        <w:autoSpaceDE/>
        <w:autoSpaceDN/>
        <w:bidi w:val="0"/>
        <w:adjustRightInd w:val="0"/>
        <w:snapToGrid w:val="0"/>
        <w:spacing w:before="180" w:after="180" w:line="480" w:lineRule="exact"/>
        <w:ind w:firstLine="0" w:firstLineChars="0"/>
        <w:textAlignment w:val="auto"/>
        <w:outlineLvl w:val="0"/>
        <w:rPr>
          <w:rFonts w:hint="default" w:ascii="Times New Roman" w:hAnsi="Times New Roman" w:eastAsia="宋体" w:cs="Times New Roman"/>
          <w:b/>
          <w:color w:val="auto"/>
          <w:sz w:val="30"/>
          <w:szCs w:val="32"/>
          <w:lang w:val="en-US" w:eastAsia="zh-CN"/>
        </w:rPr>
      </w:pPr>
      <w:bookmarkStart w:id="709" w:name="_Toc27906"/>
      <w:r>
        <w:rPr>
          <w:rFonts w:hint="eastAsia" w:ascii="Times New Roman" w:hAnsi="Times New Roman" w:eastAsia="宋体" w:cs="Times New Roman"/>
          <w:b/>
          <w:color w:val="auto"/>
          <w:sz w:val="30"/>
          <w:szCs w:val="32"/>
          <w:lang w:val="en-US" w:eastAsia="zh-CN"/>
        </w:rPr>
        <w:t>附图</w:t>
      </w:r>
      <w:bookmarkEnd w:id="709"/>
    </w:p>
    <w:p w14:paraId="32DA8266">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eastAsia" w:eastAsia="黑体"/>
          <w:color w:val="auto"/>
          <w:lang w:eastAsia="zh-CN"/>
        </w:rPr>
      </w:pPr>
      <w:r>
        <w:rPr>
          <w:rFonts w:ascii="宋体" w:hAnsi="宋体" w:eastAsia="宋体" w:cs="宋体"/>
          <w:color w:val="auto"/>
          <w:sz w:val="24"/>
          <w:szCs w:val="24"/>
        </w:rPr>
        <w:drawing>
          <wp:inline distT="0" distB="0" distL="114300" distR="114300">
            <wp:extent cx="5219700" cy="4236085"/>
            <wp:effectExtent l="0" t="0" r="0" b="5715"/>
            <wp:docPr id="7"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descr="IMG_256"/>
                    <pic:cNvPicPr>
                      <a:picLocks noChangeAspect="1"/>
                    </pic:cNvPicPr>
                  </pic:nvPicPr>
                  <pic:blipFill>
                    <a:blip r:embed="rId31"/>
                    <a:stretch>
                      <a:fillRect/>
                    </a:stretch>
                  </pic:blipFill>
                  <pic:spPr>
                    <a:xfrm>
                      <a:off x="0" y="0"/>
                      <a:ext cx="5219700" cy="4236085"/>
                    </a:xfrm>
                    <a:prstGeom prst="rect">
                      <a:avLst/>
                    </a:prstGeom>
                    <a:noFill/>
                    <a:ln w="9525">
                      <a:noFill/>
                    </a:ln>
                  </pic:spPr>
                </pic:pic>
              </a:graphicData>
            </a:graphic>
          </wp:inline>
        </w:drawing>
      </w:r>
    </w:p>
    <w:p w14:paraId="49DE6ADF">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outlineLvl w:val="1"/>
        <w:rPr>
          <w:rFonts w:hint="default"/>
          <w:color w:val="auto"/>
          <w:lang w:val="en-US" w:eastAsia="zh-CN"/>
        </w:rPr>
      </w:pPr>
      <w:bookmarkStart w:id="710" w:name="_Toc19029"/>
      <w:r>
        <w:rPr>
          <w:rFonts w:hint="eastAsia" w:eastAsia="宋体" w:cs="Times New Roman"/>
          <w:b/>
          <w:bCs/>
          <w:color w:val="auto"/>
          <w:lang w:val="en-US" w:eastAsia="zh-CN"/>
        </w:rPr>
        <w:t>附图</w:t>
      </w:r>
      <w:r>
        <w:rPr>
          <w:rFonts w:hint="eastAsia" w:cs="Times New Roman"/>
          <w:b/>
          <w:bCs/>
          <w:color w:val="auto"/>
          <w:lang w:val="en-US" w:eastAsia="zh-CN"/>
        </w:rPr>
        <w:t>1</w:t>
      </w:r>
      <w:r>
        <w:rPr>
          <w:rFonts w:hint="eastAsia" w:eastAsia="宋体" w:cs="Times New Roman"/>
          <w:b/>
          <w:bCs/>
          <w:color w:val="auto"/>
          <w:lang w:val="en-US" w:eastAsia="zh-CN"/>
        </w:rPr>
        <w:t xml:space="preserve">  项目位置及敏感目标分布图</w:t>
      </w:r>
      <w:bookmarkEnd w:id="710"/>
    </w:p>
    <w:p w14:paraId="5221DA4A">
      <w:pPr>
        <w:rPr>
          <w:rFonts w:hint="default"/>
          <w:color w:val="auto"/>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26" w:charSpace="0"/>
        </w:sectPr>
      </w:pPr>
    </w:p>
    <w:p w14:paraId="205F55F0">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r>
        <w:rPr>
          <w:rFonts w:hint="default" w:ascii="Times New Roman" w:hAnsi="Times New Roman"/>
          <w:color w:val="auto"/>
          <w:lang w:val="en-US" w:eastAsia="zh-CN"/>
        </w:rPr>
        <w:drawing>
          <wp:inline distT="0" distB="0" distL="114300" distR="114300">
            <wp:extent cx="6480175" cy="4578985"/>
            <wp:effectExtent l="0" t="0" r="9525" b="5715"/>
            <wp:docPr id="93" name="图片 93" descr="线下审改（工程布置图）供热中心-模型_01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线下审改（工程布置图）供热中心-模型_01副本"/>
                    <pic:cNvPicPr>
                      <a:picLocks noChangeAspect="1"/>
                    </pic:cNvPicPr>
                  </pic:nvPicPr>
                  <pic:blipFill>
                    <a:blip r:embed="rId219"/>
                    <a:stretch>
                      <a:fillRect/>
                    </a:stretch>
                  </pic:blipFill>
                  <pic:spPr>
                    <a:xfrm>
                      <a:off x="0" y="0"/>
                      <a:ext cx="6480175" cy="4578985"/>
                    </a:xfrm>
                    <a:prstGeom prst="rect">
                      <a:avLst/>
                    </a:prstGeom>
                  </pic:spPr>
                </pic:pic>
              </a:graphicData>
            </a:graphic>
          </wp:inline>
        </w:drawing>
      </w:r>
    </w:p>
    <w:p w14:paraId="391F8958">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outlineLvl w:val="1"/>
        <w:rPr>
          <w:rFonts w:hint="default"/>
          <w:color w:val="FF0000"/>
          <w:lang w:val="en-US" w:eastAsia="zh-CN"/>
        </w:rPr>
      </w:pPr>
      <w:bookmarkStart w:id="711" w:name="_Toc28586"/>
      <w:bookmarkStart w:id="712" w:name="_Toc27633"/>
      <w:r>
        <w:rPr>
          <w:rFonts w:hint="eastAsia" w:eastAsia="宋体" w:cs="Times New Roman"/>
          <w:b/>
          <w:bCs/>
          <w:color w:val="FF0000"/>
          <w:lang w:val="en-US" w:eastAsia="zh-CN"/>
        </w:rPr>
        <w:t>附图</w:t>
      </w:r>
      <w:r>
        <w:rPr>
          <w:rFonts w:hint="eastAsia" w:cs="Times New Roman"/>
          <w:b/>
          <w:bCs/>
          <w:color w:val="FF0000"/>
          <w:lang w:val="en-US" w:eastAsia="zh-CN"/>
        </w:rPr>
        <w:t>2</w:t>
      </w:r>
      <w:r>
        <w:rPr>
          <w:rFonts w:hint="eastAsia" w:eastAsia="宋体" w:cs="Times New Roman"/>
          <w:b/>
          <w:bCs/>
          <w:color w:val="FF0000"/>
          <w:lang w:val="en-US" w:eastAsia="zh-CN"/>
        </w:rPr>
        <w:t xml:space="preserve">  热源厂总平面布置图</w:t>
      </w:r>
      <w:bookmarkEnd w:id="711"/>
      <w:bookmarkEnd w:id="712"/>
    </w:p>
    <w:p w14:paraId="49680C98">
      <w:pPr>
        <w:rPr>
          <w:rFonts w:hint="default"/>
          <w:color w:val="FF0000"/>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26" w:charSpace="0"/>
        </w:sectPr>
      </w:pPr>
    </w:p>
    <w:p w14:paraId="45B5722F">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r>
        <w:rPr>
          <w:rFonts w:hint="default" w:ascii="Times New Roman" w:hAnsi="Times New Roman"/>
          <w:color w:val="auto"/>
          <w:lang w:val="en-US" w:eastAsia="zh-CN"/>
        </w:rPr>
        <w:drawing>
          <wp:inline distT="0" distB="0" distL="114300" distR="114300">
            <wp:extent cx="7200265" cy="4051935"/>
            <wp:effectExtent l="9525" t="9525" r="16510" b="15240"/>
            <wp:docPr id="146" name="图片 146" descr="管线布局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管线布局副本"/>
                    <pic:cNvPicPr>
                      <a:picLocks noChangeAspect="1"/>
                    </pic:cNvPicPr>
                  </pic:nvPicPr>
                  <pic:blipFill>
                    <a:blip r:embed="rId220"/>
                    <a:stretch>
                      <a:fillRect/>
                    </a:stretch>
                  </pic:blipFill>
                  <pic:spPr>
                    <a:xfrm>
                      <a:off x="0" y="0"/>
                      <a:ext cx="7200265" cy="4051935"/>
                    </a:xfrm>
                    <a:prstGeom prst="rect">
                      <a:avLst/>
                    </a:prstGeom>
                    <a:ln>
                      <a:solidFill>
                        <a:schemeClr val="tx1"/>
                      </a:solidFill>
                    </a:ln>
                  </pic:spPr>
                </pic:pic>
              </a:graphicData>
            </a:graphic>
          </wp:inline>
        </w:drawing>
      </w:r>
    </w:p>
    <w:p w14:paraId="1E62CC6E">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outlineLvl w:val="1"/>
        <w:rPr>
          <w:rFonts w:hint="default"/>
          <w:color w:val="auto"/>
          <w:lang w:val="en-US" w:eastAsia="zh-CN"/>
        </w:rPr>
      </w:pPr>
      <w:bookmarkStart w:id="713" w:name="_Toc17551"/>
      <w:r>
        <w:rPr>
          <w:rFonts w:hint="eastAsia" w:eastAsia="宋体" w:cs="Times New Roman"/>
          <w:b/>
          <w:bCs/>
          <w:color w:val="auto"/>
          <w:lang w:val="en-US" w:eastAsia="zh-CN"/>
        </w:rPr>
        <w:t>附图</w:t>
      </w:r>
      <w:r>
        <w:rPr>
          <w:rFonts w:hint="eastAsia" w:cs="Times New Roman"/>
          <w:b/>
          <w:bCs/>
          <w:color w:val="auto"/>
          <w:lang w:val="en-US" w:eastAsia="zh-CN"/>
        </w:rPr>
        <w:t>3</w:t>
      </w:r>
      <w:r>
        <w:rPr>
          <w:rFonts w:hint="eastAsia" w:eastAsia="宋体" w:cs="Times New Roman"/>
          <w:b/>
          <w:bCs/>
          <w:color w:val="auto"/>
          <w:lang w:val="en-US" w:eastAsia="zh-CN"/>
        </w:rPr>
        <w:t xml:space="preserve">  维修管线总平面布置图</w:t>
      </w:r>
      <w:bookmarkEnd w:id="713"/>
    </w:p>
    <w:p w14:paraId="12295425">
      <w:pPr>
        <w:rPr>
          <w:rFonts w:hint="default"/>
          <w:color w:val="auto"/>
          <w:lang w:val="en-US" w:eastAsia="zh-CN"/>
        </w:rPr>
      </w:pPr>
    </w:p>
    <w:p w14:paraId="3A434B44">
      <w:pPr>
        <w:rPr>
          <w:rFonts w:hint="default"/>
          <w:color w:val="auto"/>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26" w:charSpace="0"/>
        </w:sectPr>
      </w:pPr>
    </w:p>
    <w:p w14:paraId="10A657FD">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r>
        <w:rPr>
          <w:rFonts w:hint="default" w:ascii="Times New Roman" w:hAnsi="Times New Roman"/>
          <w:color w:val="auto"/>
          <w:lang w:val="en-US" w:eastAsia="zh-CN"/>
        </w:rPr>
        <w:drawing>
          <wp:inline distT="0" distB="0" distL="114300" distR="114300">
            <wp:extent cx="5219700" cy="5019040"/>
            <wp:effectExtent l="0" t="0" r="0" b="10160"/>
            <wp:docPr id="147" name="图片 147" descr="线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线1_01"/>
                    <pic:cNvPicPr>
                      <a:picLocks noChangeAspect="1"/>
                    </pic:cNvPicPr>
                  </pic:nvPicPr>
                  <pic:blipFill>
                    <a:blip r:embed="rId221"/>
                    <a:srcRect l="15742" t="1522" r="15525" b="4958"/>
                    <a:stretch>
                      <a:fillRect/>
                    </a:stretch>
                  </pic:blipFill>
                  <pic:spPr>
                    <a:xfrm>
                      <a:off x="0" y="0"/>
                      <a:ext cx="5219700" cy="5019040"/>
                    </a:xfrm>
                    <a:prstGeom prst="rect">
                      <a:avLst/>
                    </a:prstGeom>
                  </pic:spPr>
                </pic:pic>
              </a:graphicData>
            </a:graphic>
          </wp:inline>
        </w:drawing>
      </w:r>
    </w:p>
    <w:p w14:paraId="2545414C">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outlineLvl w:val="1"/>
        <w:rPr>
          <w:rFonts w:hint="default"/>
          <w:color w:val="auto"/>
          <w:lang w:val="en-US" w:eastAsia="zh-CN"/>
        </w:rPr>
      </w:pPr>
      <w:bookmarkStart w:id="714" w:name="_Toc978"/>
      <w:r>
        <w:rPr>
          <w:rFonts w:hint="eastAsia" w:eastAsia="宋体" w:cs="Times New Roman"/>
          <w:b/>
          <w:bCs/>
          <w:color w:val="auto"/>
          <w:lang w:val="en-US" w:eastAsia="zh-CN"/>
        </w:rPr>
        <w:t>附图</w:t>
      </w:r>
      <w:r>
        <w:rPr>
          <w:rFonts w:hint="eastAsia" w:cs="Times New Roman"/>
          <w:b/>
          <w:bCs/>
          <w:color w:val="auto"/>
          <w:lang w:val="en-US" w:eastAsia="zh-CN"/>
        </w:rPr>
        <w:t>3-1</w:t>
      </w:r>
      <w:r>
        <w:rPr>
          <w:rFonts w:hint="eastAsia" w:eastAsia="宋体" w:cs="Times New Roman"/>
          <w:b/>
          <w:bCs/>
          <w:color w:val="auto"/>
          <w:lang w:val="en-US" w:eastAsia="zh-CN"/>
        </w:rPr>
        <w:t xml:space="preserve">  维修管线平面布置图（一）</w:t>
      </w:r>
      <w:bookmarkEnd w:id="714"/>
    </w:p>
    <w:p w14:paraId="625AE64F">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r>
        <w:rPr>
          <w:rFonts w:hint="default" w:ascii="Times New Roman" w:hAnsi="Times New Roman"/>
          <w:color w:val="auto"/>
          <w:lang w:val="en-US" w:eastAsia="zh-CN"/>
        </w:rPr>
        <w:drawing>
          <wp:inline distT="0" distB="0" distL="114300" distR="114300">
            <wp:extent cx="5219700" cy="4027805"/>
            <wp:effectExtent l="0" t="0" r="0" b="10795"/>
            <wp:docPr id="148" name="图片 148" descr="线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线2_01"/>
                    <pic:cNvPicPr>
                      <a:picLocks noChangeAspect="1"/>
                    </pic:cNvPicPr>
                  </pic:nvPicPr>
                  <pic:blipFill>
                    <a:blip r:embed="rId222"/>
                    <a:srcRect l="6403" t="2376" r="6597" b="2616"/>
                    <a:stretch>
                      <a:fillRect/>
                    </a:stretch>
                  </pic:blipFill>
                  <pic:spPr>
                    <a:xfrm>
                      <a:off x="0" y="0"/>
                      <a:ext cx="5219700" cy="4027805"/>
                    </a:xfrm>
                    <a:prstGeom prst="rect">
                      <a:avLst/>
                    </a:prstGeom>
                  </pic:spPr>
                </pic:pic>
              </a:graphicData>
            </a:graphic>
          </wp:inline>
        </w:drawing>
      </w:r>
    </w:p>
    <w:p w14:paraId="2AF692E8">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outlineLvl w:val="1"/>
        <w:rPr>
          <w:rFonts w:hint="default"/>
          <w:color w:val="auto"/>
          <w:lang w:val="en-US" w:eastAsia="zh-CN"/>
        </w:rPr>
      </w:pPr>
      <w:bookmarkStart w:id="715" w:name="_Toc9831"/>
      <w:r>
        <w:rPr>
          <w:rFonts w:hint="eastAsia" w:eastAsia="宋体" w:cs="Times New Roman"/>
          <w:b/>
          <w:bCs/>
          <w:color w:val="auto"/>
          <w:lang w:val="en-US" w:eastAsia="zh-CN"/>
        </w:rPr>
        <w:t>附图</w:t>
      </w:r>
      <w:r>
        <w:rPr>
          <w:rFonts w:hint="eastAsia" w:cs="Times New Roman"/>
          <w:b/>
          <w:bCs/>
          <w:color w:val="auto"/>
          <w:lang w:val="en-US" w:eastAsia="zh-CN"/>
        </w:rPr>
        <w:t>3-2</w:t>
      </w:r>
      <w:r>
        <w:rPr>
          <w:rFonts w:hint="eastAsia" w:eastAsia="宋体" w:cs="Times New Roman"/>
          <w:b/>
          <w:bCs/>
          <w:color w:val="auto"/>
          <w:lang w:val="en-US" w:eastAsia="zh-CN"/>
        </w:rPr>
        <w:t xml:space="preserve">  维修管线平面布置图（二）</w:t>
      </w:r>
      <w:bookmarkEnd w:id="715"/>
    </w:p>
    <w:p w14:paraId="6380F680">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r>
        <w:rPr>
          <w:rFonts w:hint="default" w:ascii="Times New Roman" w:hAnsi="Times New Roman"/>
          <w:color w:val="auto"/>
          <w:lang w:val="en-US" w:eastAsia="zh-CN"/>
        </w:rPr>
        <w:drawing>
          <wp:inline distT="0" distB="0" distL="114300" distR="114300">
            <wp:extent cx="5219700" cy="5015865"/>
            <wp:effectExtent l="0" t="0" r="0" b="635"/>
            <wp:docPr id="149" name="图片 149" descr="线3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线3_01"/>
                    <pic:cNvPicPr>
                      <a:picLocks noChangeAspect="1"/>
                    </pic:cNvPicPr>
                  </pic:nvPicPr>
                  <pic:blipFill>
                    <a:blip r:embed="rId223"/>
                    <a:srcRect l="14824" t="1299" r="14039" b="1966"/>
                    <a:stretch>
                      <a:fillRect/>
                    </a:stretch>
                  </pic:blipFill>
                  <pic:spPr>
                    <a:xfrm>
                      <a:off x="0" y="0"/>
                      <a:ext cx="5219700" cy="5015865"/>
                    </a:xfrm>
                    <a:prstGeom prst="rect">
                      <a:avLst/>
                    </a:prstGeom>
                  </pic:spPr>
                </pic:pic>
              </a:graphicData>
            </a:graphic>
          </wp:inline>
        </w:drawing>
      </w:r>
    </w:p>
    <w:p w14:paraId="3D39A80A">
      <w:pPr>
        <w:pStyle w:val="28"/>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outlineLvl w:val="1"/>
        <w:rPr>
          <w:rFonts w:hint="default"/>
          <w:color w:val="auto"/>
          <w:lang w:val="en-US" w:eastAsia="zh-CN"/>
        </w:rPr>
      </w:pPr>
      <w:bookmarkStart w:id="716" w:name="_Toc10877"/>
      <w:r>
        <w:rPr>
          <w:rFonts w:hint="eastAsia" w:eastAsia="宋体" w:cs="Times New Roman"/>
          <w:b/>
          <w:bCs/>
          <w:color w:val="auto"/>
          <w:lang w:val="en-US" w:eastAsia="zh-CN"/>
        </w:rPr>
        <w:t>附图</w:t>
      </w:r>
      <w:r>
        <w:rPr>
          <w:rFonts w:hint="eastAsia" w:cs="Times New Roman"/>
          <w:b/>
          <w:bCs/>
          <w:color w:val="auto"/>
          <w:lang w:val="en-US" w:eastAsia="zh-CN"/>
        </w:rPr>
        <w:t>3-3</w:t>
      </w:r>
      <w:r>
        <w:rPr>
          <w:rFonts w:hint="eastAsia" w:eastAsia="宋体" w:cs="Times New Roman"/>
          <w:b/>
          <w:bCs/>
          <w:color w:val="auto"/>
          <w:lang w:val="en-US" w:eastAsia="zh-CN"/>
        </w:rPr>
        <w:t xml:space="preserve">  维修管线平面布置图（三）</w:t>
      </w:r>
      <w:bookmarkEnd w:id="716"/>
    </w:p>
    <w:p w14:paraId="44F10B50">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26" w:charSpace="0"/>
        </w:sectPr>
      </w:pPr>
    </w:p>
    <w:p w14:paraId="7A287F86">
      <w:pPr>
        <w:pStyle w:val="168"/>
        <w:keepNext w:val="0"/>
        <w:keepLines w:val="0"/>
        <w:pageBreakBefore/>
        <w:widowControl w:val="0"/>
        <w:kinsoku/>
        <w:wordWrap/>
        <w:overflowPunct/>
        <w:topLinePunct w:val="0"/>
        <w:autoSpaceDE/>
        <w:autoSpaceDN/>
        <w:bidi w:val="0"/>
        <w:adjustRightInd w:val="0"/>
        <w:snapToGrid w:val="0"/>
        <w:spacing w:before="180" w:after="180" w:line="480" w:lineRule="exact"/>
        <w:ind w:firstLine="0" w:firstLineChars="0"/>
        <w:textAlignment w:val="auto"/>
        <w:outlineLvl w:val="0"/>
        <w:rPr>
          <w:rFonts w:hint="default" w:ascii="Times New Roman" w:hAnsi="Times New Roman" w:eastAsia="宋体" w:cs="Times New Roman"/>
          <w:b/>
          <w:color w:val="auto"/>
          <w:sz w:val="30"/>
          <w:szCs w:val="32"/>
          <w:lang w:val="en-US" w:eastAsia="zh-CN"/>
        </w:rPr>
      </w:pPr>
      <w:bookmarkStart w:id="717" w:name="_Toc29678"/>
      <w:bookmarkStart w:id="718" w:name="_Toc15207"/>
      <w:r>
        <w:rPr>
          <w:rFonts w:hint="eastAsia" w:ascii="Times New Roman" w:hAnsi="Times New Roman" w:eastAsia="宋体" w:cs="Times New Roman"/>
          <w:b/>
          <w:color w:val="auto"/>
          <w:sz w:val="30"/>
          <w:szCs w:val="32"/>
          <w:lang w:val="en-US" w:eastAsia="zh-CN"/>
        </w:rPr>
        <w:t>附表</w:t>
      </w:r>
      <w:bookmarkEnd w:id="717"/>
      <w:bookmarkEnd w:id="718"/>
    </w:p>
    <w:p w14:paraId="7B593241">
      <w:pPr>
        <w:keepNext w:val="0"/>
        <w:keepLines w:val="0"/>
        <w:pageBreakBefore w:val="0"/>
        <w:widowControl w:val="0"/>
        <w:kinsoku/>
        <w:wordWrap/>
        <w:overflowPunct/>
        <w:topLinePunct w:val="0"/>
        <w:autoSpaceDE/>
        <w:autoSpaceDN/>
        <w:bidi w:val="0"/>
        <w:adjustRightInd/>
        <w:snapToGrid/>
        <w:spacing w:before="60" w:beforeLines="25" w:after="60" w:afterLines="25" w:line="240" w:lineRule="auto"/>
        <w:ind w:firstLine="0" w:firstLineChars="0"/>
        <w:jc w:val="center"/>
        <w:textAlignment w:val="auto"/>
        <w:outlineLvl w:val="1"/>
        <w:rPr>
          <w:rFonts w:hint="default" w:ascii="Times New Roman" w:hAnsi="Times New Roman" w:eastAsia="宋体" w:cs="Times New Roman"/>
          <w:b/>
          <w:color w:val="auto"/>
          <w:sz w:val="24"/>
          <w:szCs w:val="24"/>
          <w:lang w:val="en-US" w:eastAsia="zh-CN"/>
        </w:rPr>
      </w:pPr>
      <w:bookmarkStart w:id="719" w:name="_Toc2803"/>
      <w:r>
        <w:rPr>
          <w:rFonts w:hint="eastAsia" w:ascii="Times New Roman" w:hAnsi="Times New Roman" w:eastAsia="宋体" w:cs="Times New Roman"/>
          <w:b/>
          <w:color w:val="auto"/>
          <w:sz w:val="24"/>
          <w:szCs w:val="24"/>
          <w:lang w:val="en-US" w:eastAsia="zh-CN"/>
        </w:rPr>
        <w:t>附表1</w:t>
      </w:r>
      <w:r>
        <w:rPr>
          <w:rFonts w:hint="default" w:ascii="Times New Roman" w:hAnsi="Times New Roman" w:eastAsia="宋体" w:cs="Times New Roman"/>
          <w:b/>
          <w:color w:val="auto"/>
          <w:sz w:val="24"/>
          <w:szCs w:val="24"/>
          <w:lang w:val="en-US" w:eastAsia="zh-CN"/>
        </w:rPr>
        <w:t xml:space="preserve">  建设项目大气环境影响评价自查表</w:t>
      </w:r>
      <w:bookmarkEnd w:id="719"/>
    </w:p>
    <w:tbl>
      <w:tblPr>
        <w:tblStyle w:val="4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5"/>
        <w:gridCol w:w="1496"/>
        <w:gridCol w:w="1089"/>
        <w:gridCol w:w="425"/>
        <w:gridCol w:w="758"/>
        <w:gridCol w:w="256"/>
        <w:gridCol w:w="365"/>
        <w:gridCol w:w="149"/>
        <w:gridCol w:w="543"/>
        <w:gridCol w:w="83"/>
        <w:gridCol w:w="341"/>
        <w:gridCol w:w="1"/>
        <w:gridCol w:w="490"/>
        <w:gridCol w:w="1"/>
        <w:gridCol w:w="180"/>
        <w:gridCol w:w="253"/>
        <w:gridCol w:w="211"/>
        <w:gridCol w:w="936"/>
      </w:tblGrid>
      <w:tr w14:paraId="67DE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441" w:type="dxa"/>
            <w:gridSpan w:val="2"/>
            <w:noWrap w:val="0"/>
            <w:vAlign w:val="center"/>
          </w:tcPr>
          <w:p w14:paraId="705E361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工作内容</w:t>
            </w:r>
          </w:p>
        </w:tc>
        <w:tc>
          <w:tcPr>
            <w:tcW w:w="6081" w:type="dxa"/>
            <w:gridSpan w:val="16"/>
            <w:noWrap w:val="0"/>
            <w:vAlign w:val="center"/>
          </w:tcPr>
          <w:p w14:paraId="2DC27ED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自查项目</w:t>
            </w:r>
          </w:p>
        </w:tc>
      </w:tr>
      <w:tr w14:paraId="002AE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restart"/>
            <w:noWrap w:val="0"/>
            <w:vAlign w:val="center"/>
          </w:tcPr>
          <w:p w14:paraId="7AEFE69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评价等级与范围</w:t>
            </w:r>
          </w:p>
        </w:tc>
        <w:tc>
          <w:tcPr>
            <w:tcW w:w="1496" w:type="dxa"/>
            <w:noWrap w:val="0"/>
            <w:vAlign w:val="center"/>
          </w:tcPr>
          <w:p w14:paraId="31945E5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评价等级</w:t>
            </w:r>
          </w:p>
        </w:tc>
        <w:tc>
          <w:tcPr>
            <w:tcW w:w="2272" w:type="dxa"/>
            <w:gridSpan w:val="3"/>
            <w:noWrap w:val="0"/>
            <w:vAlign w:val="center"/>
          </w:tcPr>
          <w:p w14:paraId="22CB23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一级</w:t>
            </w:r>
            <w:r>
              <w:rPr>
                <w:rFonts w:hint="default" w:ascii="Times New Roman" w:hAnsi="Times New Roman" w:eastAsia="宋体" w:cs="Times New Roman"/>
                <w:bCs/>
                <w:color w:val="auto"/>
                <w:kern w:val="0"/>
                <w:sz w:val="21"/>
                <w:szCs w:val="21"/>
                <w:highlight w:val="none"/>
              </w:rPr>
              <w:sym w:font="Wingdings 2" w:char="0052"/>
            </w:r>
          </w:p>
        </w:tc>
        <w:tc>
          <w:tcPr>
            <w:tcW w:w="1738" w:type="dxa"/>
            <w:gridSpan w:val="7"/>
            <w:noWrap w:val="0"/>
            <w:vAlign w:val="center"/>
          </w:tcPr>
          <w:p w14:paraId="121AE1C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二级</w:t>
            </w:r>
            <w:r>
              <w:rPr>
                <w:rFonts w:hint="default" w:ascii="Times New Roman" w:hAnsi="Times New Roman" w:eastAsia="宋体" w:cs="Times New Roman"/>
                <w:color w:val="auto"/>
                <w:kern w:val="0"/>
                <w:sz w:val="21"/>
                <w:szCs w:val="21"/>
                <w:highlight w:val="none"/>
              </w:rPr>
              <w:sym w:font="Wingdings 2" w:char="00A3"/>
            </w:r>
          </w:p>
        </w:tc>
        <w:tc>
          <w:tcPr>
            <w:tcW w:w="2071" w:type="dxa"/>
            <w:gridSpan w:val="6"/>
            <w:noWrap w:val="0"/>
            <w:vAlign w:val="center"/>
          </w:tcPr>
          <w:p w14:paraId="717A5D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三级</w:t>
            </w:r>
            <w:r>
              <w:rPr>
                <w:rFonts w:hint="default" w:ascii="Times New Roman" w:hAnsi="Times New Roman" w:eastAsia="宋体" w:cs="Times New Roman"/>
                <w:bCs/>
                <w:color w:val="auto"/>
                <w:kern w:val="0"/>
                <w:sz w:val="21"/>
                <w:szCs w:val="21"/>
                <w:highlight w:val="none"/>
              </w:rPr>
              <w:t>□</w:t>
            </w:r>
          </w:p>
        </w:tc>
      </w:tr>
      <w:tr w14:paraId="70134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0A62D0C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4280FCD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评价范围</w:t>
            </w:r>
          </w:p>
        </w:tc>
        <w:tc>
          <w:tcPr>
            <w:tcW w:w="2272" w:type="dxa"/>
            <w:gridSpan w:val="3"/>
            <w:noWrap w:val="0"/>
            <w:vAlign w:val="center"/>
          </w:tcPr>
          <w:p w14:paraId="737ED93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边长=50km</w:t>
            </w:r>
            <w:r>
              <w:rPr>
                <w:rFonts w:hint="default" w:ascii="Times New Roman" w:hAnsi="Times New Roman" w:eastAsia="宋体" w:cs="Times New Roman"/>
                <w:color w:val="auto"/>
                <w:kern w:val="0"/>
                <w:sz w:val="21"/>
                <w:szCs w:val="21"/>
                <w:highlight w:val="none"/>
              </w:rPr>
              <w:sym w:font="Wingdings 2" w:char="00A3"/>
            </w:r>
          </w:p>
        </w:tc>
        <w:tc>
          <w:tcPr>
            <w:tcW w:w="1738" w:type="dxa"/>
            <w:gridSpan w:val="7"/>
            <w:noWrap w:val="0"/>
            <w:vAlign w:val="center"/>
          </w:tcPr>
          <w:p w14:paraId="1586960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边长5～50km</w:t>
            </w:r>
            <w:r>
              <w:rPr>
                <w:rFonts w:hint="default" w:ascii="Times New Roman" w:hAnsi="Times New Roman" w:eastAsia="宋体" w:cs="Times New Roman"/>
                <w:color w:val="auto"/>
                <w:kern w:val="0"/>
                <w:sz w:val="21"/>
                <w:szCs w:val="21"/>
                <w:highlight w:val="none"/>
              </w:rPr>
              <w:sym w:font="Wingdings 2" w:char="0052"/>
            </w:r>
          </w:p>
        </w:tc>
        <w:tc>
          <w:tcPr>
            <w:tcW w:w="2071" w:type="dxa"/>
            <w:gridSpan w:val="6"/>
            <w:noWrap w:val="0"/>
            <w:vAlign w:val="center"/>
          </w:tcPr>
          <w:p w14:paraId="46FBAAC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边长=5km</w:t>
            </w:r>
            <w:r>
              <w:rPr>
                <w:rFonts w:hint="default" w:ascii="Times New Roman" w:hAnsi="Times New Roman" w:eastAsia="宋体" w:cs="Times New Roman"/>
                <w:color w:val="auto"/>
                <w:kern w:val="0"/>
                <w:sz w:val="21"/>
                <w:szCs w:val="21"/>
                <w:highlight w:val="none"/>
              </w:rPr>
              <w:sym w:font="Wingdings 2" w:char="00A3"/>
            </w:r>
          </w:p>
        </w:tc>
      </w:tr>
      <w:tr w14:paraId="5FF4F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restart"/>
            <w:noWrap w:val="0"/>
            <w:vAlign w:val="center"/>
          </w:tcPr>
          <w:p w14:paraId="425D5CD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评价因子</w:t>
            </w:r>
          </w:p>
        </w:tc>
        <w:tc>
          <w:tcPr>
            <w:tcW w:w="1496" w:type="dxa"/>
            <w:noWrap w:val="0"/>
            <w:vAlign w:val="center"/>
          </w:tcPr>
          <w:p w14:paraId="7FDA146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SO</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+NO</w:t>
            </w:r>
            <w:r>
              <w:rPr>
                <w:rFonts w:hint="default" w:ascii="Times New Roman" w:hAnsi="Times New Roman" w:eastAsia="宋体" w:cs="Times New Roman"/>
                <w:color w:val="auto"/>
                <w:sz w:val="21"/>
                <w:szCs w:val="21"/>
                <w:highlight w:val="none"/>
                <w:vertAlign w:val="subscript"/>
              </w:rPr>
              <w:t>X</w:t>
            </w:r>
          </w:p>
        </w:tc>
        <w:tc>
          <w:tcPr>
            <w:tcW w:w="2272" w:type="dxa"/>
            <w:gridSpan w:val="3"/>
            <w:noWrap w:val="0"/>
            <w:vAlign w:val="center"/>
          </w:tcPr>
          <w:p w14:paraId="2B425D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≥2000t/a</w:t>
            </w:r>
            <w:r>
              <w:rPr>
                <w:rFonts w:hint="default" w:ascii="Times New Roman" w:hAnsi="Times New Roman" w:eastAsia="宋体" w:cs="Times New Roman"/>
                <w:color w:val="auto"/>
                <w:kern w:val="0"/>
                <w:sz w:val="21"/>
                <w:szCs w:val="21"/>
                <w:highlight w:val="none"/>
              </w:rPr>
              <w:t>□</w:t>
            </w:r>
          </w:p>
        </w:tc>
        <w:tc>
          <w:tcPr>
            <w:tcW w:w="1738" w:type="dxa"/>
            <w:gridSpan w:val="7"/>
            <w:noWrap w:val="0"/>
            <w:vAlign w:val="center"/>
          </w:tcPr>
          <w:p w14:paraId="7614CBC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500～200</w:t>
            </w:r>
            <w:r>
              <w:rPr>
                <w:rFonts w:hint="default" w:ascii="Times New Roman" w:hAnsi="Times New Roman" w:eastAsia="宋体"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rPr>
              <w:t>t/a</w:t>
            </w:r>
            <w:r>
              <w:rPr>
                <w:rFonts w:hint="default" w:ascii="Times New Roman" w:hAnsi="Times New Roman" w:eastAsia="宋体" w:cs="Times New Roman"/>
                <w:color w:val="auto"/>
                <w:kern w:val="0"/>
                <w:sz w:val="21"/>
                <w:szCs w:val="21"/>
                <w:highlight w:val="none"/>
              </w:rPr>
              <w:sym w:font="Wingdings 2" w:char="00A3"/>
            </w:r>
          </w:p>
        </w:tc>
        <w:tc>
          <w:tcPr>
            <w:tcW w:w="2071" w:type="dxa"/>
            <w:gridSpan w:val="6"/>
            <w:noWrap w:val="0"/>
            <w:vAlign w:val="center"/>
          </w:tcPr>
          <w:p w14:paraId="253EBD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＜500t/a</w:t>
            </w:r>
            <w:r>
              <w:rPr>
                <w:rFonts w:hint="default" w:ascii="Times New Roman" w:hAnsi="Times New Roman" w:eastAsia="宋体" w:cs="Times New Roman"/>
                <w:color w:val="auto"/>
                <w:kern w:val="0"/>
                <w:sz w:val="21"/>
                <w:szCs w:val="21"/>
                <w:highlight w:val="none"/>
              </w:rPr>
              <w:sym w:font="Wingdings 2" w:char="0052"/>
            </w:r>
          </w:p>
        </w:tc>
      </w:tr>
      <w:tr w14:paraId="4D8FA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7FCDE04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218A80B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评价因子</w:t>
            </w:r>
          </w:p>
        </w:tc>
        <w:tc>
          <w:tcPr>
            <w:tcW w:w="3668" w:type="dxa"/>
            <w:gridSpan w:val="8"/>
            <w:noWrap w:val="0"/>
            <w:vAlign w:val="center"/>
          </w:tcPr>
          <w:p w14:paraId="244DE3B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基本污染物（PM</w:t>
            </w:r>
            <w:r>
              <w:rPr>
                <w:rFonts w:hint="default" w:ascii="Times New Roman" w:hAnsi="Times New Roman" w:eastAsia="宋体" w:cs="Times New Roman"/>
                <w:color w:val="auto"/>
                <w:sz w:val="21"/>
                <w:szCs w:val="21"/>
                <w:highlight w:val="none"/>
                <w:vertAlign w:val="subscript"/>
              </w:rPr>
              <w:t>10</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PM</w:t>
            </w:r>
            <w:r>
              <w:rPr>
                <w:rFonts w:hint="default" w:ascii="Times New Roman" w:hAnsi="Times New Roman" w:eastAsia="宋体" w:cs="Times New Roman"/>
                <w:color w:val="auto"/>
                <w:sz w:val="21"/>
                <w:szCs w:val="21"/>
                <w:highlight w:val="none"/>
                <w:vertAlign w:val="subscript"/>
                <w:lang w:val="en-US" w:eastAsia="zh-CN"/>
              </w:rPr>
              <w:t>2.5</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SO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NO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CO</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O</w:t>
            </w:r>
            <w:r>
              <w:rPr>
                <w:rFonts w:hint="default" w:ascii="Times New Roman" w:hAnsi="Times New Roman" w:eastAsia="宋体" w:cs="Times New Roman"/>
                <w:color w:val="auto"/>
                <w:sz w:val="21"/>
                <w:szCs w:val="21"/>
                <w:highlight w:val="none"/>
                <w:vertAlign w:val="subscript"/>
                <w:lang w:val="en-US" w:eastAsia="zh-CN"/>
              </w:rPr>
              <w:t>3</w:t>
            </w:r>
            <w:r>
              <w:rPr>
                <w:rFonts w:hint="default" w:ascii="Times New Roman" w:hAnsi="Times New Roman" w:eastAsia="宋体" w:cs="Times New Roman"/>
                <w:color w:val="auto"/>
                <w:sz w:val="21"/>
                <w:szCs w:val="21"/>
                <w:highlight w:val="none"/>
              </w:rPr>
              <w:t>）其他污染物（</w:t>
            </w:r>
            <w:r>
              <w:rPr>
                <w:rFonts w:hint="eastAsia" w:ascii="Times New Roman" w:eastAsia="仿宋_GB2312" w:cs="Times New Roman"/>
                <w:color w:val="auto"/>
                <w:sz w:val="21"/>
                <w:szCs w:val="21"/>
                <w:highlight w:val="none"/>
                <w:lang w:val="en-US" w:eastAsia="zh-CN"/>
              </w:rPr>
              <w:t>TS</w:t>
            </w:r>
            <w:r>
              <w:rPr>
                <w:rFonts w:hint="eastAsia" w:ascii="宋体" w:hAnsi="宋体" w:eastAsia="宋体" w:cs="宋体"/>
                <w:color w:val="auto"/>
                <w:sz w:val="21"/>
                <w:szCs w:val="21"/>
                <w:highlight w:val="none"/>
                <w:lang w:val="en-US" w:eastAsia="zh-CN"/>
              </w:rPr>
              <w:t>P、氮氧化物、</w:t>
            </w:r>
            <w:r>
              <w:rPr>
                <w:rFonts w:hint="eastAsia" w:hAnsi="宋体" w:cs="宋体"/>
                <w:color w:val="auto"/>
                <w:sz w:val="21"/>
                <w:szCs w:val="21"/>
                <w:highlight w:val="none"/>
                <w:lang w:val="en-US" w:eastAsia="zh-CN"/>
              </w:rPr>
              <w:t>氨、汞</w:t>
            </w:r>
            <w:r>
              <w:rPr>
                <w:rFonts w:hint="default" w:ascii="Times New Roman" w:eastAsia="仿宋_GB2312" w:cs="Times New Roman"/>
                <w:color w:val="auto"/>
                <w:sz w:val="21"/>
                <w:szCs w:val="21"/>
                <w:highlight w:val="none"/>
                <w:lang w:val="en-US" w:eastAsia="zh-CN"/>
              </w:rPr>
              <w:t>）</w:t>
            </w:r>
          </w:p>
        </w:tc>
        <w:tc>
          <w:tcPr>
            <w:tcW w:w="2413" w:type="dxa"/>
            <w:gridSpan w:val="8"/>
            <w:noWrap w:val="0"/>
            <w:vAlign w:val="center"/>
          </w:tcPr>
          <w:p w14:paraId="016EEA9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sz w:val="21"/>
                <w:szCs w:val="21"/>
                <w:highlight w:val="none"/>
              </w:rPr>
              <w:t>包括二次PM</w:t>
            </w:r>
            <w:r>
              <w:rPr>
                <w:rFonts w:hint="default" w:ascii="Times New Roman" w:hAnsi="Times New Roman" w:eastAsia="宋体" w:cs="Times New Roman"/>
                <w:color w:val="auto"/>
                <w:sz w:val="21"/>
                <w:szCs w:val="21"/>
                <w:highlight w:val="none"/>
                <w:vertAlign w:val="subscript"/>
              </w:rPr>
              <w:t>2.5</w:t>
            </w:r>
            <w:r>
              <w:rPr>
                <w:rFonts w:hint="default" w:ascii="Times New Roman" w:hAnsi="Times New Roman" w:eastAsia="宋体" w:cs="Times New Roman"/>
                <w:color w:val="auto"/>
                <w:kern w:val="0"/>
                <w:sz w:val="21"/>
                <w:szCs w:val="21"/>
                <w:highlight w:val="none"/>
              </w:rPr>
              <w:sym w:font="Wingdings 2" w:char="00A3"/>
            </w:r>
          </w:p>
          <w:p w14:paraId="1F44374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sz w:val="21"/>
                <w:szCs w:val="21"/>
                <w:highlight w:val="none"/>
              </w:rPr>
              <w:t>不包括二次PM</w:t>
            </w:r>
            <w:r>
              <w:rPr>
                <w:rFonts w:hint="default" w:ascii="Times New Roman" w:hAnsi="Times New Roman" w:eastAsia="宋体" w:cs="Times New Roman"/>
                <w:color w:val="auto"/>
                <w:sz w:val="21"/>
                <w:szCs w:val="21"/>
                <w:highlight w:val="none"/>
                <w:vertAlign w:val="subscript"/>
              </w:rPr>
              <w:t>2.5</w:t>
            </w:r>
            <w:r>
              <w:rPr>
                <w:rFonts w:hint="default" w:ascii="Times New Roman" w:hAnsi="Times New Roman" w:eastAsia="宋体" w:cs="Times New Roman"/>
                <w:color w:val="auto"/>
                <w:kern w:val="0"/>
                <w:sz w:val="21"/>
                <w:szCs w:val="21"/>
                <w:highlight w:val="none"/>
              </w:rPr>
              <w:sym w:font="Wingdings 2" w:char="0052"/>
            </w:r>
          </w:p>
        </w:tc>
      </w:tr>
      <w:tr w14:paraId="69D81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noWrap w:val="0"/>
            <w:vAlign w:val="center"/>
          </w:tcPr>
          <w:p w14:paraId="712D154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评价标准</w:t>
            </w:r>
          </w:p>
        </w:tc>
        <w:tc>
          <w:tcPr>
            <w:tcW w:w="1496" w:type="dxa"/>
            <w:noWrap w:val="0"/>
            <w:vAlign w:val="center"/>
          </w:tcPr>
          <w:p w14:paraId="65DD1E9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评价标准</w:t>
            </w:r>
          </w:p>
        </w:tc>
        <w:tc>
          <w:tcPr>
            <w:tcW w:w="2272" w:type="dxa"/>
            <w:gridSpan w:val="3"/>
            <w:noWrap w:val="0"/>
            <w:vAlign w:val="center"/>
          </w:tcPr>
          <w:p w14:paraId="3DF64BC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国家标准</w:t>
            </w:r>
            <w:r>
              <w:rPr>
                <w:rFonts w:hint="default" w:ascii="Times New Roman" w:hAnsi="Times New Roman" w:eastAsia="宋体" w:cs="Times New Roman"/>
                <w:color w:val="auto"/>
                <w:sz w:val="21"/>
                <w:szCs w:val="21"/>
                <w:highlight w:val="none"/>
              </w:rPr>
              <w:sym w:font="Wingdings 2" w:char="0052"/>
            </w:r>
          </w:p>
        </w:tc>
        <w:tc>
          <w:tcPr>
            <w:tcW w:w="1396" w:type="dxa"/>
            <w:gridSpan w:val="5"/>
            <w:noWrap w:val="0"/>
            <w:vAlign w:val="center"/>
          </w:tcPr>
          <w:p w14:paraId="0432630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地方标准□</w:t>
            </w:r>
          </w:p>
        </w:tc>
        <w:tc>
          <w:tcPr>
            <w:tcW w:w="1013" w:type="dxa"/>
            <w:gridSpan w:val="5"/>
            <w:noWrap w:val="0"/>
            <w:vAlign w:val="center"/>
          </w:tcPr>
          <w:p w14:paraId="741492A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附录D</w:t>
            </w:r>
            <w:r>
              <w:rPr>
                <w:rFonts w:hint="default" w:ascii="Times New Roman" w:hAnsi="Times New Roman" w:eastAsia="宋体" w:cs="Times New Roman"/>
                <w:color w:val="auto"/>
                <w:sz w:val="21"/>
                <w:szCs w:val="21"/>
                <w:highlight w:val="none"/>
              </w:rPr>
              <w:sym w:font="Wingdings 2" w:char="0052"/>
            </w:r>
          </w:p>
        </w:tc>
        <w:tc>
          <w:tcPr>
            <w:tcW w:w="1400" w:type="dxa"/>
            <w:gridSpan w:val="3"/>
            <w:noWrap w:val="0"/>
            <w:vAlign w:val="center"/>
          </w:tcPr>
          <w:p w14:paraId="28BE518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其他标准</w:t>
            </w:r>
            <w:r>
              <w:rPr>
                <w:rFonts w:hint="default" w:ascii="Times New Roman" w:hAnsi="Times New Roman" w:eastAsia="宋体" w:cs="Times New Roman"/>
                <w:color w:val="auto"/>
                <w:sz w:val="21"/>
                <w:szCs w:val="21"/>
                <w:highlight w:val="none"/>
              </w:rPr>
              <w:sym w:font="Wingdings 2" w:char="00A3"/>
            </w:r>
          </w:p>
        </w:tc>
      </w:tr>
      <w:tr w14:paraId="59C38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restart"/>
            <w:noWrap w:val="0"/>
            <w:vAlign w:val="center"/>
          </w:tcPr>
          <w:p w14:paraId="2985DFA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现状评价</w:t>
            </w:r>
          </w:p>
        </w:tc>
        <w:tc>
          <w:tcPr>
            <w:tcW w:w="1496" w:type="dxa"/>
            <w:noWrap w:val="0"/>
            <w:vAlign w:val="center"/>
          </w:tcPr>
          <w:p w14:paraId="5C755AF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环境功能区</w:t>
            </w:r>
          </w:p>
        </w:tc>
        <w:tc>
          <w:tcPr>
            <w:tcW w:w="2272" w:type="dxa"/>
            <w:gridSpan w:val="3"/>
            <w:noWrap w:val="0"/>
            <w:vAlign w:val="center"/>
          </w:tcPr>
          <w:p w14:paraId="54F7199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一类区</w:t>
            </w:r>
            <w:r>
              <w:rPr>
                <w:rFonts w:hint="default" w:ascii="Times New Roman" w:hAnsi="Times New Roman" w:eastAsia="宋体" w:cs="Times New Roman"/>
                <w:color w:val="auto"/>
                <w:sz w:val="21"/>
                <w:szCs w:val="21"/>
                <w:highlight w:val="none"/>
              </w:rPr>
              <w:sym w:font="Wingdings 2" w:char="00A3"/>
            </w:r>
          </w:p>
        </w:tc>
        <w:tc>
          <w:tcPr>
            <w:tcW w:w="1737" w:type="dxa"/>
            <w:gridSpan w:val="6"/>
            <w:noWrap w:val="0"/>
            <w:vAlign w:val="center"/>
          </w:tcPr>
          <w:p w14:paraId="6EAE01B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二类区</w:t>
            </w:r>
            <w:r>
              <w:rPr>
                <w:rFonts w:hint="default" w:ascii="Times New Roman" w:hAnsi="Times New Roman" w:eastAsia="宋体" w:cs="Times New Roman"/>
                <w:color w:val="auto"/>
                <w:sz w:val="21"/>
                <w:szCs w:val="21"/>
                <w:highlight w:val="none"/>
              </w:rPr>
              <w:sym w:font="Wingdings 2" w:char="0052"/>
            </w:r>
          </w:p>
        </w:tc>
        <w:tc>
          <w:tcPr>
            <w:tcW w:w="2072" w:type="dxa"/>
            <w:gridSpan w:val="7"/>
            <w:noWrap w:val="0"/>
            <w:vAlign w:val="center"/>
          </w:tcPr>
          <w:p w14:paraId="35FD2B2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一类区和二类区</w:t>
            </w:r>
            <w:r>
              <w:rPr>
                <w:rFonts w:hint="default" w:ascii="Times New Roman" w:hAnsi="Times New Roman" w:eastAsia="宋体" w:cs="Times New Roman"/>
                <w:color w:val="auto"/>
                <w:sz w:val="21"/>
                <w:szCs w:val="21"/>
                <w:highlight w:val="none"/>
              </w:rPr>
              <w:sym w:font="Wingdings 2" w:char="00A3"/>
            </w:r>
          </w:p>
        </w:tc>
      </w:tr>
      <w:tr w14:paraId="7444E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39412C9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5669A21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评价基准年</w:t>
            </w:r>
          </w:p>
        </w:tc>
        <w:tc>
          <w:tcPr>
            <w:tcW w:w="6081" w:type="dxa"/>
            <w:gridSpan w:val="16"/>
            <w:noWrap w:val="0"/>
            <w:vAlign w:val="center"/>
          </w:tcPr>
          <w:p w14:paraId="6881EC4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highlight w:val="none"/>
              </w:rPr>
              <w:t>（20</w:t>
            </w:r>
            <w:r>
              <w:rPr>
                <w:rFonts w:hint="eastAsia" w:ascii="Times New Roman" w:cs="Times New Roman"/>
                <w:color w:val="auto"/>
                <w:sz w:val="21"/>
                <w:szCs w:val="21"/>
                <w:highlight w:val="none"/>
                <w:lang w:val="en-US" w:eastAsia="zh-CN"/>
              </w:rPr>
              <w:t>24</w:t>
            </w:r>
            <w:r>
              <w:rPr>
                <w:rFonts w:hint="default" w:ascii="Times New Roman" w:hAnsi="Times New Roman" w:eastAsia="宋体" w:cs="Times New Roman"/>
                <w:color w:val="auto"/>
                <w:sz w:val="21"/>
                <w:szCs w:val="21"/>
                <w:highlight w:val="none"/>
              </w:rPr>
              <w:t>）年</w:t>
            </w:r>
          </w:p>
        </w:tc>
      </w:tr>
      <w:tr w14:paraId="02244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172F433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4869E9D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环境空气质量现状调查数据来源</w:t>
            </w:r>
          </w:p>
        </w:tc>
        <w:tc>
          <w:tcPr>
            <w:tcW w:w="2272" w:type="dxa"/>
            <w:gridSpan w:val="3"/>
            <w:noWrap w:val="0"/>
            <w:vAlign w:val="center"/>
          </w:tcPr>
          <w:p w14:paraId="42C4C78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长期例行监测数据</w:t>
            </w:r>
            <w:r>
              <w:rPr>
                <w:rFonts w:hint="default" w:ascii="Times New Roman" w:hAnsi="Times New Roman" w:eastAsia="宋体" w:cs="Times New Roman"/>
                <w:color w:val="auto"/>
                <w:sz w:val="21"/>
                <w:szCs w:val="21"/>
                <w:highlight w:val="none"/>
              </w:rPr>
              <w:sym w:font="Wingdings 2" w:char="00A3"/>
            </w:r>
          </w:p>
        </w:tc>
        <w:tc>
          <w:tcPr>
            <w:tcW w:w="2229" w:type="dxa"/>
            <w:gridSpan w:val="9"/>
            <w:noWrap w:val="0"/>
            <w:vAlign w:val="center"/>
          </w:tcPr>
          <w:p w14:paraId="658B08D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主管部门发布的数据</w:t>
            </w:r>
            <w:r>
              <w:rPr>
                <w:rFonts w:hint="default" w:ascii="Times New Roman" w:hAnsi="Times New Roman" w:eastAsia="宋体" w:cs="Times New Roman"/>
                <w:color w:val="auto"/>
                <w:sz w:val="21"/>
                <w:szCs w:val="21"/>
                <w:highlight w:val="none"/>
              </w:rPr>
              <w:sym w:font="Wingdings 2" w:char="0052"/>
            </w:r>
          </w:p>
        </w:tc>
        <w:tc>
          <w:tcPr>
            <w:tcW w:w="1580" w:type="dxa"/>
            <w:gridSpan w:val="4"/>
            <w:noWrap w:val="0"/>
            <w:vAlign w:val="center"/>
          </w:tcPr>
          <w:p w14:paraId="2EB42AF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现状补充监测</w:t>
            </w:r>
            <w:r>
              <w:rPr>
                <w:rFonts w:hint="default" w:ascii="Times New Roman" w:hAnsi="Times New Roman" w:eastAsia="宋体" w:cs="Times New Roman"/>
                <w:color w:val="auto"/>
                <w:sz w:val="21"/>
                <w:szCs w:val="21"/>
                <w:highlight w:val="none"/>
              </w:rPr>
              <w:sym w:font="Wingdings 2" w:char="0052"/>
            </w:r>
          </w:p>
        </w:tc>
      </w:tr>
      <w:tr w14:paraId="1BFF6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72D3864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2E100F3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现状评价</w:t>
            </w:r>
          </w:p>
        </w:tc>
        <w:tc>
          <w:tcPr>
            <w:tcW w:w="3668" w:type="dxa"/>
            <w:gridSpan w:val="8"/>
            <w:noWrap w:val="0"/>
            <w:vAlign w:val="center"/>
          </w:tcPr>
          <w:p w14:paraId="03185DA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达标区</w:t>
            </w:r>
            <w:r>
              <w:rPr>
                <w:rFonts w:hint="default" w:ascii="Times New Roman" w:hAnsi="Times New Roman" w:eastAsia="宋体" w:cs="Times New Roman"/>
                <w:color w:val="auto"/>
                <w:sz w:val="21"/>
                <w:szCs w:val="21"/>
                <w:highlight w:val="none"/>
              </w:rPr>
              <w:sym w:font="Wingdings 2" w:char="0052"/>
            </w:r>
          </w:p>
        </w:tc>
        <w:tc>
          <w:tcPr>
            <w:tcW w:w="2413" w:type="dxa"/>
            <w:gridSpan w:val="8"/>
            <w:noWrap w:val="0"/>
            <w:vAlign w:val="center"/>
          </w:tcPr>
          <w:p w14:paraId="3210D29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不达标区</w:t>
            </w:r>
            <w:r>
              <w:rPr>
                <w:rFonts w:hint="default" w:ascii="Times New Roman" w:hAnsi="Times New Roman" w:eastAsia="宋体" w:cs="Times New Roman"/>
                <w:color w:val="auto"/>
                <w:sz w:val="21"/>
                <w:szCs w:val="21"/>
                <w:highlight w:val="none"/>
              </w:rPr>
              <w:sym w:font="Wingdings 2" w:char="00A3"/>
            </w:r>
          </w:p>
        </w:tc>
      </w:tr>
      <w:tr w14:paraId="6F48A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noWrap w:val="0"/>
            <w:vAlign w:val="center"/>
          </w:tcPr>
          <w:p w14:paraId="2F094F4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污染源</w:t>
            </w:r>
          </w:p>
          <w:p w14:paraId="74AB900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调查</w:t>
            </w:r>
          </w:p>
        </w:tc>
        <w:tc>
          <w:tcPr>
            <w:tcW w:w="1496" w:type="dxa"/>
            <w:noWrap w:val="0"/>
            <w:vAlign w:val="center"/>
          </w:tcPr>
          <w:p w14:paraId="161D155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调查内容</w:t>
            </w:r>
          </w:p>
        </w:tc>
        <w:tc>
          <w:tcPr>
            <w:tcW w:w="2272" w:type="dxa"/>
            <w:gridSpan w:val="3"/>
            <w:noWrap w:val="0"/>
            <w:vAlign w:val="center"/>
          </w:tcPr>
          <w:p w14:paraId="2D34916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本项目正常排放源</w:t>
            </w:r>
            <w:r>
              <w:rPr>
                <w:rFonts w:hint="default" w:ascii="Times New Roman" w:hAnsi="Times New Roman" w:eastAsia="宋体" w:cs="Times New Roman"/>
                <w:color w:val="auto"/>
                <w:sz w:val="21"/>
                <w:szCs w:val="21"/>
                <w:highlight w:val="none"/>
              </w:rPr>
              <w:sym w:font="Wingdings 2" w:char="0052"/>
            </w:r>
          </w:p>
          <w:p w14:paraId="3511BF4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本项目非正常排放源</w:t>
            </w:r>
            <w:r>
              <w:rPr>
                <w:rFonts w:hint="default" w:ascii="Times New Roman" w:hAnsi="Times New Roman" w:eastAsia="宋体" w:cs="Times New Roman"/>
                <w:color w:val="auto"/>
                <w:sz w:val="21"/>
                <w:szCs w:val="21"/>
                <w:highlight w:val="none"/>
              </w:rPr>
              <w:sym w:font="Wingdings 2" w:char="0052"/>
            </w:r>
          </w:p>
          <w:p w14:paraId="4044BCF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现有污染源</w:t>
            </w:r>
            <w:r>
              <w:rPr>
                <w:rFonts w:hint="default" w:ascii="Times New Roman" w:hAnsi="Times New Roman" w:eastAsia="宋体" w:cs="Times New Roman"/>
                <w:color w:val="auto"/>
                <w:sz w:val="21"/>
                <w:szCs w:val="21"/>
                <w:highlight w:val="none"/>
              </w:rPr>
              <w:sym w:font="Wingdings 2" w:char="0052"/>
            </w:r>
          </w:p>
        </w:tc>
        <w:tc>
          <w:tcPr>
            <w:tcW w:w="1396" w:type="dxa"/>
            <w:gridSpan w:val="5"/>
            <w:noWrap w:val="0"/>
            <w:vAlign w:val="center"/>
          </w:tcPr>
          <w:p w14:paraId="54EE65E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拟替代的污染源</w:t>
            </w:r>
            <w:r>
              <w:rPr>
                <w:rFonts w:hint="default" w:ascii="Times New Roman" w:hAnsi="Times New Roman" w:eastAsia="宋体" w:cs="Times New Roman"/>
                <w:color w:val="auto"/>
                <w:sz w:val="21"/>
                <w:szCs w:val="21"/>
                <w:highlight w:val="none"/>
              </w:rPr>
              <w:sym w:font="Wingdings 2" w:char="0052"/>
            </w:r>
          </w:p>
        </w:tc>
        <w:tc>
          <w:tcPr>
            <w:tcW w:w="1013" w:type="dxa"/>
            <w:gridSpan w:val="5"/>
            <w:noWrap w:val="0"/>
            <w:vAlign w:val="center"/>
          </w:tcPr>
          <w:p w14:paraId="34106F6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其他在建、拟建项目污染源</w:t>
            </w:r>
            <w:r>
              <w:rPr>
                <w:rFonts w:hint="default" w:ascii="Times New Roman" w:hAnsi="Times New Roman" w:eastAsia="宋体" w:cs="Times New Roman"/>
                <w:color w:val="auto"/>
                <w:sz w:val="21"/>
                <w:szCs w:val="21"/>
                <w:highlight w:val="none"/>
              </w:rPr>
              <w:sym w:font="Wingdings 2" w:char="00A3"/>
            </w:r>
          </w:p>
        </w:tc>
        <w:tc>
          <w:tcPr>
            <w:tcW w:w="1400" w:type="dxa"/>
            <w:gridSpan w:val="3"/>
            <w:noWrap w:val="0"/>
            <w:vAlign w:val="center"/>
          </w:tcPr>
          <w:p w14:paraId="7E2F2DA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区域污染源</w:t>
            </w:r>
            <w:r>
              <w:rPr>
                <w:rFonts w:hint="default" w:ascii="Times New Roman" w:hAnsi="Times New Roman" w:eastAsia="宋体" w:cs="Times New Roman"/>
                <w:color w:val="auto"/>
                <w:sz w:val="21"/>
                <w:szCs w:val="21"/>
                <w:highlight w:val="none"/>
              </w:rPr>
              <w:sym w:font="Wingdings 2" w:char="00A3"/>
            </w:r>
          </w:p>
        </w:tc>
      </w:tr>
      <w:tr w14:paraId="4FE45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restart"/>
            <w:noWrap w:val="0"/>
            <w:vAlign w:val="center"/>
          </w:tcPr>
          <w:p w14:paraId="3A50312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大气环境影响预测与评价</w:t>
            </w:r>
          </w:p>
        </w:tc>
        <w:tc>
          <w:tcPr>
            <w:tcW w:w="1496" w:type="dxa"/>
            <w:noWrap w:val="0"/>
            <w:vAlign w:val="center"/>
          </w:tcPr>
          <w:p w14:paraId="76B80B7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预测模型</w:t>
            </w:r>
          </w:p>
        </w:tc>
        <w:tc>
          <w:tcPr>
            <w:tcW w:w="1089" w:type="dxa"/>
            <w:noWrap w:val="0"/>
            <w:vAlign w:val="center"/>
          </w:tcPr>
          <w:p w14:paraId="4CEE40F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AERMOD</w:t>
            </w:r>
            <w:r>
              <w:rPr>
                <w:rFonts w:hint="default" w:ascii="Times New Roman" w:hAnsi="Times New Roman" w:eastAsia="宋体" w:cs="Times New Roman"/>
                <w:color w:val="auto"/>
                <w:sz w:val="21"/>
                <w:szCs w:val="21"/>
                <w:highlight w:val="none"/>
              </w:rPr>
              <w:sym w:font="Wingdings 2" w:char="0052"/>
            </w:r>
          </w:p>
        </w:tc>
        <w:tc>
          <w:tcPr>
            <w:tcW w:w="1183" w:type="dxa"/>
            <w:gridSpan w:val="2"/>
            <w:noWrap w:val="0"/>
            <w:vAlign w:val="center"/>
          </w:tcPr>
          <w:p w14:paraId="080D3E3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ADMS□</w:t>
            </w:r>
          </w:p>
        </w:tc>
        <w:tc>
          <w:tcPr>
            <w:tcW w:w="621" w:type="dxa"/>
            <w:gridSpan w:val="2"/>
            <w:noWrap w:val="0"/>
            <w:vAlign w:val="center"/>
          </w:tcPr>
          <w:p w14:paraId="552253C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AUSTAL2000□</w:t>
            </w:r>
          </w:p>
        </w:tc>
        <w:tc>
          <w:tcPr>
            <w:tcW w:w="775" w:type="dxa"/>
            <w:gridSpan w:val="3"/>
            <w:noWrap w:val="0"/>
            <w:vAlign w:val="center"/>
          </w:tcPr>
          <w:p w14:paraId="3CA3863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EDMS/AEDT□</w:t>
            </w:r>
          </w:p>
        </w:tc>
        <w:tc>
          <w:tcPr>
            <w:tcW w:w="832" w:type="dxa"/>
            <w:gridSpan w:val="3"/>
            <w:noWrap w:val="0"/>
            <w:vAlign w:val="center"/>
          </w:tcPr>
          <w:p w14:paraId="13DD058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CALPUFF□</w:t>
            </w:r>
          </w:p>
        </w:tc>
        <w:tc>
          <w:tcPr>
            <w:tcW w:w="645" w:type="dxa"/>
            <w:gridSpan w:val="4"/>
            <w:noWrap w:val="0"/>
            <w:vAlign w:val="center"/>
          </w:tcPr>
          <w:p w14:paraId="19CDE52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网络</w:t>
            </w:r>
          </w:p>
          <w:p w14:paraId="7AFE996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模型</w:t>
            </w:r>
          </w:p>
          <w:p w14:paraId="1FB5642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936" w:type="dxa"/>
            <w:noWrap w:val="0"/>
            <w:vAlign w:val="center"/>
          </w:tcPr>
          <w:p w14:paraId="5BE377E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其他</w:t>
            </w:r>
          </w:p>
          <w:p w14:paraId="54E3A1D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r>
      <w:tr w14:paraId="0C6C4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0D10DB9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6F304ED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预测范围</w:t>
            </w:r>
          </w:p>
        </w:tc>
        <w:tc>
          <w:tcPr>
            <w:tcW w:w="2272" w:type="dxa"/>
            <w:gridSpan w:val="3"/>
            <w:noWrap w:val="0"/>
            <w:vAlign w:val="center"/>
          </w:tcPr>
          <w:p w14:paraId="2A91D06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边长≥50km□</w:t>
            </w:r>
          </w:p>
        </w:tc>
        <w:tc>
          <w:tcPr>
            <w:tcW w:w="1737" w:type="dxa"/>
            <w:gridSpan w:val="6"/>
            <w:noWrap w:val="0"/>
            <w:vAlign w:val="center"/>
          </w:tcPr>
          <w:p w14:paraId="6BE03EB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边长5～50km</w:t>
            </w:r>
            <w:r>
              <w:rPr>
                <w:rFonts w:hint="default" w:ascii="Times New Roman" w:hAnsi="Times New Roman" w:eastAsia="宋体" w:cs="Times New Roman"/>
                <w:color w:val="auto"/>
                <w:sz w:val="21"/>
                <w:szCs w:val="21"/>
                <w:highlight w:val="none"/>
              </w:rPr>
              <w:sym w:font="Wingdings 2" w:char="0052"/>
            </w:r>
          </w:p>
        </w:tc>
        <w:tc>
          <w:tcPr>
            <w:tcW w:w="2072" w:type="dxa"/>
            <w:gridSpan w:val="7"/>
            <w:noWrap w:val="0"/>
            <w:vAlign w:val="center"/>
          </w:tcPr>
          <w:p w14:paraId="56F6E9A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边长=5km</w:t>
            </w:r>
            <w:r>
              <w:rPr>
                <w:rFonts w:hint="default" w:ascii="Times New Roman" w:hAnsi="Times New Roman" w:eastAsia="宋体" w:cs="Times New Roman"/>
                <w:color w:val="auto"/>
                <w:sz w:val="21"/>
                <w:szCs w:val="21"/>
                <w:highlight w:val="none"/>
              </w:rPr>
              <w:sym w:font="Wingdings 2" w:char="00A3"/>
            </w:r>
          </w:p>
        </w:tc>
      </w:tr>
      <w:tr w14:paraId="2514C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67563A7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1E6085D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预测因子</w:t>
            </w:r>
          </w:p>
        </w:tc>
        <w:tc>
          <w:tcPr>
            <w:tcW w:w="3585" w:type="dxa"/>
            <w:gridSpan w:val="7"/>
            <w:noWrap w:val="0"/>
            <w:vAlign w:val="center"/>
          </w:tcPr>
          <w:p w14:paraId="0D7DD9A1">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预测因子（PM</w:t>
            </w:r>
            <w:r>
              <w:rPr>
                <w:rFonts w:hint="default" w:ascii="Times New Roman" w:hAnsi="Times New Roman" w:eastAsia="宋体" w:cs="Times New Roman"/>
                <w:color w:val="auto"/>
                <w:sz w:val="21"/>
                <w:szCs w:val="21"/>
                <w:highlight w:val="none"/>
                <w:vertAlign w:val="subscript"/>
              </w:rPr>
              <w:t>10</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PM</w:t>
            </w:r>
            <w:r>
              <w:rPr>
                <w:rFonts w:hint="default" w:ascii="Times New Roman" w:hAnsi="Times New Roman" w:eastAsia="宋体" w:cs="Times New Roman"/>
                <w:color w:val="auto"/>
                <w:sz w:val="21"/>
                <w:szCs w:val="21"/>
                <w:highlight w:val="none"/>
                <w:vertAlign w:val="subscript"/>
                <w:lang w:val="en-US" w:eastAsia="zh-CN"/>
              </w:rPr>
              <w:t>2.5</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SO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NO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eastAsia="zh-CN"/>
              </w:rPr>
              <w:t>、</w:t>
            </w:r>
            <w:r>
              <w:rPr>
                <w:rFonts w:hint="eastAsia" w:ascii="Times New Roman" w:eastAsia="仿宋_GB2312" w:cs="Times New Roman"/>
                <w:color w:val="auto"/>
                <w:sz w:val="21"/>
                <w:szCs w:val="21"/>
                <w:highlight w:val="none"/>
                <w:lang w:val="en-US" w:eastAsia="zh-CN"/>
              </w:rPr>
              <w:t>TSP</w:t>
            </w:r>
            <w:r>
              <w:rPr>
                <w:rFonts w:hint="eastAsia" w:ascii="宋体" w:hAnsi="宋体" w:eastAsia="宋体" w:cs="宋体"/>
                <w:color w:val="auto"/>
                <w:sz w:val="21"/>
                <w:szCs w:val="21"/>
                <w:highlight w:val="none"/>
                <w:lang w:val="en-US" w:eastAsia="zh-CN"/>
              </w:rPr>
              <w:t>、</w:t>
            </w:r>
            <w:r>
              <w:rPr>
                <w:rFonts w:hint="eastAsia" w:hAnsi="宋体" w:cs="宋体"/>
                <w:color w:val="auto"/>
                <w:sz w:val="21"/>
                <w:szCs w:val="21"/>
                <w:highlight w:val="none"/>
                <w:lang w:val="en-US" w:eastAsia="zh-CN"/>
              </w:rPr>
              <w:t>氨、汞</w:t>
            </w:r>
            <w:r>
              <w:rPr>
                <w:rFonts w:hint="default" w:ascii="Times New Roman" w:hAnsi="Times New Roman" w:eastAsia="宋体" w:cs="Times New Roman"/>
                <w:color w:val="auto"/>
                <w:sz w:val="21"/>
                <w:szCs w:val="21"/>
                <w:highlight w:val="none"/>
              </w:rPr>
              <w:t>）</w:t>
            </w:r>
          </w:p>
        </w:tc>
        <w:tc>
          <w:tcPr>
            <w:tcW w:w="2496" w:type="dxa"/>
            <w:gridSpan w:val="9"/>
            <w:noWrap w:val="0"/>
            <w:vAlign w:val="center"/>
          </w:tcPr>
          <w:p w14:paraId="0A0D7C2B">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sz w:val="21"/>
                <w:szCs w:val="21"/>
                <w:highlight w:val="none"/>
              </w:rPr>
              <w:t>包括二次PM</w:t>
            </w:r>
            <w:r>
              <w:rPr>
                <w:rFonts w:hint="default" w:ascii="Times New Roman" w:hAnsi="Times New Roman" w:eastAsia="宋体" w:cs="Times New Roman"/>
                <w:color w:val="auto"/>
                <w:sz w:val="21"/>
                <w:szCs w:val="21"/>
                <w:highlight w:val="none"/>
                <w:vertAlign w:val="subscript"/>
              </w:rPr>
              <w:t>2.5</w:t>
            </w:r>
            <w:r>
              <w:rPr>
                <w:rFonts w:hint="default" w:ascii="Times New Roman" w:hAnsi="Times New Roman" w:eastAsia="宋体" w:cs="Times New Roman"/>
                <w:color w:val="auto"/>
                <w:kern w:val="0"/>
                <w:sz w:val="21"/>
                <w:szCs w:val="21"/>
                <w:highlight w:val="none"/>
              </w:rPr>
              <w:sym w:font="Wingdings 2" w:char="00A3"/>
            </w:r>
          </w:p>
          <w:p w14:paraId="280C15A0">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不包括二次PM</w:t>
            </w:r>
            <w:r>
              <w:rPr>
                <w:rFonts w:hint="default" w:ascii="Times New Roman" w:hAnsi="Times New Roman" w:eastAsia="宋体" w:cs="Times New Roman"/>
                <w:color w:val="auto"/>
                <w:sz w:val="21"/>
                <w:szCs w:val="21"/>
                <w:highlight w:val="none"/>
                <w:vertAlign w:val="subscript"/>
              </w:rPr>
              <w:t>2.5</w:t>
            </w:r>
            <w:r>
              <w:rPr>
                <w:rFonts w:hint="default" w:ascii="Times New Roman" w:hAnsi="Times New Roman" w:eastAsia="宋体" w:cs="Times New Roman"/>
                <w:color w:val="auto"/>
                <w:kern w:val="0"/>
                <w:sz w:val="21"/>
                <w:szCs w:val="21"/>
                <w:highlight w:val="none"/>
              </w:rPr>
              <w:sym w:font="Wingdings 2" w:char="0052"/>
            </w:r>
          </w:p>
        </w:tc>
      </w:tr>
      <w:tr w14:paraId="08F9D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0710AA1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3E59B27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正常排放短期浓度贡献值</w:t>
            </w:r>
          </w:p>
        </w:tc>
        <w:tc>
          <w:tcPr>
            <w:tcW w:w="3585" w:type="dxa"/>
            <w:gridSpan w:val="7"/>
            <w:noWrap w:val="0"/>
            <w:vAlign w:val="center"/>
          </w:tcPr>
          <w:p w14:paraId="0C8556E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最大占标率≤100%</w:t>
            </w:r>
            <w:r>
              <w:rPr>
                <w:rFonts w:hint="default" w:ascii="Times New Roman" w:hAnsi="Times New Roman" w:eastAsia="宋体" w:cs="Times New Roman"/>
                <w:color w:val="auto"/>
                <w:kern w:val="0"/>
                <w:sz w:val="21"/>
                <w:szCs w:val="21"/>
                <w:highlight w:val="none"/>
              </w:rPr>
              <w:sym w:font="Wingdings 2" w:char="0052"/>
            </w:r>
          </w:p>
        </w:tc>
        <w:tc>
          <w:tcPr>
            <w:tcW w:w="2496" w:type="dxa"/>
            <w:gridSpan w:val="9"/>
            <w:noWrap w:val="0"/>
            <w:vAlign w:val="center"/>
          </w:tcPr>
          <w:p w14:paraId="32E4194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最大占标率＞100%</w:t>
            </w:r>
            <w:r>
              <w:rPr>
                <w:rFonts w:hint="default" w:ascii="Times New Roman" w:hAnsi="Times New Roman" w:eastAsia="宋体" w:cs="Times New Roman"/>
                <w:color w:val="auto"/>
                <w:kern w:val="0"/>
                <w:sz w:val="21"/>
                <w:szCs w:val="21"/>
                <w:highlight w:val="none"/>
              </w:rPr>
              <w:t>□</w:t>
            </w:r>
          </w:p>
        </w:tc>
      </w:tr>
      <w:tr w14:paraId="3E408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3FB1B84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vMerge w:val="restart"/>
            <w:noWrap w:val="0"/>
            <w:vAlign w:val="center"/>
          </w:tcPr>
          <w:p w14:paraId="2AF607E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正常排放年均浓度贡献值</w:t>
            </w:r>
          </w:p>
        </w:tc>
        <w:tc>
          <w:tcPr>
            <w:tcW w:w="1089" w:type="dxa"/>
            <w:noWrap w:val="0"/>
            <w:vAlign w:val="center"/>
          </w:tcPr>
          <w:p w14:paraId="51C6C8B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一类区</w:t>
            </w:r>
          </w:p>
        </w:tc>
        <w:tc>
          <w:tcPr>
            <w:tcW w:w="2496" w:type="dxa"/>
            <w:gridSpan w:val="6"/>
            <w:noWrap w:val="0"/>
            <w:vAlign w:val="center"/>
          </w:tcPr>
          <w:p w14:paraId="4CD2EC6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最大占标率≤10%</w:t>
            </w:r>
            <w:r>
              <w:rPr>
                <w:rFonts w:hint="default" w:ascii="Times New Roman" w:hAnsi="Times New Roman" w:eastAsia="宋体" w:cs="Times New Roman"/>
                <w:color w:val="auto"/>
                <w:kern w:val="0"/>
                <w:sz w:val="21"/>
                <w:szCs w:val="21"/>
                <w:highlight w:val="none"/>
              </w:rPr>
              <w:sym w:font="Wingdings 2" w:char="00A3"/>
            </w:r>
          </w:p>
        </w:tc>
        <w:tc>
          <w:tcPr>
            <w:tcW w:w="2496" w:type="dxa"/>
            <w:gridSpan w:val="9"/>
            <w:noWrap w:val="0"/>
            <w:vAlign w:val="center"/>
          </w:tcPr>
          <w:p w14:paraId="315ABF4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最大占标率＞10%</w:t>
            </w:r>
            <w:r>
              <w:rPr>
                <w:rFonts w:hint="default" w:ascii="Times New Roman" w:hAnsi="Times New Roman" w:eastAsia="宋体" w:cs="Times New Roman"/>
                <w:color w:val="auto"/>
                <w:kern w:val="0"/>
                <w:sz w:val="21"/>
                <w:szCs w:val="21"/>
                <w:highlight w:val="none"/>
              </w:rPr>
              <w:t>□</w:t>
            </w:r>
          </w:p>
        </w:tc>
      </w:tr>
      <w:tr w14:paraId="35355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24B3042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vMerge w:val="continue"/>
            <w:noWrap w:val="0"/>
            <w:vAlign w:val="center"/>
          </w:tcPr>
          <w:p w14:paraId="6CB99B6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089" w:type="dxa"/>
            <w:noWrap w:val="0"/>
            <w:vAlign w:val="center"/>
          </w:tcPr>
          <w:p w14:paraId="18CED16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二类区</w:t>
            </w:r>
          </w:p>
        </w:tc>
        <w:tc>
          <w:tcPr>
            <w:tcW w:w="2496" w:type="dxa"/>
            <w:gridSpan w:val="6"/>
            <w:noWrap w:val="0"/>
            <w:vAlign w:val="center"/>
          </w:tcPr>
          <w:p w14:paraId="5FCF408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最大占标率≤30%</w:t>
            </w:r>
            <w:r>
              <w:rPr>
                <w:rFonts w:hint="default" w:ascii="Times New Roman" w:hAnsi="Times New Roman" w:eastAsia="宋体" w:cs="Times New Roman"/>
                <w:color w:val="auto"/>
                <w:kern w:val="0"/>
                <w:sz w:val="21"/>
                <w:szCs w:val="21"/>
                <w:highlight w:val="none"/>
              </w:rPr>
              <w:sym w:font="Wingdings 2" w:char="0052"/>
            </w:r>
          </w:p>
        </w:tc>
        <w:tc>
          <w:tcPr>
            <w:tcW w:w="2496" w:type="dxa"/>
            <w:gridSpan w:val="9"/>
            <w:noWrap w:val="0"/>
            <w:vAlign w:val="center"/>
          </w:tcPr>
          <w:p w14:paraId="2AD1FC7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最大占标率＞30%</w:t>
            </w:r>
            <w:r>
              <w:rPr>
                <w:rFonts w:hint="default" w:ascii="Times New Roman" w:hAnsi="Times New Roman" w:eastAsia="宋体" w:cs="Times New Roman"/>
                <w:color w:val="auto"/>
                <w:kern w:val="0"/>
                <w:sz w:val="21"/>
                <w:szCs w:val="21"/>
                <w:highlight w:val="none"/>
              </w:rPr>
              <w:t>□</w:t>
            </w:r>
          </w:p>
        </w:tc>
      </w:tr>
      <w:tr w14:paraId="62F4D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5718981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7E58336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非正常排放1h浓度贡献值</w:t>
            </w:r>
          </w:p>
        </w:tc>
        <w:tc>
          <w:tcPr>
            <w:tcW w:w="2272" w:type="dxa"/>
            <w:gridSpan w:val="3"/>
            <w:noWrap w:val="0"/>
            <w:vAlign w:val="center"/>
          </w:tcPr>
          <w:p w14:paraId="7EB3C61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非正常持续时长（</w:t>
            </w:r>
            <w:r>
              <w:rPr>
                <w:rFonts w:hint="eastAsia" w:ascii="Times New Roman" w:hAnsi="Times New Roman" w:eastAsia="宋体"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）h</w:t>
            </w:r>
          </w:p>
        </w:tc>
        <w:tc>
          <w:tcPr>
            <w:tcW w:w="1738" w:type="dxa"/>
            <w:gridSpan w:val="7"/>
            <w:noWrap w:val="0"/>
            <w:vAlign w:val="center"/>
          </w:tcPr>
          <w:p w14:paraId="37B640B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最大占标率≤100%</w:t>
            </w:r>
            <w:r>
              <w:rPr>
                <w:rFonts w:hint="default" w:ascii="Times New Roman" w:hAnsi="Times New Roman" w:eastAsia="宋体" w:cs="Times New Roman"/>
                <w:color w:val="auto"/>
                <w:kern w:val="0"/>
                <w:sz w:val="21"/>
                <w:szCs w:val="21"/>
                <w:highlight w:val="none"/>
              </w:rPr>
              <w:sym w:font="Wingdings 2" w:char="0052"/>
            </w:r>
          </w:p>
        </w:tc>
        <w:tc>
          <w:tcPr>
            <w:tcW w:w="2071" w:type="dxa"/>
            <w:gridSpan w:val="6"/>
            <w:noWrap w:val="0"/>
            <w:vAlign w:val="center"/>
          </w:tcPr>
          <w:p w14:paraId="658EF3E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本项目</w:t>
            </w:r>
            <w:r>
              <w:rPr>
                <w:rFonts w:hint="default" w:ascii="Times New Roman" w:hAnsi="Times New Roman" w:eastAsia="宋体" w:cs="Times New Roman"/>
                <w:color w:val="auto"/>
                <w:sz w:val="21"/>
                <w:szCs w:val="21"/>
                <w:highlight w:val="none"/>
              </w:rPr>
              <w:t>最大占标率＞100%</w:t>
            </w:r>
            <w:r>
              <w:rPr>
                <w:rFonts w:hint="default" w:ascii="Times New Roman" w:hAnsi="Times New Roman" w:eastAsia="宋体" w:cs="Times New Roman"/>
                <w:color w:val="auto"/>
                <w:kern w:val="0"/>
                <w:sz w:val="21"/>
                <w:szCs w:val="21"/>
                <w:highlight w:val="none"/>
              </w:rPr>
              <w:t>□</w:t>
            </w:r>
          </w:p>
        </w:tc>
      </w:tr>
      <w:tr w14:paraId="71F35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27621C9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48FFBFA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保证率日平均浓度和年平均浓度叠加值</w:t>
            </w:r>
          </w:p>
        </w:tc>
        <w:tc>
          <w:tcPr>
            <w:tcW w:w="3042" w:type="dxa"/>
            <w:gridSpan w:val="6"/>
            <w:noWrap w:val="0"/>
            <w:vAlign w:val="center"/>
          </w:tcPr>
          <w:p w14:paraId="3E76D82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叠加</w:t>
            </w:r>
            <w:r>
              <w:rPr>
                <w:rFonts w:hint="default" w:ascii="Times New Roman" w:hAnsi="Times New Roman" w:eastAsia="宋体" w:cs="Times New Roman"/>
                <w:color w:val="auto"/>
                <w:sz w:val="21"/>
                <w:szCs w:val="21"/>
                <w:highlight w:val="none"/>
              </w:rPr>
              <w:t>达标</w:t>
            </w:r>
            <w:r>
              <w:rPr>
                <w:rFonts w:hint="default" w:ascii="Times New Roman" w:hAnsi="Times New Roman" w:eastAsia="宋体" w:cs="Times New Roman"/>
                <w:color w:val="auto"/>
                <w:kern w:val="0"/>
                <w:sz w:val="21"/>
                <w:szCs w:val="21"/>
                <w:highlight w:val="none"/>
              </w:rPr>
              <w:sym w:font="Wingdings 2" w:char="0052"/>
            </w:r>
          </w:p>
        </w:tc>
        <w:tc>
          <w:tcPr>
            <w:tcW w:w="3039" w:type="dxa"/>
            <w:gridSpan w:val="10"/>
            <w:noWrap w:val="0"/>
            <w:vAlign w:val="center"/>
          </w:tcPr>
          <w:p w14:paraId="4920152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w:t>
            </w:r>
            <w:r>
              <w:rPr>
                <w:rFonts w:hint="default" w:ascii="Times New Roman" w:hAnsi="Times New Roman" w:eastAsia="宋体" w:cs="Times New Roman"/>
                <w:color w:val="auto"/>
                <w:sz w:val="21"/>
                <w:szCs w:val="21"/>
                <w:highlight w:val="none"/>
                <w:vertAlign w:val="subscript"/>
              </w:rPr>
              <w:t>叠加</w:t>
            </w:r>
            <w:r>
              <w:rPr>
                <w:rFonts w:hint="default" w:ascii="Times New Roman" w:hAnsi="Times New Roman" w:eastAsia="宋体" w:cs="Times New Roman"/>
                <w:color w:val="auto"/>
                <w:sz w:val="21"/>
                <w:szCs w:val="21"/>
                <w:highlight w:val="none"/>
              </w:rPr>
              <w:t>不达标</w:t>
            </w:r>
            <w:r>
              <w:rPr>
                <w:rFonts w:hint="default" w:ascii="Times New Roman" w:hAnsi="Times New Roman" w:eastAsia="宋体" w:cs="Times New Roman"/>
                <w:color w:val="auto"/>
                <w:kern w:val="0"/>
                <w:sz w:val="21"/>
                <w:szCs w:val="21"/>
                <w:highlight w:val="none"/>
              </w:rPr>
              <w:t>□</w:t>
            </w:r>
          </w:p>
        </w:tc>
      </w:tr>
      <w:tr w14:paraId="5F580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5E826F8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34664D7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区域环境质量的整体变化情况</w:t>
            </w:r>
          </w:p>
        </w:tc>
        <w:tc>
          <w:tcPr>
            <w:tcW w:w="3042" w:type="dxa"/>
            <w:gridSpan w:val="6"/>
            <w:noWrap w:val="0"/>
            <w:vAlign w:val="center"/>
          </w:tcPr>
          <w:p w14:paraId="104427F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k≤-20%</w:t>
            </w:r>
            <w:r>
              <w:rPr>
                <w:rFonts w:hint="default" w:ascii="Times New Roman" w:hAnsi="Times New Roman" w:eastAsia="宋体" w:cs="Times New Roman"/>
                <w:color w:val="auto"/>
                <w:kern w:val="0"/>
                <w:sz w:val="21"/>
                <w:szCs w:val="21"/>
                <w:highlight w:val="none"/>
              </w:rPr>
              <w:sym w:font="Wingdings 2" w:char="00A3"/>
            </w:r>
          </w:p>
        </w:tc>
        <w:tc>
          <w:tcPr>
            <w:tcW w:w="3039" w:type="dxa"/>
            <w:gridSpan w:val="10"/>
            <w:noWrap w:val="0"/>
            <w:vAlign w:val="center"/>
          </w:tcPr>
          <w:p w14:paraId="5E479CB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k＞-20%</w:t>
            </w:r>
            <w:r>
              <w:rPr>
                <w:rFonts w:hint="default" w:ascii="Times New Roman" w:hAnsi="Times New Roman" w:eastAsia="宋体" w:cs="Times New Roman"/>
                <w:color w:val="auto"/>
                <w:kern w:val="0"/>
                <w:sz w:val="21"/>
                <w:szCs w:val="21"/>
                <w:highlight w:val="none"/>
              </w:rPr>
              <w:t>□</w:t>
            </w:r>
          </w:p>
        </w:tc>
      </w:tr>
      <w:tr w14:paraId="33898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restart"/>
            <w:noWrap w:val="0"/>
            <w:vAlign w:val="center"/>
          </w:tcPr>
          <w:p w14:paraId="5F7F85DA">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环境监测计划</w:t>
            </w:r>
          </w:p>
        </w:tc>
        <w:tc>
          <w:tcPr>
            <w:tcW w:w="1496" w:type="dxa"/>
            <w:noWrap w:val="0"/>
            <w:vAlign w:val="center"/>
          </w:tcPr>
          <w:p w14:paraId="202B889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污染源监测</w:t>
            </w:r>
          </w:p>
        </w:tc>
        <w:tc>
          <w:tcPr>
            <w:tcW w:w="2528" w:type="dxa"/>
            <w:gridSpan w:val="4"/>
            <w:noWrap w:val="0"/>
            <w:vAlign w:val="center"/>
          </w:tcPr>
          <w:p w14:paraId="5845F0D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监测因子：</w:t>
            </w:r>
          </w:p>
          <w:p w14:paraId="0061F06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（PM</w:t>
            </w:r>
            <w:r>
              <w:rPr>
                <w:rFonts w:hint="default" w:ascii="Times New Roman" w:hAnsi="Times New Roman" w:eastAsia="宋体" w:cs="Times New Roman"/>
                <w:color w:val="auto"/>
                <w:sz w:val="21"/>
                <w:szCs w:val="21"/>
                <w:highlight w:val="none"/>
                <w:vertAlign w:val="subscript"/>
              </w:rPr>
              <w:t>10</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PM</w:t>
            </w:r>
            <w:r>
              <w:rPr>
                <w:rFonts w:hint="default" w:ascii="Times New Roman" w:hAnsi="Times New Roman" w:eastAsia="宋体" w:cs="Times New Roman"/>
                <w:color w:val="auto"/>
                <w:sz w:val="21"/>
                <w:szCs w:val="21"/>
                <w:highlight w:val="none"/>
                <w:vertAlign w:val="subscript"/>
                <w:lang w:val="en-US" w:eastAsia="zh-CN"/>
              </w:rPr>
              <w:t>2.5</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SO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NO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eastAsia="zh-CN"/>
              </w:rPr>
              <w:t>、</w:t>
            </w:r>
            <w:r>
              <w:rPr>
                <w:rFonts w:hint="eastAsia" w:ascii="Times New Roman" w:eastAsia="仿宋_GB2312" w:cs="Times New Roman"/>
                <w:color w:val="auto"/>
                <w:sz w:val="21"/>
                <w:szCs w:val="21"/>
                <w:highlight w:val="none"/>
                <w:lang w:val="en-US" w:eastAsia="zh-CN"/>
              </w:rPr>
              <w:t>TS</w:t>
            </w:r>
            <w:r>
              <w:rPr>
                <w:rFonts w:hint="eastAsia" w:ascii="宋体" w:hAnsi="宋体" w:eastAsia="宋体" w:cs="宋体"/>
                <w:color w:val="auto"/>
                <w:sz w:val="21"/>
                <w:szCs w:val="21"/>
                <w:highlight w:val="none"/>
                <w:lang w:val="en-US" w:eastAsia="zh-CN"/>
              </w:rPr>
              <w:t>P、</w:t>
            </w:r>
            <w:r>
              <w:rPr>
                <w:rFonts w:hint="eastAsia" w:hAnsi="宋体" w:cs="宋体"/>
                <w:color w:val="auto"/>
                <w:sz w:val="21"/>
                <w:szCs w:val="21"/>
                <w:highlight w:val="none"/>
                <w:lang w:val="en-US" w:eastAsia="zh-CN"/>
              </w:rPr>
              <w:t>氨、汞及其化合物</w:t>
            </w:r>
            <w:r>
              <w:rPr>
                <w:rFonts w:hint="default" w:ascii="Times New Roman" w:hAnsi="Times New Roman" w:eastAsia="宋体" w:cs="Times New Roman"/>
                <w:color w:val="auto"/>
                <w:sz w:val="21"/>
                <w:szCs w:val="21"/>
                <w:highlight w:val="none"/>
              </w:rPr>
              <w:t>）</w:t>
            </w:r>
          </w:p>
        </w:tc>
        <w:tc>
          <w:tcPr>
            <w:tcW w:w="2406" w:type="dxa"/>
            <w:gridSpan w:val="10"/>
            <w:noWrap w:val="0"/>
            <w:vAlign w:val="center"/>
          </w:tcPr>
          <w:p w14:paraId="5CD2B6D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sz w:val="21"/>
                <w:szCs w:val="21"/>
                <w:highlight w:val="none"/>
              </w:rPr>
              <w:t>有组织废气监测</w:t>
            </w:r>
            <w:r>
              <w:rPr>
                <w:rFonts w:hint="default" w:ascii="Times New Roman" w:hAnsi="Times New Roman" w:eastAsia="宋体" w:cs="Times New Roman"/>
                <w:color w:val="auto"/>
                <w:kern w:val="0"/>
                <w:sz w:val="21"/>
                <w:szCs w:val="21"/>
                <w:highlight w:val="none"/>
              </w:rPr>
              <w:sym w:font="Wingdings 2" w:char="0052"/>
            </w:r>
          </w:p>
          <w:p w14:paraId="606ECBB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无组织废气监测</w:t>
            </w:r>
            <w:r>
              <w:rPr>
                <w:rFonts w:hint="default" w:ascii="Times New Roman" w:hAnsi="Times New Roman" w:eastAsia="宋体" w:cs="Times New Roman"/>
                <w:color w:val="auto"/>
                <w:kern w:val="0"/>
                <w:sz w:val="21"/>
                <w:szCs w:val="21"/>
                <w:highlight w:val="none"/>
              </w:rPr>
              <w:sym w:font="Wingdings 2" w:char="0052"/>
            </w:r>
          </w:p>
        </w:tc>
        <w:tc>
          <w:tcPr>
            <w:tcW w:w="1147" w:type="dxa"/>
            <w:gridSpan w:val="2"/>
            <w:noWrap w:val="0"/>
            <w:vAlign w:val="center"/>
          </w:tcPr>
          <w:p w14:paraId="1881B11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无检测</w:t>
            </w:r>
            <w:r>
              <w:rPr>
                <w:rFonts w:hint="default" w:ascii="Times New Roman" w:hAnsi="Times New Roman" w:eastAsia="宋体" w:cs="Times New Roman"/>
                <w:color w:val="auto"/>
                <w:kern w:val="0"/>
                <w:sz w:val="21"/>
                <w:szCs w:val="21"/>
                <w:highlight w:val="none"/>
              </w:rPr>
              <w:t>□</w:t>
            </w:r>
          </w:p>
        </w:tc>
      </w:tr>
      <w:tr w14:paraId="1EF02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69A4213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1F416CC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环境质量监测</w:t>
            </w:r>
          </w:p>
        </w:tc>
        <w:tc>
          <w:tcPr>
            <w:tcW w:w="2528" w:type="dxa"/>
            <w:gridSpan w:val="4"/>
            <w:noWrap w:val="0"/>
            <w:vAlign w:val="center"/>
          </w:tcPr>
          <w:p w14:paraId="6FCFD0F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监测因子：（</w:t>
            </w:r>
            <w:r>
              <w:rPr>
                <w:rFonts w:hint="eastAsia" w:hAnsi="宋体" w:cs="宋体"/>
                <w:color w:val="auto"/>
                <w:sz w:val="21"/>
                <w:szCs w:val="21"/>
                <w:highlight w:val="none"/>
                <w:lang w:val="en-US" w:eastAsia="zh-CN"/>
              </w:rPr>
              <w:t>氨</w:t>
            </w:r>
            <w:r>
              <w:rPr>
                <w:rFonts w:hint="default" w:ascii="Times New Roman" w:hAnsi="Times New Roman" w:eastAsia="宋体" w:cs="Times New Roman"/>
                <w:color w:val="auto"/>
                <w:sz w:val="21"/>
                <w:szCs w:val="21"/>
                <w:highlight w:val="none"/>
              </w:rPr>
              <w:t>）</w:t>
            </w:r>
          </w:p>
        </w:tc>
        <w:tc>
          <w:tcPr>
            <w:tcW w:w="2406" w:type="dxa"/>
            <w:gridSpan w:val="10"/>
            <w:noWrap w:val="0"/>
            <w:vAlign w:val="center"/>
          </w:tcPr>
          <w:p w14:paraId="398F6D5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监测点位数（</w:t>
            </w:r>
            <w:r>
              <w:rPr>
                <w:rFonts w:hint="eastAsia" w:ascii="Times New Roman" w:hAnsi="Times New Roman" w:eastAsia="宋体"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w:t>
            </w:r>
          </w:p>
        </w:tc>
        <w:tc>
          <w:tcPr>
            <w:tcW w:w="1147" w:type="dxa"/>
            <w:gridSpan w:val="2"/>
            <w:noWrap w:val="0"/>
            <w:vAlign w:val="center"/>
          </w:tcPr>
          <w:p w14:paraId="7634750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无检测</w:t>
            </w:r>
            <w:r>
              <w:rPr>
                <w:rFonts w:hint="default" w:ascii="Times New Roman" w:hAnsi="Times New Roman" w:eastAsia="宋体" w:cs="Times New Roman"/>
                <w:color w:val="auto"/>
                <w:kern w:val="0"/>
                <w:sz w:val="21"/>
                <w:szCs w:val="21"/>
                <w:highlight w:val="none"/>
              </w:rPr>
              <w:t>□</w:t>
            </w:r>
          </w:p>
        </w:tc>
      </w:tr>
      <w:tr w14:paraId="4CA4B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restart"/>
            <w:noWrap w:val="0"/>
            <w:vAlign w:val="center"/>
          </w:tcPr>
          <w:p w14:paraId="14DD44D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评价</w:t>
            </w:r>
          </w:p>
          <w:p w14:paraId="0E2259F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结论</w:t>
            </w:r>
          </w:p>
        </w:tc>
        <w:tc>
          <w:tcPr>
            <w:tcW w:w="1496" w:type="dxa"/>
            <w:noWrap w:val="0"/>
            <w:vAlign w:val="center"/>
          </w:tcPr>
          <w:p w14:paraId="3BDBDA8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环境影响</w:t>
            </w:r>
          </w:p>
        </w:tc>
        <w:tc>
          <w:tcPr>
            <w:tcW w:w="6081" w:type="dxa"/>
            <w:gridSpan w:val="16"/>
            <w:noWrap w:val="0"/>
            <w:vAlign w:val="center"/>
          </w:tcPr>
          <w:p w14:paraId="53E7335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可以接受</w:t>
            </w:r>
            <w:r>
              <w:rPr>
                <w:rFonts w:hint="default" w:ascii="Times New Roman" w:hAnsi="Times New Roman" w:eastAsia="宋体" w:cs="Times New Roman"/>
                <w:color w:val="auto"/>
                <w:kern w:val="0"/>
                <w:sz w:val="21"/>
                <w:szCs w:val="21"/>
                <w:highlight w:val="none"/>
              </w:rPr>
              <w:sym w:font="Wingdings 2" w:char="0052"/>
            </w:r>
            <w:r>
              <w:rPr>
                <w:rFonts w:hint="default" w:ascii="Times New Roman" w:hAnsi="Times New Roman" w:eastAsia="宋体" w:cs="Times New Roman"/>
                <w:color w:val="auto"/>
                <w:kern w:val="0"/>
                <w:sz w:val="21"/>
                <w:szCs w:val="21"/>
                <w:highlight w:val="none"/>
              </w:rPr>
              <w:t xml:space="preserve">       不可以接受□</w:t>
            </w:r>
          </w:p>
        </w:tc>
      </w:tr>
      <w:tr w14:paraId="6AD4E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019ADB7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40587C8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大气环境</w:t>
            </w:r>
          </w:p>
          <w:p w14:paraId="052B1D3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防护距离</w:t>
            </w:r>
          </w:p>
        </w:tc>
        <w:tc>
          <w:tcPr>
            <w:tcW w:w="6081" w:type="dxa"/>
            <w:gridSpan w:val="16"/>
            <w:noWrap w:val="0"/>
            <w:vAlign w:val="center"/>
          </w:tcPr>
          <w:p w14:paraId="34997F8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距（</w:t>
            </w:r>
            <w:r>
              <w:rPr>
                <w:rFonts w:hint="eastAsia" w:ascii="Times New Roman"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 xml:space="preserve"> ）厂界最远（  </w:t>
            </w:r>
            <w:r>
              <w:rPr>
                <w:rFonts w:hint="eastAsia" w:ascii="Times New Roman"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 xml:space="preserve">  ）m</w:t>
            </w:r>
          </w:p>
        </w:tc>
      </w:tr>
      <w:tr w14:paraId="6180D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45" w:type="dxa"/>
            <w:vMerge w:val="continue"/>
            <w:noWrap w:val="0"/>
            <w:vAlign w:val="center"/>
          </w:tcPr>
          <w:p w14:paraId="0DC16CF2">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p>
        </w:tc>
        <w:tc>
          <w:tcPr>
            <w:tcW w:w="1496" w:type="dxa"/>
            <w:noWrap w:val="0"/>
            <w:vAlign w:val="center"/>
          </w:tcPr>
          <w:p w14:paraId="5C6C955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污染源</w:t>
            </w:r>
          </w:p>
          <w:p w14:paraId="6DFE050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年排放量</w:t>
            </w:r>
          </w:p>
        </w:tc>
        <w:tc>
          <w:tcPr>
            <w:tcW w:w="1514" w:type="dxa"/>
            <w:gridSpan w:val="2"/>
            <w:noWrap w:val="0"/>
            <w:vAlign w:val="center"/>
          </w:tcPr>
          <w:p w14:paraId="3C97174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SO</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w:t>
            </w:r>
            <w:r>
              <w:rPr>
                <w:rFonts w:hint="eastAsia" w:ascii="Times New Roman" w:cs="Times New Roman"/>
                <w:color w:val="auto"/>
                <w:sz w:val="21"/>
                <w:szCs w:val="21"/>
                <w:highlight w:val="none"/>
                <w:lang w:val="en-US" w:eastAsia="zh-CN"/>
              </w:rPr>
              <w:t>11.388</w:t>
            </w:r>
            <w:r>
              <w:rPr>
                <w:rFonts w:hint="default" w:ascii="Times New Roman" w:hAnsi="Times New Roman" w:eastAsia="宋体" w:cs="Times New Roman"/>
                <w:color w:val="auto"/>
                <w:sz w:val="21"/>
                <w:szCs w:val="21"/>
                <w:highlight w:val="none"/>
              </w:rPr>
              <w:t>）t/a</w:t>
            </w:r>
          </w:p>
        </w:tc>
        <w:tc>
          <w:tcPr>
            <w:tcW w:w="1528" w:type="dxa"/>
            <w:gridSpan w:val="4"/>
            <w:noWrap w:val="0"/>
            <w:vAlign w:val="center"/>
          </w:tcPr>
          <w:p w14:paraId="1B26CC7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NO</w:t>
            </w:r>
            <w:r>
              <w:rPr>
                <w:rFonts w:hint="default" w:ascii="Times New Roman" w:hAnsi="Times New Roman" w:eastAsia="宋体" w:cs="Times New Roman"/>
                <w:color w:val="auto"/>
                <w:sz w:val="21"/>
                <w:szCs w:val="21"/>
                <w:highlight w:val="none"/>
                <w:vertAlign w:val="subscript"/>
              </w:rPr>
              <w:t>X</w:t>
            </w:r>
            <w:r>
              <w:rPr>
                <w:rFonts w:hint="default" w:ascii="Times New Roman" w:hAnsi="Times New Roman" w:eastAsia="宋体" w:cs="Times New Roman"/>
                <w:color w:val="auto"/>
                <w:sz w:val="21"/>
                <w:szCs w:val="21"/>
                <w:highlight w:val="none"/>
              </w:rPr>
              <w:t>:（</w:t>
            </w:r>
            <w:r>
              <w:rPr>
                <w:rFonts w:hint="eastAsia" w:ascii="Times New Roman" w:cs="Times New Roman"/>
                <w:color w:val="auto"/>
                <w:sz w:val="21"/>
                <w:szCs w:val="21"/>
                <w:highlight w:val="none"/>
                <w:lang w:val="en-US" w:eastAsia="zh-CN"/>
              </w:rPr>
              <w:t>43.401</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t/a</w:t>
            </w:r>
          </w:p>
        </w:tc>
        <w:tc>
          <w:tcPr>
            <w:tcW w:w="1639" w:type="dxa"/>
            <w:gridSpan w:val="7"/>
            <w:noWrap w:val="0"/>
            <w:vAlign w:val="center"/>
          </w:tcPr>
          <w:p w14:paraId="3381604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颗粒物:（</w:t>
            </w:r>
            <w:r>
              <w:rPr>
                <w:rFonts w:hint="eastAsia" w:ascii="Times New Roman" w:hAnsi="Times New Roman" w:eastAsia="宋体" w:cs="Times New Roman"/>
                <w:color w:val="auto"/>
                <w:sz w:val="21"/>
                <w:szCs w:val="21"/>
                <w:highlight w:val="none"/>
                <w:vertAlign w:val="baseline"/>
                <w:lang w:val="en-US" w:eastAsia="zh-CN"/>
              </w:rPr>
              <w:t>6.990</w:t>
            </w:r>
            <w:r>
              <w:rPr>
                <w:rFonts w:hint="default" w:ascii="Times New Roman" w:hAnsi="Times New Roman" w:eastAsia="宋体" w:cs="Times New Roman"/>
                <w:color w:val="auto"/>
                <w:sz w:val="21"/>
                <w:szCs w:val="21"/>
                <w:highlight w:val="none"/>
              </w:rPr>
              <w:t>）t/a</w:t>
            </w:r>
          </w:p>
        </w:tc>
        <w:tc>
          <w:tcPr>
            <w:tcW w:w="1400" w:type="dxa"/>
            <w:gridSpan w:val="3"/>
            <w:noWrap w:val="0"/>
            <w:vAlign w:val="center"/>
          </w:tcPr>
          <w:p w14:paraId="56C0215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VOC</w:t>
            </w:r>
            <w:r>
              <w:rPr>
                <w:rFonts w:hint="default" w:ascii="Times New Roman" w:hAnsi="Times New Roman" w:eastAsia="宋体" w:cs="Times New Roman"/>
                <w:color w:val="auto"/>
                <w:sz w:val="21"/>
                <w:szCs w:val="21"/>
                <w:highlight w:val="none"/>
                <w:vertAlign w:val="subscript"/>
              </w:rPr>
              <w:t>S</w:t>
            </w:r>
            <w:r>
              <w:rPr>
                <w:rFonts w:hint="default" w:ascii="Times New Roman" w:hAnsi="Times New Roman" w:eastAsia="宋体" w:cs="Times New Roman"/>
                <w:color w:val="auto"/>
                <w:sz w:val="21"/>
                <w:szCs w:val="21"/>
                <w:highlight w:val="none"/>
              </w:rPr>
              <w:t>:（</w:t>
            </w:r>
            <w:r>
              <w:rPr>
                <w:rFonts w:hint="eastAsia" w:ascii="Times New Roman"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）t/a</w:t>
            </w:r>
          </w:p>
        </w:tc>
      </w:tr>
      <w:tr w14:paraId="7DB86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22" w:type="dxa"/>
            <w:gridSpan w:val="18"/>
            <w:noWrap w:val="0"/>
            <w:vAlign w:val="center"/>
          </w:tcPr>
          <w:p w14:paraId="0FFE1AE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注：“□”为勾选项，填“√”；“（   ）”为内容填写项</w:t>
            </w:r>
          </w:p>
        </w:tc>
      </w:tr>
    </w:tbl>
    <w:p w14:paraId="4E1F3D78">
      <w:pPr>
        <w:keepNext w:val="0"/>
        <w:keepLines w:val="0"/>
        <w:pageBreakBefore w:val="0"/>
        <w:widowControl w:val="0"/>
        <w:kinsoku/>
        <w:wordWrap/>
        <w:overflowPunct/>
        <w:topLinePunct w:val="0"/>
        <w:bidi w:val="0"/>
        <w:snapToGrid/>
        <w:spacing w:line="480" w:lineRule="exact"/>
        <w:jc w:val="center"/>
        <w:textAlignment w:val="auto"/>
        <w:outlineLvl w:val="9"/>
        <w:rPr>
          <w:rFonts w:hint="eastAsia" w:ascii="Times New Roman" w:hAnsi="Times New Roman" w:eastAsia="黑体" w:cs="Times New Roman"/>
          <w:color w:val="auto"/>
          <w:sz w:val="24"/>
          <w:szCs w:val="24"/>
          <w:lang w:eastAsia="zh-CN"/>
        </w:rPr>
        <w:sectPr>
          <w:pgSz w:w="11906" w:h="16838"/>
          <w:pgMar w:top="1440" w:right="1803" w:bottom="1440" w:left="1803" w:header="851" w:footer="992" w:gutter="0"/>
          <w:pgBorders>
            <w:top w:val="none" w:sz="0" w:space="0"/>
            <w:left w:val="none" w:sz="0" w:space="0"/>
            <w:bottom w:val="none" w:sz="0" w:space="0"/>
            <w:right w:val="none" w:sz="0" w:space="0"/>
          </w:pgBorders>
          <w:cols w:space="720" w:num="1"/>
          <w:rtlGutter w:val="0"/>
          <w:docGrid w:type="lines" w:linePitch="332" w:charSpace="0"/>
        </w:sectPr>
      </w:pPr>
    </w:p>
    <w:p w14:paraId="77A63169">
      <w:pPr>
        <w:keepNext w:val="0"/>
        <w:keepLines w:val="0"/>
        <w:pageBreakBefore w:val="0"/>
        <w:widowControl w:val="0"/>
        <w:kinsoku/>
        <w:wordWrap/>
        <w:overflowPunct/>
        <w:topLinePunct w:val="0"/>
        <w:autoSpaceDE/>
        <w:autoSpaceDN/>
        <w:bidi w:val="0"/>
        <w:adjustRightInd/>
        <w:snapToGrid/>
        <w:spacing w:before="60" w:beforeLines="25" w:after="60" w:afterLines="25" w:line="240" w:lineRule="auto"/>
        <w:ind w:firstLine="0" w:firstLineChars="0"/>
        <w:jc w:val="center"/>
        <w:textAlignment w:val="auto"/>
        <w:outlineLvl w:val="1"/>
        <w:rPr>
          <w:rFonts w:hint="default" w:ascii="Times New Roman" w:hAnsi="Times New Roman" w:eastAsia="宋体" w:cs="Times New Roman"/>
          <w:b/>
          <w:color w:val="auto"/>
          <w:sz w:val="24"/>
          <w:szCs w:val="24"/>
          <w:lang w:val="en-US" w:eastAsia="zh-CN"/>
        </w:rPr>
      </w:pPr>
      <w:bookmarkStart w:id="720" w:name="_Toc20105"/>
      <w:r>
        <w:rPr>
          <w:rFonts w:hint="eastAsia" w:ascii="Times New Roman" w:hAnsi="Times New Roman" w:eastAsia="宋体" w:cs="Times New Roman"/>
          <w:b/>
          <w:color w:val="auto"/>
          <w:sz w:val="24"/>
          <w:szCs w:val="24"/>
          <w:lang w:val="en-US" w:eastAsia="zh-CN"/>
        </w:rPr>
        <w:t>附</w:t>
      </w:r>
      <w:r>
        <w:rPr>
          <w:rFonts w:hint="default" w:ascii="Times New Roman" w:hAnsi="Times New Roman" w:eastAsia="宋体" w:cs="Times New Roman"/>
          <w:b/>
          <w:color w:val="auto"/>
          <w:sz w:val="24"/>
          <w:szCs w:val="24"/>
          <w:lang w:val="en-US" w:eastAsia="zh-CN"/>
        </w:rPr>
        <w:t>表</w:t>
      </w:r>
      <w:r>
        <w:rPr>
          <w:rFonts w:hint="eastAsia" w:ascii="Times New Roman" w:hAnsi="Times New Roman" w:eastAsia="宋体" w:cs="Times New Roman"/>
          <w:b/>
          <w:color w:val="auto"/>
          <w:sz w:val="24"/>
          <w:szCs w:val="24"/>
          <w:lang w:val="en-US" w:eastAsia="zh-CN"/>
        </w:rPr>
        <w:t>2</w:t>
      </w:r>
      <w:r>
        <w:rPr>
          <w:rFonts w:hint="default" w:ascii="Times New Roman" w:hAnsi="Times New Roman" w:eastAsia="宋体" w:cs="Times New Roman"/>
          <w:b/>
          <w:color w:val="auto"/>
          <w:sz w:val="24"/>
          <w:szCs w:val="24"/>
          <w:lang w:val="en-US" w:eastAsia="zh-CN"/>
        </w:rPr>
        <w:t xml:space="preserve">  建设项目</w:t>
      </w:r>
      <w:r>
        <w:rPr>
          <w:rFonts w:hint="eastAsia" w:ascii="Times New Roman" w:hAnsi="Times New Roman" w:eastAsia="宋体" w:cs="Times New Roman"/>
          <w:b/>
          <w:color w:val="auto"/>
          <w:sz w:val="24"/>
          <w:szCs w:val="24"/>
          <w:lang w:val="en-US" w:eastAsia="zh-CN"/>
        </w:rPr>
        <w:t>地表水</w:t>
      </w:r>
      <w:r>
        <w:rPr>
          <w:rFonts w:hint="default" w:ascii="Times New Roman" w:hAnsi="Times New Roman" w:eastAsia="宋体" w:cs="Times New Roman"/>
          <w:b/>
          <w:color w:val="auto"/>
          <w:sz w:val="24"/>
          <w:szCs w:val="24"/>
          <w:lang w:val="en-US" w:eastAsia="zh-CN"/>
        </w:rPr>
        <w:t>环境影响评价自查表</w:t>
      </w:r>
      <w:bookmarkEnd w:id="720"/>
    </w:p>
    <w:tbl>
      <w:tblPr>
        <w:tblStyle w:val="4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997"/>
        <w:gridCol w:w="1277"/>
        <w:gridCol w:w="568"/>
        <w:gridCol w:w="403"/>
        <w:gridCol w:w="297"/>
        <w:gridCol w:w="631"/>
        <w:gridCol w:w="664"/>
        <w:gridCol w:w="791"/>
        <w:gridCol w:w="275"/>
        <w:gridCol w:w="316"/>
        <w:gridCol w:w="42"/>
        <w:gridCol w:w="1827"/>
      </w:tblGrid>
      <w:tr w14:paraId="4EE55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blHeader/>
        </w:trPr>
        <w:tc>
          <w:tcPr>
            <w:tcW w:w="809" w:type="pct"/>
            <w:gridSpan w:val="2"/>
            <w:tcBorders>
              <w:tl2br w:val="nil"/>
              <w:tr2bl w:val="nil"/>
            </w:tcBorders>
            <w:noWrap w:val="0"/>
            <w:vAlign w:val="center"/>
          </w:tcPr>
          <w:p w14:paraId="406F4BB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工作内容</w:t>
            </w:r>
          </w:p>
        </w:tc>
        <w:tc>
          <w:tcPr>
            <w:tcW w:w="4190" w:type="pct"/>
            <w:gridSpan w:val="11"/>
            <w:tcBorders>
              <w:tl2br w:val="nil"/>
              <w:tr2bl w:val="nil"/>
            </w:tcBorders>
            <w:noWrap w:val="0"/>
            <w:vAlign w:val="center"/>
          </w:tcPr>
          <w:p w14:paraId="6409DA9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自查项目</w:t>
            </w:r>
          </w:p>
        </w:tc>
      </w:tr>
      <w:tr w14:paraId="0CD7D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restart"/>
            <w:tcBorders>
              <w:tl2br w:val="nil"/>
              <w:tr2bl w:val="nil"/>
            </w:tcBorders>
            <w:noWrap w:val="0"/>
            <w:vAlign w:val="center"/>
          </w:tcPr>
          <w:p w14:paraId="4231711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eastAsia" w:ascii="Times New Roman" w:hAnsi="Times New Roman" w:cs="Times New Roman"/>
                <w:color w:val="auto"/>
                <w:sz w:val="21"/>
                <w:szCs w:val="21"/>
                <w:vertAlign w:val="baseline"/>
                <w:lang w:val="en-US" w:eastAsia="zh-CN"/>
              </w:rPr>
              <w:t>影响识别</w:t>
            </w:r>
          </w:p>
        </w:tc>
        <w:tc>
          <w:tcPr>
            <w:tcW w:w="587" w:type="pct"/>
            <w:tcBorders>
              <w:tl2br w:val="nil"/>
              <w:tr2bl w:val="nil"/>
            </w:tcBorders>
            <w:noWrap w:val="0"/>
            <w:vAlign w:val="center"/>
          </w:tcPr>
          <w:p w14:paraId="37B1488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影响类型</w:t>
            </w:r>
          </w:p>
        </w:tc>
        <w:tc>
          <w:tcPr>
            <w:tcW w:w="4190" w:type="pct"/>
            <w:gridSpan w:val="11"/>
            <w:tcBorders>
              <w:tl2br w:val="nil"/>
              <w:tr2bl w:val="nil"/>
            </w:tcBorders>
            <w:noWrap w:val="0"/>
            <w:vAlign w:val="center"/>
          </w:tcPr>
          <w:p w14:paraId="7499D37C">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水污染影响型</w:t>
            </w:r>
            <w:r>
              <w:rPr>
                <w:rFonts w:eastAsia="宋体"/>
                <w:color w:val="auto"/>
                <w:sz w:val="21"/>
                <w:szCs w:val="21"/>
              </w:rPr>
              <w:t>√</w:t>
            </w:r>
            <w:r>
              <w:rPr>
                <w:rFonts w:hint="default" w:ascii="Times New Roman" w:hAnsi="Times New Roman" w:cs="Times New Roman"/>
                <w:color w:val="auto"/>
                <w:sz w:val="21"/>
                <w:szCs w:val="21"/>
                <w:vertAlign w:val="baseline"/>
                <w:lang w:val="en-US" w:eastAsia="zh-CN"/>
              </w:rPr>
              <w:t>；水文要素影响型</w:t>
            </w:r>
            <w:r>
              <w:rPr>
                <w:rFonts w:hint="default" w:ascii="Times New Roman" w:hAnsi="Times New Roman" w:cs="Times New Roman"/>
                <w:color w:val="auto"/>
                <w:sz w:val="21"/>
                <w:szCs w:val="21"/>
                <w:vertAlign w:val="baseline"/>
                <w:lang w:val="en-US" w:eastAsia="zh-CN"/>
              </w:rPr>
              <w:sym w:font="Wingdings 2" w:char="00A3"/>
            </w:r>
          </w:p>
        </w:tc>
      </w:tr>
      <w:tr w14:paraId="7A4A1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221" w:type="pct"/>
            <w:vMerge w:val="continue"/>
            <w:tcBorders>
              <w:tl2br w:val="nil"/>
              <w:tr2bl w:val="nil"/>
            </w:tcBorders>
            <w:noWrap w:val="0"/>
            <w:vAlign w:val="center"/>
          </w:tcPr>
          <w:p w14:paraId="3E0BBE8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29294AB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水环境保护目标</w:t>
            </w:r>
          </w:p>
        </w:tc>
        <w:tc>
          <w:tcPr>
            <w:tcW w:w="4190" w:type="pct"/>
            <w:gridSpan w:val="11"/>
            <w:tcBorders>
              <w:tl2br w:val="nil"/>
              <w:tr2bl w:val="nil"/>
            </w:tcBorders>
            <w:noWrap w:val="0"/>
            <w:vAlign w:val="center"/>
          </w:tcPr>
          <w:p w14:paraId="3AC4F1E7">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饮用水水源保护区</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；饮用水取水口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；涉水的自然保护区</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；重要湿地</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w:t>
            </w:r>
          </w:p>
          <w:p w14:paraId="6CF67E36">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重点保护与珍稀水生生物的栖息地</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；重要水生生物的自然产卵场及索饵场、越冬场和洄游通道、天然渔场等渔业水体</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；涉水的风景名胜区</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r>
      <w:tr w14:paraId="2B332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0BE6458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restart"/>
            <w:tcBorders>
              <w:tl2br w:val="nil"/>
              <w:tr2bl w:val="nil"/>
            </w:tcBorders>
            <w:noWrap w:val="0"/>
            <w:vAlign w:val="center"/>
          </w:tcPr>
          <w:p w14:paraId="2798106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影响途径</w:t>
            </w:r>
          </w:p>
        </w:tc>
        <w:tc>
          <w:tcPr>
            <w:tcW w:w="1877" w:type="pct"/>
            <w:gridSpan w:val="5"/>
            <w:tcBorders>
              <w:tl2br w:val="nil"/>
              <w:tr2bl w:val="nil"/>
            </w:tcBorders>
            <w:noWrap w:val="0"/>
            <w:vAlign w:val="center"/>
          </w:tcPr>
          <w:p w14:paraId="262FBF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水污染影响型</w:t>
            </w:r>
          </w:p>
        </w:tc>
        <w:tc>
          <w:tcPr>
            <w:tcW w:w="2312" w:type="pct"/>
            <w:gridSpan w:val="6"/>
            <w:tcBorders>
              <w:tl2br w:val="nil"/>
              <w:tr2bl w:val="nil"/>
            </w:tcBorders>
            <w:noWrap w:val="0"/>
            <w:vAlign w:val="center"/>
          </w:tcPr>
          <w:p w14:paraId="577DC5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水文要素影响型</w:t>
            </w:r>
          </w:p>
        </w:tc>
      </w:tr>
      <w:tr w14:paraId="5E98D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00F431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72A109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877" w:type="pct"/>
            <w:gridSpan w:val="5"/>
            <w:tcBorders>
              <w:tl2br w:val="nil"/>
              <w:tr2bl w:val="nil"/>
            </w:tcBorders>
            <w:noWrap w:val="0"/>
            <w:vAlign w:val="center"/>
          </w:tcPr>
          <w:p w14:paraId="4C44EA9B">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直接排放</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；间接排放</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c>
          <w:tcPr>
            <w:tcW w:w="2312" w:type="pct"/>
            <w:gridSpan w:val="6"/>
            <w:tcBorders>
              <w:tl2br w:val="nil"/>
              <w:tr2bl w:val="nil"/>
            </w:tcBorders>
            <w:noWrap w:val="0"/>
            <w:vAlign w:val="center"/>
          </w:tcPr>
          <w:p w14:paraId="06B3FC54">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水温</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；径流</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；水域面积</w:t>
            </w:r>
            <w:r>
              <w:rPr>
                <w:rFonts w:hint="default" w:ascii="Times New Roman" w:hAnsi="Times New Roman" w:cs="Times New Roman"/>
                <w:color w:val="auto"/>
                <w:sz w:val="21"/>
                <w:szCs w:val="21"/>
                <w:vertAlign w:val="baseline"/>
                <w:lang w:val="en-US" w:eastAsia="zh-CN"/>
              </w:rPr>
              <w:sym w:font="Wingdings 2" w:char="00A3"/>
            </w:r>
          </w:p>
        </w:tc>
      </w:tr>
      <w:tr w14:paraId="571EB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221" w:type="pct"/>
            <w:vMerge w:val="continue"/>
            <w:tcBorders>
              <w:tl2br w:val="nil"/>
              <w:tr2bl w:val="nil"/>
            </w:tcBorders>
            <w:noWrap w:val="0"/>
            <w:vAlign w:val="center"/>
          </w:tcPr>
          <w:p w14:paraId="0DBC24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47288B8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影响因子</w:t>
            </w:r>
          </w:p>
        </w:tc>
        <w:tc>
          <w:tcPr>
            <w:tcW w:w="1877" w:type="pct"/>
            <w:gridSpan w:val="5"/>
            <w:tcBorders>
              <w:tl2br w:val="nil"/>
              <w:tr2bl w:val="nil"/>
            </w:tcBorders>
            <w:noWrap w:val="0"/>
            <w:vAlign w:val="center"/>
          </w:tcPr>
          <w:p w14:paraId="111F67C0">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持久性污染物</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；有毒有害污染物</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；非持久性污染物</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；pH值</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；热污染</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；富营养化</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c>
          <w:tcPr>
            <w:tcW w:w="2312" w:type="pct"/>
            <w:gridSpan w:val="6"/>
            <w:tcBorders>
              <w:tl2br w:val="nil"/>
              <w:tr2bl w:val="nil"/>
            </w:tcBorders>
            <w:noWrap w:val="0"/>
            <w:vAlign w:val="center"/>
          </w:tcPr>
          <w:p w14:paraId="35BAAAD2">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水温</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；水位（水深）</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；流速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；流量</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r>
      <w:tr w14:paraId="66D26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809" w:type="pct"/>
            <w:gridSpan w:val="2"/>
            <w:vMerge w:val="restart"/>
            <w:tcBorders>
              <w:tl2br w:val="nil"/>
              <w:tr2bl w:val="nil"/>
            </w:tcBorders>
            <w:noWrap w:val="0"/>
            <w:vAlign w:val="center"/>
          </w:tcPr>
          <w:p w14:paraId="25D7A79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评价等级</w:t>
            </w:r>
          </w:p>
        </w:tc>
        <w:tc>
          <w:tcPr>
            <w:tcW w:w="1877" w:type="pct"/>
            <w:gridSpan w:val="5"/>
            <w:tcBorders>
              <w:tl2br w:val="nil"/>
              <w:tr2bl w:val="nil"/>
            </w:tcBorders>
            <w:noWrap w:val="0"/>
            <w:vAlign w:val="center"/>
          </w:tcPr>
          <w:p w14:paraId="010779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水污染影响型</w:t>
            </w:r>
          </w:p>
        </w:tc>
        <w:tc>
          <w:tcPr>
            <w:tcW w:w="2312" w:type="pct"/>
            <w:gridSpan w:val="6"/>
            <w:tcBorders>
              <w:tl2br w:val="nil"/>
              <w:tr2bl w:val="nil"/>
            </w:tcBorders>
            <w:noWrap w:val="0"/>
            <w:vAlign w:val="center"/>
          </w:tcPr>
          <w:p w14:paraId="51DA9A1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水文要素影响型</w:t>
            </w:r>
          </w:p>
        </w:tc>
      </w:tr>
      <w:tr w14:paraId="504EE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809" w:type="pct"/>
            <w:gridSpan w:val="2"/>
            <w:vMerge w:val="continue"/>
            <w:tcBorders>
              <w:tl2br w:val="nil"/>
              <w:tr2bl w:val="nil"/>
            </w:tcBorders>
            <w:noWrap w:val="0"/>
            <w:vAlign w:val="center"/>
          </w:tcPr>
          <w:p w14:paraId="766F45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877" w:type="pct"/>
            <w:gridSpan w:val="5"/>
            <w:tcBorders>
              <w:tl2br w:val="nil"/>
              <w:tr2bl w:val="nil"/>
            </w:tcBorders>
            <w:noWrap w:val="0"/>
            <w:vAlign w:val="center"/>
          </w:tcPr>
          <w:p w14:paraId="79E5F7DE">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一级</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；二级</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；三级A</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；三级B</w:t>
            </w:r>
            <w:r>
              <w:rPr>
                <w:rFonts w:hint="default" w:ascii="Times New Roman" w:hAnsi="Times New Roman" w:cs="Times New Roman"/>
                <w:color w:val="auto"/>
                <w:sz w:val="21"/>
                <w:szCs w:val="21"/>
                <w:vertAlign w:val="baseline"/>
                <w:lang w:val="en-US" w:eastAsia="zh-CN"/>
              </w:rPr>
              <w:sym w:font="Wingdings 2" w:char="0052"/>
            </w:r>
          </w:p>
        </w:tc>
        <w:tc>
          <w:tcPr>
            <w:tcW w:w="2312" w:type="pct"/>
            <w:gridSpan w:val="6"/>
            <w:tcBorders>
              <w:tl2br w:val="nil"/>
              <w:tr2bl w:val="nil"/>
            </w:tcBorders>
            <w:noWrap w:val="0"/>
            <w:vAlign w:val="center"/>
          </w:tcPr>
          <w:p w14:paraId="210E3486">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一级</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；二级</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；三级</w:t>
            </w:r>
          </w:p>
        </w:tc>
      </w:tr>
      <w:tr w14:paraId="78907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restart"/>
            <w:tcBorders>
              <w:tl2br w:val="nil"/>
              <w:tr2bl w:val="nil"/>
            </w:tcBorders>
            <w:noWrap w:val="0"/>
            <w:vAlign w:val="center"/>
          </w:tcPr>
          <w:p w14:paraId="515AB92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cs="Times New Roman"/>
                <w:color w:val="auto"/>
                <w:sz w:val="21"/>
                <w:szCs w:val="21"/>
                <w:vertAlign w:val="baseline"/>
                <w:lang w:val="en-US" w:eastAsia="zh-CN"/>
              </w:rPr>
            </w:pPr>
            <w:r>
              <w:rPr>
                <w:rFonts w:hint="eastAsia" w:ascii="Times New Roman" w:hAnsi="Times New Roman" w:cs="Times New Roman"/>
                <w:color w:val="auto"/>
                <w:sz w:val="21"/>
                <w:szCs w:val="21"/>
                <w:vertAlign w:val="baseline"/>
                <w:lang w:val="en-US" w:eastAsia="zh-CN"/>
              </w:rPr>
              <w:t>现状调查</w:t>
            </w:r>
          </w:p>
        </w:tc>
        <w:tc>
          <w:tcPr>
            <w:tcW w:w="587" w:type="pct"/>
            <w:vMerge w:val="restart"/>
            <w:tcBorders>
              <w:tl2br w:val="nil"/>
              <w:tr2bl w:val="nil"/>
            </w:tcBorders>
            <w:noWrap w:val="0"/>
            <w:vAlign w:val="center"/>
          </w:tcPr>
          <w:p w14:paraId="0A50729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区域污染源</w:t>
            </w:r>
          </w:p>
        </w:tc>
        <w:tc>
          <w:tcPr>
            <w:tcW w:w="1877" w:type="pct"/>
            <w:gridSpan w:val="5"/>
            <w:tcBorders>
              <w:tl2br w:val="nil"/>
              <w:tr2bl w:val="nil"/>
            </w:tcBorders>
            <w:noWrap w:val="0"/>
            <w:vAlign w:val="center"/>
          </w:tcPr>
          <w:p w14:paraId="6637B90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调查项目</w:t>
            </w:r>
          </w:p>
        </w:tc>
        <w:tc>
          <w:tcPr>
            <w:tcW w:w="2312" w:type="pct"/>
            <w:gridSpan w:val="6"/>
            <w:tcBorders>
              <w:tl2br w:val="nil"/>
              <w:tr2bl w:val="nil"/>
            </w:tcBorders>
            <w:noWrap w:val="0"/>
            <w:vAlign w:val="center"/>
          </w:tcPr>
          <w:p w14:paraId="6FF9079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数据来源</w:t>
            </w:r>
          </w:p>
        </w:tc>
      </w:tr>
      <w:tr w14:paraId="3AA7E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221" w:type="pct"/>
            <w:vMerge w:val="continue"/>
            <w:tcBorders>
              <w:tl2br w:val="nil"/>
              <w:tr2bl w:val="nil"/>
            </w:tcBorders>
            <w:noWrap w:val="0"/>
            <w:vAlign w:val="center"/>
          </w:tcPr>
          <w:p w14:paraId="3C777C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5F5B00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877" w:type="pct"/>
            <w:gridSpan w:val="5"/>
            <w:tcBorders>
              <w:tl2br w:val="nil"/>
              <w:tr2bl w:val="nil"/>
            </w:tcBorders>
            <w:noWrap w:val="0"/>
            <w:vAlign w:val="center"/>
          </w:tcPr>
          <w:p w14:paraId="6D3B885C">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已建</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；在建</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；拟建</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52"/>
            </w:r>
          </w:p>
        </w:tc>
        <w:tc>
          <w:tcPr>
            <w:tcW w:w="2312" w:type="pct"/>
            <w:gridSpan w:val="6"/>
            <w:tcBorders>
              <w:tl2br w:val="nil"/>
              <w:tr2bl w:val="nil"/>
            </w:tcBorders>
            <w:noWrap w:val="0"/>
            <w:vAlign w:val="center"/>
          </w:tcPr>
          <w:p w14:paraId="5B38F820">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排污许可证</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；环评</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；环保验收</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；既有实测</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；现场监测</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；入河排放口数据</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52"/>
            </w:r>
          </w:p>
        </w:tc>
      </w:tr>
      <w:tr w14:paraId="58424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63849E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restart"/>
            <w:tcBorders>
              <w:tl2br w:val="nil"/>
              <w:tr2bl w:val="nil"/>
            </w:tcBorders>
            <w:noWrap w:val="0"/>
            <w:vAlign w:val="center"/>
          </w:tcPr>
          <w:p w14:paraId="5C8C5EF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受影响水体环境质量</w:t>
            </w:r>
          </w:p>
        </w:tc>
        <w:tc>
          <w:tcPr>
            <w:tcW w:w="1877" w:type="pct"/>
            <w:gridSpan w:val="5"/>
            <w:tcBorders>
              <w:tl2br w:val="nil"/>
              <w:tr2bl w:val="nil"/>
            </w:tcBorders>
            <w:noWrap w:val="0"/>
            <w:vAlign w:val="center"/>
          </w:tcPr>
          <w:p w14:paraId="4B8C56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调查时期</w:t>
            </w:r>
          </w:p>
        </w:tc>
        <w:tc>
          <w:tcPr>
            <w:tcW w:w="2312" w:type="pct"/>
            <w:gridSpan w:val="6"/>
            <w:tcBorders>
              <w:tl2br w:val="nil"/>
              <w:tr2bl w:val="nil"/>
            </w:tcBorders>
            <w:noWrap w:val="0"/>
            <w:vAlign w:val="center"/>
          </w:tcPr>
          <w:p w14:paraId="4FEA24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数据来源</w:t>
            </w:r>
          </w:p>
        </w:tc>
      </w:tr>
      <w:tr w14:paraId="65089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221" w:type="pct"/>
            <w:vMerge w:val="continue"/>
            <w:tcBorders>
              <w:tl2br w:val="nil"/>
              <w:tr2bl w:val="nil"/>
            </w:tcBorders>
            <w:noWrap w:val="0"/>
            <w:vAlign w:val="center"/>
          </w:tcPr>
          <w:p w14:paraId="23692F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552A88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877" w:type="pct"/>
            <w:gridSpan w:val="5"/>
            <w:tcBorders>
              <w:tl2br w:val="nil"/>
              <w:tr2bl w:val="nil"/>
            </w:tcBorders>
            <w:noWrap w:val="0"/>
            <w:vAlign w:val="center"/>
          </w:tcPr>
          <w:p w14:paraId="3A525090">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丰水期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；平水期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；枯水期</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；冰封期</w:t>
            </w:r>
            <w:r>
              <w:rPr>
                <w:rFonts w:hint="default" w:ascii="Times New Roman" w:hAnsi="Times New Roman" w:cs="Times New Roman"/>
                <w:color w:val="auto"/>
                <w:sz w:val="21"/>
                <w:szCs w:val="21"/>
                <w:vertAlign w:val="baseline"/>
                <w:lang w:val="en-US" w:eastAsia="zh-CN"/>
              </w:rPr>
              <w:sym w:font="Wingdings 2" w:char="00A3"/>
            </w:r>
          </w:p>
          <w:p w14:paraId="479F008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春季</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；夏季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；秋季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；冬季</w:t>
            </w:r>
            <w:r>
              <w:rPr>
                <w:rFonts w:hint="default" w:ascii="Times New Roman" w:hAnsi="Times New Roman" w:cs="Times New Roman"/>
                <w:color w:val="auto"/>
                <w:sz w:val="21"/>
                <w:szCs w:val="21"/>
                <w:vertAlign w:val="baseline"/>
                <w:lang w:val="en-US" w:eastAsia="zh-CN"/>
              </w:rPr>
              <w:sym w:font="Wingdings 2" w:char="00A3"/>
            </w:r>
          </w:p>
        </w:tc>
        <w:tc>
          <w:tcPr>
            <w:tcW w:w="2312" w:type="pct"/>
            <w:gridSpan w:val="6"/>
            <w:tcBorders>
              <w:tl2br w:val="nil"/>
              <w:tr2bl w:val="nil"/>
            </w:tcBorders>
            <w:noWrap w:val="0"/>
            <w:vAlign w:val="center"/>
          </w:tcPr>
          <w:p w14:paraId="6AF1ED36">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生态环境保护主管部门</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；补充监测</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r>
      <w:tr w14:paraId="149E7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221" w:type="pct"/>
            <w:vMerge w:val="continue"/>
            <w:tcBorders>
              <w:tl2br w:val="nil"/>
              <w:tr2bl w:val="nil"/>
            </w:tcBorders>
            <w:noWrap w:val="0"/>
            <w:vAlign w:val="center"/>
          </w:tcPr>
          <w:p w14:paraId="3D8F203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0B04C82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区域水资源开发利用情况</w:t>
            </w:r>
          </w:p>
        </w:tc>
        <w:tc>
          <w:tcPr>
            <w:tcW w:w="4190" w:type="pct"/>
            <w:gridSpan w:val="11"/>
            <w:tcBorders>
              <w:tl2br w:val="nil"/>
              <w:tr2bl w:val="nil"/>
            </w:tcBorders>
            <w:noWrap w:val="0"/>
            <w:vAlign w:val="center"/>
          </w:tcPr>
          <w:p w14:paraId="5FD7F05A">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未开发</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；开发量40%以下</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；开发量40%以上</w:t>
            </w:r>
            <w:r>
              <w:rPr>
                <w:rFonts w:hint="default" w:ascii="Times New Roman" w:hAnsi="Times New Roman" w:cs="Times New Roman"/>
                <w:color w:val="auto"/>
                <w:sz w:val="21"/>
                <w:szCs w:val="21"/>
                <w:vertAlign w:val="baseline"/>
                <w:lang w:val="en-US" w:eastAsia="zh-CN"/>
              </w:rPr>
              <w:sym w:font="Wingdings 2" w:char="00A3"/>
            </w:r>
          </w:p>
        </w:tc>
      </w:tr>
      <w:tr w14:paraId="735EF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5A00FC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restart"/>
            <w:tcBorders>
              <w:tl2br w:val="nil"/>
              <w:tr2bl w:val="nil"/>
            </w:tcBorders>
            <w:noWrap w:val="0"/>
            <w:vAlign w:val="center"/>
          </w:tcPr>
          <w:p w14:paraId="470FB88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水文情势调查</w:t>
            </w:r>
          </w:p>
        </w:tc>
        <w:tc>
          <w:tcPr>
            <w:tcW w:w="1877" w:type="pct"/>
            <w:gridSpan w:val="5"/>
            <w:tcBorders>
              <w:tl2br w:val="nil"/>
              <w:tr2bl w:val="nil"/>
            </w:tcBorders>
            <w:noWrap w:val="0"/>
            <w:vAlign w:val="center"/>
          </w:tcPr>
          <w:p w14:paraId="539B86C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调查时期</w:t>
            </w:r>
          </w:p>
        </w:tc>
        <w:tc>
          <w:tcPr>
            <w:tcW w:w="2312" w:type="pct"/>
            <w:gridSpan w:val="6"/>
            <w:tcBorders>
              <w:tl2br w:val="nil"/>
              <w:tr2bl w:val="nil"/>
            </w:tcBorders>
            <w:noWrap w:val="0"/>
            <w:vAlign w:val="center"/>
          </w:tcPr>
          <w:p w14:paraId="3CE1593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数据来源</w:t>
            </w:r>
          </w:p>
        </w:tc>
      </w:tr>
      <w:tr w14:paraId="5F4AC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221" w:type="pct"/>
            <w:vMerge w:val="continue"/>
            <w:tcBorders>
              <w:tl2br w:val="nil"/>
              <w:tr2bl w:val="nil"/>
            </w:tcBorders>
            <w:noWrap w:val="0"/>
            <w:vAlign w:val="center"/>
          </w:tcPr>
          <w:p w14:paraId="2B7928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20A3CE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877" w:type="pct"/>
            <w:gridSpan w:val="5"/>
            <w:tcBorders>
              <w:tl2br w:val="nil"/>
              <w:tr2bl w:val="nil"/>
            </w:tcBorders>
            <w:noWrap w:val="0"/>
            <w:vAlign w:val="center"/>
          </w:tcPr>
          <w:p w14:paraId="4C9C3D66">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丰水期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；平水期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；枯水期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；冰封期</w:t>
            </w:r>
            <w:r>
              <w:rPr>
                <w:rFonts w:hint="default" w:ascii="Times New Roman" w:hAnsi="Times New Roman" w:cs="Times New Roman"/>
                <w:color w:val="auto"/>
                <w:sz w:val="21"/>
                <w:szCs w:val="21"/>
                <w:vertAlign w:val="baseline"/>
                <w:lang w:val="en-US" w:eastAsia="zh-CN"/>
              </w:rPr>
              <w:sym w:font="Wingdings 2" w:char="00A3"/>
            </w:r>
          </w:p>
          <w:p w14:paraId="4DC6006F">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春季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；夏季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；秋季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；冬季</w:t>
            </w:r>
            <w:r>
              <w:rPr>
                <w:rFonts w:hint="default" w:ascii="Times New Roman" w:hAnsi="Times New Roman" w:cs="Times New Roman"/>
                <w:color w:val="auto"/>
                <w:sz w:val="21"/>
                <w:szCs w:val="21"/>
                <w:vertAlign w:val="baseline"/>
                <w:lang w:val="en-US" w:eastAsia="zh-CN"/>
              </w:rPr>
              <w:sym w:font="Wingdings 2" w:char="00A3"/>
            </w:r>
          </w:p>
        </w:tc>
        <w:tc>
          <w:tcPr>
            <w:tcW w:w="2312" w:type="pct"/>
            <w:gridSpan w:val="6"/>
            <w:tcBorders>
              <w:tl2br w:val="nil"/>
              <w:tr2bl w:val="nil"/>
            </w:tcBorders>
            <w:noWrap w:val="0"/>
            <w:vAlign w:val="center"/>
          </w:tcPr>
          <w:p w14:paraId="4D71F3F0">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水行政主管部门</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；补充监测</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r>
      <w:tr w14:paraId="74EB9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4C89F32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restart"/>
            <w:tcBorders>
              <w:tl2br w:val="nil"/>
              <w:tr2bl w:val="nil"/>
            </w:tcBorders>
            <w:noWrap w:val="0"/>
            <w:vAlign w:val="center"/>
          </w:tcPr>
          <w:p w14:paraId="1F8096F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补充监测</w:t>
            </w:r>
          </w:p>
        </w:tc>
        <w:tc>
          <w:tcPr>
            <w:tcW w:w="1877" w:type="pct"/>
            <w:gridSpan w:val="5"/>
            <w:tcBorders>
              <w:tl2br w:val="nil"/>
              <w:tr2bl w:val="nil"/>
            </w:tcBorders>
            <w:noWrap w:val="0"/>
            <w:vAlign w:val="center"/>
          </w:tcPr>
          <w:p w14:paraId="22E957F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监测时期</w:t>
            </w:r>
          </w:p>
        </w:tc>
        <w:tc>
          <w:tcPr>
            <w:tcW w:w="1237" w:type="pct"/>
            <w:gridSpan w:val="5"/>
            <w:tcBorders>
              <w:tl2br w:val="nil"/>
              <w:tr2bl w:val="nil"/>
            </w:tcBorders>
            <w:noWrap w:val="0"/>
            <w:vAlign w:val="center"/>
          </w:tcPr>
          <w:p w14:paraId="38433D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监测因子</w:t>
            </w:r>
          </w:p>
        </w:tc>
        <w:tc>
          <w:tcPr>
            <w:tcW w:w="1075" w:type="pct"/>
            <w:tcBorders>
              <w:tl2br w:val="nil"/>
              <w:tr2bl w:val="nil"/>
            </w:tcBorders>
            <w:noWrap w:val="0"/>
            <w:vAlign w:val="center"/>
          </w:tcPr>
          <w:p w14:paraId="65F318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监测断面或点位</w:t>
            </w:r>
          </w:p>
        </w:tc>
      </w:tr>
      <w:tr w14:paraId="352D0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221" w:type="pct"/>
            <w:vMerge w:val="continue"/>
            <w:tcBorders>
              <w:tl2br w:val="nil"/>
              <w:tr2bl w:val="nil"/>
            </w:tcBorders>
            <w:noWrap w:val="0"/>
            <w:vAlign w:val="center"/>
          </w:tcPr>
          <w:p w14:paraId="707D8D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12CF97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877" w:type="pct"/>
            <w:gridSpan w:val="5"/>
            <w:tcBorders>
              <w:tl2br w:val="nil"/>
              <w:tr2bl w:val="nil"/>
            </w:tcBorders>
            <w:noWrap w:val="0"/>
            <w:vAlign w:val="center"/>
          </w:tcPr>
          <w:p w14:paraId="2B609FE7">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丰水期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；平水期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；枯水期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；冰封期</w:t>
            </w:r>
            <w:r>
              <w:rPr>
                <w:rFonts w:hint="default" w:ascii="Times New Roman" w:hAnsi="Times New Roman" w:cs="Times New Roman"/>
                <w:color w:val="auto"/>
                <w:sz w:val="21"/>
                <w:szCs w:val="21"/>
                <w:vertAlign w:val="baseline"/>
                <w:lang w:val="en-US" w:eastAsia="zh-CN"/>
              </w:rPr>
              <w:sym w:font="Wingdings 2" w:char="00A3"/>
            </w:r>
          </w:p>
          <w:p w14:paraId="125250C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春季</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；夏季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；秋季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；冬季</w:t>
            </w:r>
            <w:r>
              <w:rPr>
                <w:rFonts w:hint="default" w:ascii="Times New Roman" w:hAnsi="Times New Roman" w:cs="Times New Roman"/>
                <w:color w:val="auto"/>
                <w:sz w:val="21"/>
                <w:szCs w:val="21"/>
                <w:vertAlign w:val="baseline"/>
                <w:lang w:val="en-US" w:eastAsia="zh-CN"/>
              </w:rPr>
              <w:sym w:font="Wingdings 2" w:char="00A3"/>
            </w:r>
          </w:p>
        </w:tc>
        <w:tc>
          <w:tcPr>
            <w:tcW w:w="1237" w:type="pct"/>
            <w:gridSpan w:val="5"/>
            <w:tcBorders>
              <w:tl2br w:val="nil"/>
              <w:tr2bl w:val="nil"/>
            </w:tcBorders>
            <w:noWrap w:val="0"/>
            <w:vAlign w:val="center"/>
          </w:tcPr>
          <w:p w14:paraId="11233FD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1075" w:type="pct"/>
            <w:tcBorders>
              <w:tl2br w:val="nil"/>
              <w:tr2bl w:val="nil"/>
            </w:tcBorders>
            <w:noWrap w:val="0"/>
            <w:vAlign w:val="center"/>
          </w:tcPr>
          <w:p w14:paraId="5340765D">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监测断面或点位（）个</w:t>
            </w:r>
          </w:p>
        </w:tc>
      </w:tr>
      <w:tr w14:paraId="2749B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restart"/>
            <w:tcBorders>
              <w:tl2br w:val="nil"/>
              <w:tr2bl w:val="nil"/>
            </w:tcBorders>
            <w:noWrap w:val="0"/>
            <w:vAlign w:val="center"/>
          </w:tcPr>
          <w:p w14:paraId="5E3AA9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现</w:t>
            </w:r>
            <w:r>
              <w:rPr>
                <w:rFonts w:hint="eastAsia" w:ascii="Times New Roman" w:hAnsi="Times New Roman" w:cs="Times New Roman"/>
                <w:color w:val="auto"/>
                <w:sz w:val="21"/>
                <w:szCs w:val="21"/>
                <w:vertAlign w:val="baseline"/>
                <w:lang w:val="en-US" w:eastAsia="zh-CN"/>
              </w:rPr>
              <w:t>现</w:t>
            </w:r>
            <w:r>
              <w:rPr>
                <w:rFonts w:hint="default" w:ascii="Times New Roman" w:hAnsi="Times New Roman" w:cs="Times New Roman"/>
                <w:color w:val="auto"/>
                <w:sz w:val="21"/>
                <w:szCs w:val="21"/>
                <w:vertAlign w:val="baseline"/>
                <w:lang w:val="en-US" w:eastAsia="zh-CN"/>
              </w:rPr>
              <w:t>状评价</w:t>
            </w:r>
          </w:p>
        </w:tc>
        <w:tc>
          <w:tcPr>
            <w:tcW w:w="587" w:type="pct"/>
            <w:tcBorders>
              <w:tl2br w:val="nil"/>
              <w:tr2bl w:val="nil"/>
            </w:tcBorders>
            <w:noWrap w:val="0"/>
            <w:vAlign w:val="center"/>
          </w:tcPr>
          <w:p w14:paraId="154AD4ED">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评价范围</w:t>
            </w:r>
          </w:p>
        </w:tc>
        <w:tc>
          <w:tcPr>
            <w:tcW w:w="4190" w:type="pct"/>
            <w:gridSpan w:val="11"/>
            <w:tcBorders>
              <w:tl2br w:val="nil"/>
              <w:tr2bl w:val="nil"/>
            </w:tcBorders>
            <w:noWrap w:val="0"/>
            <w:vAlign w:val="center"/>
          </w:tcPr>
          <w:p w14:paraId="2146C019">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河流：长度（）km；湖库、河口及近岸海域：面积（）km</w:t>
            </w:r>
            <w:r>
              <w:rPr>
                <w:rFonts w:hint="default" w:ascii="Times New Roman" w:hAnsi="Times New Roman" w:cs="Times New Roman"/>
                <w:color w:val="auto"/>
                <w:sz w:val="21"/>
                <w:szCs w:val="21"/>
                <w:vertAlign w:val="superscript"/>
                <w:lang w:val="en-US" w:eastAsia="zh-CN"/>
              </w:rPr>
              <w:t>2</w:t>
            </w:r>
          </w:p>
        </w:tc>
      </w:tr>
      <w:tr w14:paraId="05D58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39D687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2C641B6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评价因子</w:t>
            </w:r>
          </w:p>
        </w:tc>
        <w:tc>
          <w:tcPr>
            <w:tcW w:w="4190" w:type="pct"/>
            <w:gridSpan w:val="11"/>
            <w:tcBorders>
              <w:tl2br w:val="nil"/>
              <w:tr2bl w:val="nil"/>
            </w:tcBorders>
            <w:noWrap w:val="0"/>
            <w:vAlign w:val="center"/>
          </w:tcPr>
          <w:p w14:paraId="74EB0E57">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r>
              <w:rPr>
                <w:rFonts w:hint="default" w:ascii="Times New Roman" w:hAnsi="Times New Roman" w:cs="Times New Roman"/>
                <w:color w:val="auto"/>
                <w:spacing w:val="14"/>
                <w:sz w:val="21"/>
                <w:szCs w:val="21"/>
              </w:rPr>
              <w:t>pH、COD、BOD</w:t>
            </w:r>
            <w:r>
              <w:rPr>
                <w:rFonts w:hint="default" w:ascii="Times New Roman" w:hAnsi="Times New Roman" w:cs="Times New Roman"/>
                <w:color w:val="auto"/>
                <w:spacing w:val="14"/>
                <w:sz w:val="21"/>
                <w:szCs w:val="21"/>
                <w:vertAlign w:val="subscript"/>
              </w:rPr>
              <w:t>5</w:t>
            </w:r>
            <w:r>
              <w:rPr>
                <w:rFonts w:hint="default" w:ascii="Times New Roman" w:hAnsi="Times New Roman" w:cs="Times New Roman"/>
                <w:color w:val="auto"/>
                <w:spacing w:val="14"/>
                <w:sz w:val="21"/>
                <w:szCs w:val="21"/>
              </w:rPr>
              <w:t>、氨氮、总磷、总氮、</w:t>
            </w:r>
            <w:r>
              <w:rPr>
                <w:rFonts w:hint="eastAsia" w:ascii="Times New Roman" w:cs="Times New Roman"/>
                <w:color w:val="auto"/>
                <w:spacing w:val="14"/>
                <w:sz w:val="21"/>
                <w:szCs w:val="21"/>
                <w:lang w:val="en-US" w:eastAsia="zh-CN"/>
              </w:rPr>
              <w:t>SS</w:t>
            </w:r>
            <w:r>
              <w:rPr>
                <w:rFonts w:hint="default" w:ascii="Times New Roman" w:hAnsi="Times New Roman" w:cs="Times New Roman"/>
                <w:color w:val="auto"/>
                <w:sz w:val="21"/>
                <w:szCs w:val="21"/>
                <w:vertAlign w:val="baseline"/>
                <w:lang w:val="en-US" w:eastAsia="zh-CN"/>
              </w:rPr>
              <w:t>）</w:t>
            </w:r>
          </w:p>
        </w:tc>
      </w:tr>
      <w:tr w14:paraId="5A5BF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221" w:type="pct"/>
            <w:vMerge w:val="continue"/>
            <w:tcBorders>
              <w:tl2br w:val="nil"/>
              <w:tr2bl w:val="nil"/>
            </w:tcBorders>
            <w:noWrap w:val="0"/>
            <w:vAlign w:val="center"/>
          </w:tcPr>
          <w:p w14:paraId="6E8E248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3119B91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评价标准</w:t>
            </w:r>
          </w:p>
        </w:tc>
        <w:tc>
          <w:tcPr>
            <w:tcW w:w="4190" w:type="pct"/>
            <w:gridSpan w:val="11"/>
            <w:tcBorders>
              <w:tl2br w:val="nil"/>
              <w:tr2bl w:val="nil"/>
            </w:tcBorders>
            <w:noWrap w:val="0"/>
            <w:vAlign w:val="center"/>
          </w:tcPr>
          <w:p w14:paraId="10117762">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河流、湖库、河口：</w:t>
            </w:r>
            <w:r>
              <w:rPr>
                <w:rFonts w:hint="default" w:ascii="Times New Roman" w:hAnsi="Times New Roman" w:eastAsia="宋体" w:cs="Times New Roman"/>
                <w:color w:val="auto"/>
                <w:sz w:val="21"/>
                <w:szCs w:val="21"/>
                <w:vertAlign w:val="baseline"/>
                <w:lang w:val="en-US" w:eastAsia="zh-CN"/>
              </w:rPr>
              <w:t>Ⅰ</w:t>
            </w:r>
            <w:r>
              <w:rPr>
                <w:rFonts w:hint="default" w:ascii="Times New Roman" w:hAnsi="Times New Roman" w:cs="Times New Roman"/>
                <w:color w:val="auto"/>
                <w:sz w:val="21"/>
                <w:szCs w:val="21"/>
                <w:vertAlign w:val="baseline"/>
                <w:lang w:val="en-US" w:eastAsia="zh-CN"/>
              </w:rPr>
              <w:t>类</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w:t>
            </w:r>
            <w:r>
              <w:rPr>
                <w:rFonts w:hint="default" w:ascii="Times New Roman" w:hAnsi="Times New Roman" w:eastAsia="宋体" w:cs="Times New Roman"/>
                <w:color w:val="auto"/>
                <w:sz w:val="21"/>
                <w:szCs w:val="21"/>
                <w:vertAlign w:val="baseline"/>
                <w:lang w:val="en-US" w:eastAsia="zh-CN"/>
              </w:rPr>
              <w:t>Ⅱ</w:t>
            </w:r>
            <w:r>
              <w:rPr>
                <w:rFonts w:hint="default" w:ascii="Times New Roman" w:hAnsi="Times New Roman" w:cs="Times New Roman"/>
                <w:color w:val="auto"/>
                <w:sz w:val="21"/>
                <w:szCs w:val="21"/>
                <w:vertAlign w:val="baseline"/>
                <w:lang w:val="en-US" w:eastAsia="zh-CN"/>
              </w:rPr>
              <w:t>类</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w:t>
            </w:r>
            <w:r>
              <w:rPr>
                <w:rFonts w:hint="default" w:ascii="Times New Roman" w:hAnsi="Times New Roman" w:eastAsia="宋体" w:cs="Times New Roman"/>
                <w:color w:val="auto"/>
                <w:sz w:val="21"/>
                <w:szCs w:val="21"/>
                <w:vertAlign w:val="baseline"/>
                <w:lang w:val="en-US" w:eastAsia="zh-CN"/>
              </w:rPr>
              <w:t>Ⅲ</w:t>
            </w:r>
            <w:r>
              <w:rPr>
                <w:rFonts w:hint="default" w:ascii="Times New Roman" w:hAnsi="Times New Roman" w:cs="Times New Roman"/>
                <w:color w:val="auto"/>
                <w:sz w:val="21"/>
                <w:szCs w:val="21"/>
                <w:vertAlign w:val="baseline"/>
                <w:lang w:val="en-US" w:eastAsia="zh-CN"/>
              </w:rPr>
              <w:t>类</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w:t>
            </w:r>
            <w:r>
              <w:rPr>
                <w:rFonts w:hint="default" w:ascii="Times New Roman" w:hAnsi="Times New Roman" w:eastAsia="宋体" w:cs="Times New Roman"/>
                <w:color w:val="auto"/>
                <w:sz w:val="21"/>
                <w:szCs w:val="21"/>
                <w:vertAlign w:val="baseline"/>
                <w:lang w:val="en-US" w:eastAsia="zh-CN"/>
              </w:rPr>
              <w:t>Ⅳ</w:t>
            </w:r>
            <w:r>
              <w:rPr>
                <w:rFonts w:hint="default" w:ascii="Times New Roman" w:hAnsi="Times New Roman" w:cs="Times New Roman"/>
                <w:color w:val="auto"/>
                <w:sz w:val="21"/>
                <w:szCs w:val="21"/>
                <w:vertAlign w:val="baseline"/>
                <w:lang w:val="en-US" w:eastAsia="zh-CN"/>
              </w:rPr>
              <w:t>类</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w:t>
            </w:r>
            <w:r>
              <w:rPr>
                <w:rFonts w:hint="default" w:ascii="Times New Roman" w:hAnsi="Times New Roman" w:eastAsia="宋体" w:cs="Times New Roman"/>
                <w:color w:val="auto"/>
                <w:sz w:val="21"/>
                <w:szCs w:val="21"/>
                <w:vertAlign w:val="baseline"/>
                <w:lang w:val="en-US" w:eastAsia="zh-CN"/>
              </w:rPr>
              <w:t>Ⅴ</w:t>
            </w:r>
            <w:r>
              <w:rPr>
                <w:rFonts w:hint="default" w:ascii="Times New Roman" w:hAnsi="Times New Roman" w:cs="Times New Roman"/>
                <w:color w:val="auto"/>
                <w:sz w:val="21"/>
                <w:szCs w:val="21"/>
                <w:vertAlign w:val="baseline"/>
                <w:lang w:val="en-US" w:eastAsia="zh-CN"/>
              </w:rPr>
              <w:t>类</w:t>
            </w:r>
            <w:r>
              <w:rPr>
                <w:rFonts w:hint="default" w:ascii="Times New Roman" w:hAnsi="Times New Roman" w:cs="Times New Roman"/>
                <w:color w:val="auto"/>
                <w:sz w:val="21"/>
                <w:szCs w:val="21"/>
                <w:vertAlign w:val="baseline"/>
                <w:lang w:val="en-US" w:eastAsia="zh-CN"/>
              </w:rPr>
              <w:sym w:font="Wingdings 2" w:char="00A3"/>
            </w:r>
          </w:p>
          <w:p w14:paraId="4E3395A3">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近岸海域：第一类</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；第二类</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；第三类</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；第四类</w:t>
            </w:r>
            <w:r>
              <w:rPr>
                <w:rFonts w:hint="default" w:ascii="Times New Roman" w:hAnsi="Times New Roman" w:cs="Times New Roman"/>
                <w:color w:val="auto"/>
                <w:sz w:val="21"/>
                <w:szCs w:val="21"/>
                <w:vertAlign w:val="baseline"/>
                <w:lang w:val="en-US" w:eastAsia="zh-CN"/>
              </w:rPr>
              <w:sym w:font="Wingdings 2" w:char="00A3"/>
            </w:r>
          </w:p>
          <w:p w14:paraId="32516992">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规划年评价标准（Ⅲ）</w:t>
            </w:r>
          </w:p>
        </w:tc>
      </w:tr>
      <w:tr w14:paraId="7AB67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496EB01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7CAD636B">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评价时期</w:t>
            </w:r>
          </w:p>
        </w:tc>
        <w:tc>
          <w:tcPr>
            <w:tcW w:w="4190" w:type="pct"/>
            <w:gridSpan w:val="11"/>
            <w:tcBorders>
              <w:tl2br w:val="nil"/>
              <w:tr2bl w:val="nil"/>
            </w:tcBorders>
            <w:noWrap w:val="0"/>
            <w:vAlign w:val="center"/>
          </w:tcPr>
          <w:p w14:paraId="153ACA52">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丰水期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；平水期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；枯水期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；冰封期</w:t>
            </w:r>
            <w:r>
              <w:rPr>
                <w:rFonts w:hint="default" w:ascii="Times New Roman" w:hAnsi="Times New Roman" w:cs="Times New Roman"/>
                <w:color w:val="auto"/>
                <w:sz w:val="21"/>
                <w:szCs w:val="21"/>
                <w:vertAlign w:val="baseline"/>
                <w:lang w:val="en-US" w:eastAsia="zh-CN"/>
              </w:rPr>
              <w:sym w:font="Wingdings 2" w:char="00A3"/>
            </w:r>
          </w:p>
          <w:p w14:paraId="4A5667CA">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春季</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；夏季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；秋季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；冬季</w:t>
            </w:r>
            <w:r>
              <w:rPr>
                <w:rFonts w:hint="default" w:ascii="Times New Roman" w:hAnsi="Times New Roman" w:cs="Times New Roman"/>
                <w:color w:val="auto"/>
                <w:sz w:val="21"/>
                <w:szCs w:val="21"/>
                <w:vertAlign w:val="baseline"/>
                <w:lang w:val="en-US" w:eastAsia="zh-CN"/>
              </w:rPr>
              <w:sym w:font="Wingdings 2" w:char="00A3"/>
            </w:r>
          </w:p>
        </w:tc>
      </w:tr>
      <w:tr w14:paraId="7D665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8" w:hRule="atLeast"/>
        </w:trPr>
        <w:tc>
          <w:tcPr>
            <w:tcW w:w="221" w:type="pct"/>
            <w:vMerge w:val="continue"/>
            <w:tcBorders>
              <w:tl2br w:val="nil"/>
              <w:tr2bl w:val="nil"/>
            </w:tcBorders>
            <w:noWrap w:val="0"/>
            <w:vAlign w:val="center"/>
          </w:tcPr>
          <w:p w14:paraId="04C4A4B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7DCCD18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评价结论</w:t>
            </w:r>
          </w:p>
        </w:tc>
        <w:tc>
          <w:tcPr>
            <w:tcW w:w="3115" w:type="pct"/>
            <w:gridSpan w:val="10"/>
            <w:tcBorders>
              <w:tl2br w:val="nil"/>
              <w:tr2bl w:val="nil"/>
            </w:tcBorders>
            <w:noWrap w:val="0"/>
            <w:vAlign w:val="center"/>
          </w:tcPr>
          <w:p w14:paraId="2D21789B">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水环境功能区或水功能区、近岸海域环境功能区水质达标状况</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：达标</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；不达标</w:t>
            </w:r>
            <w:r>
              <w:rPr>
                <w:rFonts w:hint="default" w:ascii="Times New Roman" w:hAnsi="Times New Roman" w:cs="Times New Roman"/>
                <w:color w:val="auto"/>
                <w:sz w:val="21"/>
                <w:szCs w:val="21"/>
                <w:vertAlign w:val="baseline"/>
                <w:lang w:val="en-US" w:eastAsia="zh-CN"/>
              </w:rPr>
              <w:sym w:font="Wingdings 2" w:char="00A3"/>
            </w:r>
          </w:p>
          <w:p w14:paraId="62DD7BAD">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水环境控制单元或断面水质达标情况</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：达标</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；不达标</w:t>
            </w:r>
            <w:r>
              <w:rPr>
                <w:rFonts w:hint="default" w:ascii="Times New Roman" w:hAnsi="Times New Roman" w:cs="Times New Roman"/>
                <w:color w:val="auto"/>
                <w:sz w:val="21"/>
                <w:szCs w:val="21"/>
                <w:vertAlign w:val="baseline"/>
                <w:lang w:val="en-US" w:eastAsia="zh-CN"/>
              </w:rPr>
              <w:sym w:font="Wingdings 2" w:char="00A3"/>
            </w:r>
          </w:p>
          <w:p w14:paraId="78FD303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对照断面、控制断面等代表性断面的水质状况</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：达标</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；不达标</w:t>
            </w:r>
            <w:r>
              <w:rPr>
                <w:rFonts w:hint="default" w:ascii="Times New Roman" w:hAnsi="Times New Roman" w:cs="Times New Roman"/>
                <w:color w:val="auto"/>
                <w:sz w:val="21"/>
                <w:szCs w:val="21"/>
                <w:vertAlign w:val="baseline"/>
                <w:lang w:val="en-US" w:eastAsia="zh-CN"/>
              </w:rPr>
              <w:sym w:font="Wingdings 2" w:char="00A3"/>
            </w:r>
          </w:p>
          <w:p w14:paraId="6DFE060C">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水环境保护目标质量状况</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：达标</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；不达标</w:t>
            </w:r>
            <w:r>
              <w:rPr>
                <w:rFonts w:hint="default" w:ascii="Times New Roman" w:hAnsi="Times New Roman" w:cs="Times New Roman"/>
                <w:color w:val="auto"/>
                <w:sz w:val="21"/>
                <w:szCs w:val="21"/>
                <w:vertAlign w:val="baseline"/>
                <w:lang w:val="en-US" w:eastAsia="zh-CN"/>
              </w:rPr>
              <w:sym w:font="Wingdings 2" w:char="00A3"/>
            </w:r>
          </w:p>
          <w:p w14:paraId="22574913">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底泥污染评价</w:t>
            </w:r>
            <w:r>
              <w:rPr>
                <w:rFonts w:hint="default" w:ascii="Times New Roman" w:hAnsi="Times New Roman" w:cs="Times New Roman"/>
                <w:color w:val="auto"/>
                <w:sz w:val="21"/>
                <w:szCs w:val="21"/>
                <w:vertAlign w:val="baseline"/>
                <w:lang w:val="en-US" w:eastAsia="zh-CN"/>
              </w:rPr>
              <w:sym w:font="Wingdings 2" w:char="00A3"/>
            </w:r>
          </w:p>
          <w:p w14:paraId="52CEEE88">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水资源与开发利用程度及其水文情势评价</w:t>
            </w:r>
            <w:r>
              <w:rPr>
                <w:rFonts w:hint="default" w:ascii="Times New Roman" w:hAnsi="Times New Roman" w:cs="Times New Roman"/>
                <w:color w:val="auto"/>
                <w:sz w:val="21"/>
                <w:szCs w:val="21"/>
                <w:vertAlign w:val="baseline"/>
                <w:lang w:val="en-US" w:eastAsia="zh-CN"/>
              </w:rPr>
              <w:sym w:font="Wingdings 2" w:char="00A3"/>
            </w:r>
          </w:p>
          <w:p w14:paraId="14ECD1A9">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水环境质量回顾评价</w:t>
            </w:r>
            <w:r>
              <w:rPr>
                <w:rFonts w:hint="default" w:ascii="Times New Roman" w:hAnsi="Times New Roman" w:cs="Times New Roman"/>
                <w:color w:val="auto"/>
                <w:sz w:val="21"/>
                <w:szCs w:val="21"/>
                <w:vertAlign w:val="baseline"/>
                <w:lang w:val="en-US" w:eastAsia="zh-CN"/>
              </w:rPr>
              <w:sym w:font="Wingdings 2" w:char="00A3"/>
            </w:r>
          </w:p>
          <w:p w14:paraId="7DA0BA49">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流域（区域）水资源（包括水能资源）与开发利用总体状况、生态流量管理要求与现状满足程度、建设项目占用水域空间的水流状况与河湖演变状况</w:t>
            </w:r>
            <w:r>
              <w:rPr>
                <w:rFonts w:hint="default" w:ascii="Times New Roman" w:hAnsi="Times New Roman" w:cs="Times New Roman"/>
                <w:color w:val="auto"/>
                <w:sz w:val="21"/>
                <w:szCs w:val="21"/>
                <w:vertAlign w:val="baseline"/>
                <w:lang w:val="en-US" w:eastAsia="zh-CN"/>
              </w:rPr>
              <w:sym w:font="Wingdings 2" w:char="00A3"/>
            </w:r>
          </w:p>
        </w:tc>
        <w:tc>
          <w:tcPr>
            <w:tcW w:w="1075" w:type="pct"/>
            <w:tcBorders>
              <w:tl2br w:val="nil"/>
              <w:tr2bl w:val="nil"/>
            </w:tcBorders>
            <w:noWrap w:val="0"/>
            <w:vAlign w:val="center"/>
          </w:tcPr>
          <w:p w14:paraId="4F126EEA">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达标区</w:t>
            </w:r>
            <w:r>
              <w:rPr>
                <w:rFonts w:hint="default" w:ascii="Times New Roman" w:hAnsi="Times New Roman" w:cs="Times New Roman"/>
                <w:color w:val="auto"/>
                <w:sz w:val="21"/>
                <w:szCs w:val="21"/>
                <w:vertAlign w:val="baseline"/>
                <w:lang w:val="en-US" w:eastAsia="zh-CN"/>
              </w:rPr>
              <w:sym w:font="Wingdings 2" w:char="0052"/>
            </w:r>
          </w:p>
          <w:p w14:paraId="2AE57BC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不达标区</w:t>
            </w:r>
            <w:r>
              <w:rPr>
                <w:rFonts w:hint="default" w:ascii="Times New Roman" w:hAnsi="Times New Roman" w:cs="Times New Roman"/>
                <w:color w:val="auto"/>
                <w:sz w:val="21"/>
                <w:szCs w:val="21"/>
                <w:vertAlign w:val="baseline"/>
                <w:lang w:val="en-US" w:eastAsia="zh-CN"/>
              </w:rPr>
              <w:sym w:font="Wingdings 2" w:char="00A3"/>
            </w:r>
          </w:p>
        </w:tc>
      </w:tr>
      <w:tr w14:paraId="2899D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restart"/>
            <w:tcBorders>
              <w:tl2br w:val="nil"/>
              <w:tr2bl w:val="nil"/>
            </w:tcBorders>
            <w:noWrap w:val="0"/>
            <w:vAlign w:val="center"/>
          </w:tcPr>
          <w:p w14:paraId="48A743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影</w:t>
            </w:r>
            <w:r>
              <w:rPr>
                <w:rFonts w:hint="eastAsia" w:ascii="Times New Roman" w:hAnsi="Times New Roman" w:cs="Times New Roman"/>
                <w:color w:val="auto"/>
                <w:sz w:val="21"/>
                <w:szCs w:val="21"/>
                <w:vertAlign w:val="baseline"/>
                <w:lang w:val="en-US" w:eastAsia="zh-CN"/>
              </w:rPr>
              <w:t>影</w:t>
            </w:r>
            <w:r>
              <w:rPr>
                <w:rFonts w:hint="default" w:ascii="Times New Roman" w:hAnsi="Times New Roman" w:cs="Times New Roman"/>
                <w:color w:val="auto"/>
                <w:sz w:val="21"/>
                <w:szCs w:val="21"/>
                <w:vertAlign w:val="baseline"/>
                <w:lang w:val="en-US" w:eastAsia="zh-CN"/>
              </w:rPr>
              <w:t>响预测</w:t>
            </w:r>
          </w:p>
        </w:tc>
        <w:tc>
          <w:tcPr>
            <w:tcW w:w="587" w:type="pct"/>
            <w:tcBorders>
              <w:tl2br w:val="nil"/>
              <w:tr2bl w:val="nil"/>
            </w:tcBorders>
            <w:noWrap w:val="0"/>
            <w:vAlign w:val="center"/>
          </w:tcPr>
          <w:p w14:paraId="2425D687">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预测范围</w:t>
            </w:r>
          </w:p>
        </w:tc>
        <w:tc>
          <w:tcPr>
            <w:tcW w:w="4190" w:type="pct"/>
            <w:gridSpan w:val="11"/>
            <w:tcBorders>
              <w:tl2br w:val="nil"/>
              <w:tr2bl w:val="nil"/>
            </w:tcBorders>
            <w:noWrap w:val="0"/>
            <w:vAlign w:val="center"/>
          </w:tcPr>
          <w:p w14:paraId="4529988F">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河流：长度（）km；湖库、河口及近岸海域：面积（）km</w:t>
            </w:r>
            <w:r>
              <w:rPr>
                <w:rFonts w:hint="default" w:ascii="Times New Roman" w:hAnsi="Times New Roman" w:cs="Times New Roman"/>
                <w:color w:val="auto"/>
                <w:sz w:val="21"/>
                <w:szCs w:val="21"/>
                <w:vertAlign w:val="superscript"/>
                <w:lang w:val="en-US" w:eastAsia="zh-CN"/>
              </w:rPr>
              <w:t>2</w:t>
            </w:r>
          </w:p>
        </w:tc>
      </w:tr>
      <w:tr w14:paraId="2B5A7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30E38D0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22ED628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预测因子</w:t>
            </w:r>
          </w:p>
        </w:tc>
        <w:tc>
          <w:tcPr>
            <w:tcW w:w="4190" w:type="pct"/>
            <w:gridSpan w:val="11"/>
            <w:tcBorders>
              <w:tl2br w:val="nil"/>
              <w:tr2bl w:val="nil"/>
            </w:tcBorders>
            <w:noWrap w:val="0"/>
            <w:vAlign w:val="center"/>
          </w:tcPr>
          <w:p w14:paraId="2AF19F9B">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r>
      <w:tr w14:paraId="2C4BB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221" w:type="pct"/>
            <w:vMerge w:val="continue"/>
            <w:tcBorders>
              <w:tl2br w:val="nil"/>
              <w:tr2bl w:val="nil"/>
            </w:tcBorders>
            <w:noWrap w:val="0"/>
            <w:vAlign w:val="center"/>
          </w:tcPr>
          <w:p w14:paraId="3150F5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2860067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预测时期</w:t>
            </w:r>
          </w:p>
        </w:tc>
        <w:tc>
          <w:tcPr>
            <w:tcW w:w="4190" w:type="pct"/>
            <w:gridSpan w:val="11"/>
            <w:tcBorders>
              <w:tl2br w:val="nil"/>
              <w:tr2bl w:val="nil"/>
            </w:tcBorders>
            <w:noWrap w:val="0"/>
            <w:vAlign w:val="center"/>
          </w:tcPr>
          <w:p w14:paraId="0EA084A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丰水期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；平水期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；枯水期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；冰封期</w:t>
            </w:r>
            <w:r>
              <w:rPr>
                <w:rFonts w:hint="default" w:ascii="Times New Roman" w:hAnsi="Times New Roman" w:cs="Times New Roman"/>
                <w:color w:val="auto"/>
                <w:sz w:val="21"/>
                <w:szCs w:val="21"/>
                <w:vertAlign w:val="baseline"/>
                <w:lang w:val="en-US" w:eastAsia="zh-CN"/>
              </w:rPr>
              <w:sym w:font="Wingdings 2" w:char="00A3"/>
            </w:r>
          </w:p>
          <w:p w14:paraId="2DAFD54B">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春季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；夏季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；秋季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；冬季</w:t>
            </w:r>
            <w:r>
              <w:rPr>
                <w:rFonts w:hint="default" w:ascii="Times New Roman" w:hAnsi="Times New Roman" w:cs="Times New Roman"/>
                <w:color w:val="auto"/>
                <w:sz w:val="21"/>
                <w:szCs w:val="21"/>
                <w:vertAlign w:val="baseline"/>
                <w:lang w:val="en-US" w:eastAsia="zh-CN"/>
              </w:rPr>
              <w:sym w:font="Wingdings 2" w:char="00A3"/>
            </w:r>
          </w:p>
          <w:p w14:paraId="4AEF90E5">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设计水文条件</w:t>
            </w:r>
            <w:r>
              <w:rPr>
                <w:rFonts w:hint="default" w:ascii="Times New Roman" w:hAnsi="Times New Roman" w:cs="Times New Roman"/>
                <w:color w:val="auto"/>
                <w:sz w:val="21"/>
                <w:szCs w:val="21"/>
                <w:vertAlign w:val="baseline"/>
                <w:lang w:val="en-US" w:eastAsia="zh-CN"/>
              </w:rPr>
              <w:sym w:font="Wingdings 2" w:char="00A3"/>
            </w:r>
          </w:p>
        </w:tc>
      </w:tr>
      <w:tr w14:paraId="2F8DA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221" w:type="pct"/>
            <w:vMerge w:val="continue"/>
            <w:tcBorders>
              <w:tl2br w:val="nil"/>
              <w:tr2bl w:val="nil"/>
            </w:tcBorders>
            <w:noWrap w:val="0"/>
            <w:vAlign w:val="center"/>
          </w:tcPr>
          <w:p w14:paraId="5ADD68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4D0D8BFC">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预测情景</w:t>
            </w:r>
          </w:p>
        </w:tc>
        <w:tc>
          <w:tcPr>
            <w:tcW w:w="4190" w:type="pct"/>
            <w:gridSpan w:val="11"/>
            <w:tcBorders>
              <w:tl2br w:val="nil"/>
              <w:tr2bl w:val="nil"/>
            </w:tcBorders>
            <w:noWrap w:val="0"/>
            <w:vAlign w:val="center"/>
          </w:tcPr>
          <w:p w14:paraId="66B74553">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建设期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；生产运行期</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；服务期满后</w:t>
            </w:r>
            <w:r>
              <w:rPr>
                <w:rFonts w:hint="default" w:ascii="Times New Roman" w:hAnsi="Times New Roman" w:cs="Times New Roman"/>
                <w:color w:val="auto"/>
                <w:sz w:val="21"/>
                <w:szCs w:val="21"/>
                <w:vertAlign w:val="baseline"/>
                <w:lang w:val="en-US" w:eastAsia="zh-CN"/>
              </w:rPr>
              <w:sym w:font="Wingdings 2" w:char="00A3"/>
            </w:r>
          </w:p>
          <w:p w14:paraId="4B835DFD">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正常工况</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；非正常工况</w:t>
            </w:r>
            <w:r>
              <w:rPr>
                <w:rFonts w:hint="default" w:ascii="Times New Roman" w:hAnsi="Times New Roman" w:cs="Times New Roman"/>
                <w:color w:val="auto"/>
                <w:sz w:val="21"/>
                <w:szCs w:val="21"/>
                <w:vertAlign w:val="baseline"/>
                <w:lang w:val="en-US" w:eastAsia="zh-CN"/>
              </w:rPr>
              <w:sym w:font="Wingdings 2" w:char="00A3"/>
            </w:r>
          </w:p>
          <w:p w14:paraId="528AF0A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污染控制和减缓措施方案</w:t>
            </w:r>
            <w:r>
              <w:rPr>
                <w:rFonts w:hint="default" w:ascii="Times New Roman" w:hAnsi="Times New Roman" w:cs="Times New Roman"/>
                <w:color w:val="auto"/>
                <w:sz w:val="21"/>
                <w:szCs w:val="21"/>
                <w:vertAlign w:val="baseline"/>
                <w:lang w:val="en-US" w:eastAsia="zh-CN"/>
              </w:rPr>
              <w:sym w:font="Wingdings 2" w:char="00A3"/>
            </w:r>
          </w:p>
          <w:p w14:paraId="74D6EA63">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区（流）域环境质量改善目标要求情景</w:t>
            </w:r>
            <w:r>
              <w:rPr>
                <w:rFonts w:hint="default" w:ascii="Times New Roman" w:hAnsi="Times New Roman" w:cs="Times New Roman"/>
                <w:color w:val="auto"/>
                <w:sz w:val="21"/>
                <w:szCs w:val="21"/>
                <w:vertAlign w:val="baseline"/>
                <w:lang w:val="en-US" w:eastAsia="zh-CN"/>
              </w:rPr>
              <w:sym w:font="Wingdings 2" w:char="00A3"/>
            </w:r>
          </w:p>
        </w:tc>
      </w:tr>
      <w:tr w14:paraId="1AB1F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42714F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57367B9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预测方法</w:t>
            </w:r>
          </w:p>
        </w:tc>
        <w:tc>
          <w:tcPr>
            <w:tcW w:w="4190" w:type="pct"/>
            <w:gridSpan w:val="11"/>
            <w:tcBorders>
              <w:tl2br w:val="nil"/>
              <w:tr2bl w:val="nil"/>
            </w:tcBorders>
            <w:noWrap w:val="0"/>
            <w:vAlign w:val="center"/>
          </w:tcPr>
          <w:p w14:paraId="2E29FA4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数值解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；解析解</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p w14:paraId="4FD3A7BA">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导则推荐模式</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r>
      <w:tr w14:paraId="7C822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 w:hRule="atLeast"/>
        </w:trPr>
        <w:tc>
          <w:tcPr>
            <w:tcW w:w="221" w:type="pct"/>
            <w:vMerge w:val="restart"/>
            <w:tcBorders>
              <w:tl2br w:val="nil"/>
              <w:tr2bl w:val="nil"/>
            </w:tcBorders>
            <w:noWrap w:val="0"/>
            <w:vAlign w:val="center"/>
          </w:tcPr>
          <w:p w14:paraId="344A87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影</w:t>
            </w:r>
            <w:r>
              <w:rPr>
                <w:rFonts w:hint="eastAsia" w:ascii="Times New Roman" w:hAnsi="Times New Roman" w:cs="Times New Roman"/>
                <w:color w:val="auto"/>
                <w:sz w:val="21"/>
                <w:szCs w:val="21"/>
                <w:vertAlign w:val="baseline"/>
                <w:lang w:val="en-US" w:eastAsia="zh-CN"/>
              </w:rPr>
              <w:t>影</w:t>
            </w:r>
            <w:r>
              <w:rPr>
                <w:rFonts w:hint="default" w:ascii="Times New Roman" w:hAnsi="Times New Roman" w:cs="Times New Roman"/>
                <w:color w:val="auto"/>
                <w:sz w:val="21"/>
                <w:szCs w:val="21"/>
                <w:vertAlign w:val="baseline"/>
                <w:lang w:val="en-US" w:eastAsia="zh-CN"/>
              </w:rPr>
              <w:t>响评价</w:t>
            </w:r>
          </w:p>
        </w:tc>
        <w:tc>
          <w:tcPr>
            <w:tcW w:w="587" w:type="pct"/>
            <w:tcBorders>
              <w:tl2br w:val="nil"/>
              <w:tr2bl w:val="nil"/>
            </w:tcBorders>
            <w:noWrap w:val="0"/>
            <w:vAlign w:val="center"/>
          </w:tcPr>
          <w:p w14:paraId="78E139A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水污染控制和水环境影响减缓措施有效性评价</w:t>
            </w:r>
          </w:p>
        </w:tc>
        <w:tc>
          <w:tcPr>
            <w:tcW w:w="4190" w:type="pct"/>
            <w:gridSpan w:val="11"/>
            <w:tcBorders>
              <w:tl2br w:val="nil"/>
              <w:tr2bl w:val="nil"/>
            </w:tcBorders>
            <w:noWrap w:val="0"/>
            <w:vAlign w:val="center"/>
          </w:tcPr>
          <w:p w14:paraId="2A2FD32E">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流域（区域）水环境质量改善目标</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；替代消减源</w:t>
            </w:r>
            <w:r>
              <w:rPr>
                <w:rFonts w:hint="default" w:ascii="Times New Roman" w:hAnsi="Times New Roman" w:cs="Times New Roman"/>
                <w:color w:val="auto"/>
                <w:sz w:val="21"/>
                <w:szCs w:val="21"/>
                <w:vertAlign w:val="baseline"/>
                <w:lang w:val="en-US" w:eastAsia="zh-CN"/>
              </w:rPr>
              <w:sym w:font="Wingdings 2" w:char="00A3"/>
            </w:r>
          </w:p>
        </w:tc>
      </w:tr>
      <w:tr w14:paraId="3138C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8" w:hRule="atLeast"/>
        </w:trPr>
        <w:tc>
          <w:tcPr>
            <w:tcW w:w="221" w:type="pct"/>
            <w:vMerge w:val="continue"/>
            <w:tcBorders>
              <w:tl2br w:val="nil"/>
              <w:tr2bl w:val="nil"/>
            </w:tcBorders>
            <w:noWrap w:val="0"/>
            <w:vAlign w:val="center"/>
          </w:tcPr>
          <w:p w14:paraId="224089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056D382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水环境影响评价</w:t>
            </w:r>
          </w:p>
        </w:tc>
        <w:tc>
          <w:tcPr>
            <w:tcW w:w="4190" w:type="pct"/>
            <w:gridSpan w:val="11"/>
            <w:tcBorders>
              <w:tl2br w:val="nil"/>
              <w:tr2bl w:val="nil"/>
            </w:tcBorders>
            <w:noWrap w:val="0"/>
            <w:vAlign w:val="center"/>
          </w:tcPr>
          <w:p w14:paraId="17AE133C">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排放口混合区外满足水环境管理要求</w:t>
            </w:r>
            <w:r>
              <w:rPr>
                <w:rFonts w:hint="default" w:ascii="Times New Roman" w:hAnsi="Times New Roman" w:cs="Times New Roman"/>
                <w:color w:val="auto"/>
                <w:sz w:val="21"/>
                <w:szCs w:val="21"/>
                <w:vertAlign w:val="baseline"/>
                <w:lang w:val="en-US" w:eastAsia="zh-CN"/>
              </w:rPr>
              <w:sym w:font="Wingdings 2" w:char="00A3"/>
            </w:r>
          </w:p>
          <w:p w14:paraId="5783C13D">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水环境功能区或水功能区、近岸海域环境功能区水质达标</w:t>
            </w:r>
            <w:r>
              <w:rPr>
                <w:rFonts w:hint="default" w:ascii="Times New Roman" w:hAnsi="Times New Roman" w:cs="Times New Roman"/>
                <w:color w:val="auto"/>
                <w:sz w:val="21"/>
                <w:szCs w:val="21"/>
                <w:vertAlign w:val="baseline"/>
                <w:lang w:val="en-US" w:eastAsia="zh-CN"/>
              </w:rPr>
              <w:sym w:font="Wingdings 2" w:char="00A3"/>
            </w:r>
          </w:p>
          <w:p w14:paraId="478FDD92">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满足水环境保护目标水域水环境质量要求</w:t>
            </w:r>
            <w:r>
              <w:rPr>
                <w:rFonts w:hint="default" w:ascii="Times New Roman" w:hAnsi="Times New Roman" w:cs="Times New Roman"/>
                <w:color w:val="auto"/>
                <w:sz w:val="21"/>
                <w:szCs w:val="21"/>
                <w:vertAlign w:val="baseline"/>
                <w:lang w:val="en-US" w:eastAsia="zh-CN"/>
              </w:rPr>
              <w:sym w:font="Wingdings 2" w:char="00A3"/>
            </w:r>
          </w:p>
          <w:p w14:paraId="426420E7">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水环境控制单元与断面水质达标</w:t>
            </w:r>
            <w:r>
              <w:rPr>
                <w:rFonts w:hint="default" w:ascii="Times New Roman" w:hAnsi="Times New Roman" w:cs="Times New Roman"/>
                <w:color w:val="auto"/>
                <w:sz w:val="21"/>
                <w:szCs w:val="21"/>
                <w:vertAlign w:val="baseline"/>
                <w:lang w:val="en-US" w:eastAsia="zh-CN"/>
              </w:rPr>
              <w:sym w:font="Wingdings 2" w:char="00A3"/>
            </w:r>
          </w:p>
          <w:p w14:paraId="40BC02C4">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满足重点水污染物排放总量控制指标要求，重点行业建设项目；主要污染物排放满足等量或减量替代要求</w:t>
            </w:r>
            <w:r>
              <w:rPr>
                <w:rFonts w:hint="default" w:ascii="Times New Roman" w:hAnsi="Times New Roman" w:cs="Times New Roman"/>
                <w:color w:val="auto"/>
                <w:sz w:val="21"/>
                <w:szCs w:val="21"/>
                <w:vertAlign w:val="baseline"/>
                <w:lang w:val="en-US" w:eastAsia="zh-CN"/>
              </w:rPr>
              <w:sym w:font="Wingdings 2" w:char="00A3"/>
            </w:r>
          </w:p>
          <w:p w14:paraId="33D19A3D">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满足区（流）域水环境质量改善目标要求</w:t>
            </w:r>
            <w:r>
              <w:rPr>
                <w:rFonts w:hint="default" w:ascii="Times New Roman" w:hAnsi="Times New Roman" w:cs="Times New Roman"/>
                <w:color w:val="auto"/>
                <w:sz w:val="21"/>
                <w:szCs w:val="21"/>
                <w:vertAlign w:val="baseline"/>
                <w:lang w:val="en-US" w:eastAsia="zh-CN"/>
              </w:rPr>
              <w:sym w:font="Wingdings 2" w:char="00A3"/>
            </w:r>
          </w:p>
          <w:p w14:paraId="7684A166">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水文要素影响型建设项目同时应包括水文情势变化评价、主要水文特征值影响评价、生态流量符合性评价</w:t>
            </w:r>
            <w:r>
              <w:rPr>
                <w:rFonts w:hint="default" w:ascii="Times New Roman" w:hAnsi="Times New Roman" w:cs="Times New Roman"/>
                <w:color w:val="auto"/>
                <w:sz w:val="21"/>
                <w:szCs w:val="21"/>
                <w:vertAlign w:val="baseline"/>
                <w:lang w:val="en-US" w:eastAsia="zh-CN"/>
              </w:rPr>
              <w:sym w:font="Wingdings 2" w:char="00A3"/>
            </w:r>
          </w:p>
          <w:p w14:paraId="55C4A974">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对于新设或调整入河（湖库、近岸海域）排放口的建设项目，应包括排放口设置的环境和理性评价</w:t>
            </w:r>
            <w:r>
              <w:rPr>
                <w:rFonts w:hint="default" w:ascii="Times New Roman" w:hAnsi="Times New Roman" w:cs="Times New Roman"/>
                <w:color w:val="auto"/>
                <w:sz w:val="21"/>
                <w:szCs w:val="21"/>
                <w:vertAlign w:val="baseline"/>
                <w:lang w:val="en-US" w:eastAsia="zh-CN"/>
              </w:rPr>
              <w:sym w:font="Wingdings 2" w:char="00A3"/>
            </w:r>
          </w:p>
          <w:p w14:paraId="07A860EA">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满足生态保护红线、水环境质量底线、资源利用上线和环境准入清单管理要求</w:t>
            </w:r>
            <w:r>
              <w:rPr>
                <w:rFonts w:hint="default" w:ascii="Times New Roman" w:hAnsi="Times New Roman" w:cs="Times New Roman"/>
                <w:color w:val="auto"/>
                <w:sz w:val="21"/>
                <w:szCs w:val="21"/>
                <w:vertAlign w:val="baseline"/>
                <w:lang w:val="en-US" w:eastAsia="zh-CN"/>
              </w:rPr>
              <w:sym w:font="Wingdings 2" w:char="00A3"/>
            </w:r>
          </w:p>
        </w:tc>
      </w:tr>
      <w:tr w14:paraId="4BEDD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3C8737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restart"/>
            <w:tcBorders>
              <w:tl2br w:val="nil"/>
              <w:tr2bl w:val="nil"/>
            </w:tcBorders>
            <w:noWrap w:val="0"/>
            <w:vAlign w:val="center"/>
          </w:tcPr>
          <w:p w14:paraId="00E3FB5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污染源排放量核算</w:t>
            </w:r>
          </w:p>
        </w:tc>
        <w:tc>
          <w:tcPr>
            <w:tcW w:w="1088" w:type="pct"/>
            <w:gridSpan w:val="2"/>
            <w:tcBorders>
              <w:tl2br w:val="nil"/>
              <w:tr2bl w:val="nil"/>
            </w:tcBorders>
            <w:noWrap w:val="0"/>
            <w:vAlign w:val="center"/>
          </w:tcPr>
          <w:p w14:paraId="6625AE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污染物名称</w:t>
            </w:r>
          </w:p>
        </w:tc>
        <w:tc>
          <w:tcPr>
            <w:tcW w:w="1648" w:type="pct"/>
            <w:gridSpan w:val="5"/>
            <w:tcBorders>
              <w:tl2br w:val="nil"/>
              <w:tr2bl w:val="nil"/>
            </w:tcBorders>
            <w:noWrap w:val="0"/>
            <w:vAlign w:val="center"/>
          </w:tcPr>
          <w:p w14:paraId="1406D5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排放量/（t/a）</w:t>
            </w:r>
          </w:p>
        </w:tc>
        <w:tc>
          <w:tcPr>
            <w:tcW w:w="1453" w:type="pct"/>
            <w:gridSpan w:val="4"/>
            <w:tcBorders>
              <w:tl2br w:val="nil"/>
              <w:tr2bl w:val="nil"/>
            </w:tcBorders>
            <w:noWrap w:val="0"/>
            <w:vAlign w:val="center"/>
          </w:tcPr>
          <w:p w14:paraId="65AD496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排放浓度/（mg/L）</w:t>
            </w:r>
          </w:p>
        </w:tc>
      </w:tr>
      <w:tr w14:paraId="1E6CD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063217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15B773B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088" w:type="pct"/>
            <w:gridSpan w:val="2"/>
            <w:tcBorders>
              <w:tl2br w:val="nil"/>
              <w:tr2bl w:val="nil"/>
            </w:tcBorders>
            <w:noWrap w:val="0"/>
            <w:vAlign w:val="center"/>
          </w:tcPr>
          <w:p w14:paraId="7AC0DD84">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1648" w:type="pct"/>
            <w:gridSpan w:val="5"/>
            <w:tcBorders>
              <w:tl2br w:val="nil"/>
              <w:tr2bl w:val="nil"/>
            </w:tcBorders>
            <w:noWrap w:val="0"/>
            <w:vAlign w:val="center"/>
          </w:tcPr>
          <w:p w14:paraId="25F4B817">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1453" w:type="pct"/>
            <w:gridSpan w:val="4"/>
            <w:tcBorders>
              <w:tl2br w:val="nil"/>
              <w:tr2bl w:val="nil"/>
            </w:tcBorders>
            <w:noWrap w:val="0"/>
            <w:vAlign w:val="center"/>
          </w:tcPr>
          <w:p w14:paraId="7DD61B11">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r>
      <w:tr w14:paraId="22F5E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752753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restart"/>
            <w:tcBorders>
              <w:tl2br w:val="nil"/>
              <w:tr2bl w:val="nil"/>
            </w:tcBorders>
            <w:noWrap w:val="0"/>
            <w:vAlign w:val="center"/>
          </w:tcPr>
          <w:p w14:paraId="41070D2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替代源排放情况</w:t>
            </w:r>
          </w:p>
        </w:tc>
        <w:tc>
          <w:tcPr>
            <w:tcW w:w="752" w:type="pct"/>
            <w:tcBorders>
              <w:tl2br w:val="nil"/>
              <w:tr2bl w:val="nil"/>
            </w:tcBorders>
            <w:noWrap w:val="0"/>
            <w:vAlign w:val="center"/>
          </w:tcPr>
          <w:p w14:paraId="528BDE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污染源名称</w:t>
            </w:r>
          </w:p>
        </w:tc>
        <w:tc>
          <w:tcPr>
            <w:tcW w:w="752" w:type="pct"/>
            <w:gridSpan w:val="3"/>
            <w:tcBorders>
              <w:tl2br w:val="nil"/>
              <w:tr2bl w:val="nil"/>
            </w:tcBorders>
            <w:noWrap w:val="0"/>
            <w:vAlign w:val="center"/>
          </w:tcPr>
          <w:p w14:paraId="095D07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排污许可证编号</w:t>
            </w:r>
          </w:p>
        </w:tc>
        <w:tc>
          <w:tcPr>
            <w:tcW w:w="765" w:type="pct"/>
            <w:gridSpan w:val="2"/>
            <w:tcBorders>
              <w:tl2br w:val="nil"/>
              <w:tr2bl w:val="nil"/>
            </w:tcBorders>
            <w:noWrap w:val="0"/>
            <w:vAlign w:val="center"/>
          </w:tcPr>
          <w:p w14:paraId="6ADE41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污染物名称</w:t>
            </w:r>
          </w:p>
        </w:tc>
        <w:tc>
          <w:tcPr>
            <w:tcW w:w="819" w:type="pct"/>
            <w:gridSpan w:val="3"/>
            <w:tcBorders>
              <w:tl2br w:val="nil"/>
              <w:tr2bl w:val="nil"/>
            </w:tcBorders>
            <w:noWrap w:val="0"/>
            <w:vAlign w:val="center"/>
          </w:tcPr>
          <w:p w14:paraId="237E4D3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排放量/（t/a）</w:t>
            </w:r>
          </w:p>
        </w:tc>
        <w:tc>
          <w:tcPr>
            <w:tcW w:w="1100" w:type="pct"/>
            <w:gridSpan w:val="2"/>
            <w:tcBorders>
              <w:tl2br w:val="nil"/>
              <w:tr2bl w:val="nil"/>
            </w:tcBorders>
            <w:noWrap w:val="0"/>
            <w:vAlign w:val="center"/>
          </w:tcPr>
          <w:p w14:paraId="635E03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排放浓度/（mg/L）</w:t>
            </w:r>
          </w:p>
        </w:tc>
      </w:tr>
      <w:tr w14:paraId="43582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39D57A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21DA5F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752" w:type="pct"/>
            <w:tcBorders>
              <w:tl2br w:val="nil"/>
              <w:tr2bl w:val="nil"/>
            </w:tcBorders>
            <w:noWrap w:val="0"/>
            <w:vAlign w:val="center"/>
          </w:tcPr>
          <w:p w14:paraId="12A1D5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752" w:type="pct"/>
            <w:gridSpan w:val="3"/>
            <w:tcBorders>
              <w:tl2br w:val="nil"/>
              <w:tr2bl w:val="nil"/>
            </w:tcBorders>
            <w:noWrap w:val="0"/>
            <w:vAlign w:val="center"/>
          </w:tcPr>
          <w:p w14:paraId="14AD55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765" w:type="pct"/>
            <w:gridSpan w:val="2"/>
            <w:tcBorders>
              <w:tl2br w:val="nil"/>
              <w:tr2bl w:val="nil"/>
            </w:tcBorders>
            <w:noWrap w:val="0"/>
            <w:vAlign w:val="center"/>
          </w:tcPr>
          <w:p w14:paraId="4F3F15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819" w:type="pct"/>
            <w:gridSpan w:val="3"/>
            <w:tcBorders>
              <w:tl2br w:val="nil"/>
              <w:tr2bl w:val="nil"/>
            </w:tcBorders>
            <w:noWrap w:val="0"/>
            <w:vAlign w:val="center"/>
          </w:tcPr>
          <w:p w14:paraId="11479A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1100" w:type="pct"/>
            <w:gridSpan w:val="2"/>
            <w:tcBorders>
              <w:tl2br w:val="nil"/>
              <w:tr2bl w:val="nil"/>
            </w:tcBorders>
            <w:noWrap w:val="0"/>
            <w:vAlign w:val="center"/>
          </w:tcPr>
          <w:p w14:paraId="1F8396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r>
      <w:tr w14:paraId="0CBAB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62276C6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02D5375E">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生态流量确定</w:t>
            </w:r>
          </w:p>
        </w:tc>
        <w:tc>
          <w:tcPr>
            <w:tcW w:w="4190" w:type="pct"/>
            <w:gridSpan w:val="11"/>
            <w:tcBorders>
              <w:tl2br w:val="nil"/>
              <w:tr2bl w:val="nil"/>
            </w:tcBorders>
            <w:noWrap w:val="0"/>
            <w:vAlign w:val="center"/>
          </w:tcPr>
          <w:p w14:paraId="35383FA4">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生态流量：一般水期（）m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vertAlign w:val="baseline"/>
                <w:lang w:val="en-US" w:eastAsia="zh-CN"/>
              </w:rPr>
              <w:t>/s；鱼类繁殖期（）m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vertAlign w:val="baseline"/>
                <w:lang w:val="en-US" w:eastAsia="zh-CN"/>
              </w:rPr>
              <w:t>/s；其他m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vertAlign w:val="baseline"/>
                <w:lang w:val="en-US" w:eastAsia="zh-CN"/>
              </w:rPr>
              <w:t>/s</w:t>
            </w:r>
          </w:p>
          <w:p w14:paraId="48EC7BBD">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生态水位：一般水期（）m；鱼类繁殖期（）m；其他m</w:t>
            </w:r>
          </w:p>
        </w:tc>
      </w:tr>
      <w:tr w14:paraId="26C9D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restart"/>
            <w:tcBorders>
              <w:tl2br w:val="nil"/>
              <w:tr2bl w:val="nil"/>
            </w:tcBorders>
            <w:noWrap w:val="0"/>
            <w:vAlign w:val="center"/>
          </w:tcPr>
          <w:p w14:paraId="43B689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防</w:t>
            </w:r>
            <w:r>
              <w:rPr>
                <w:rFonts w:hint="eastAsia" w:ascii="Times New Roman" w:hAnsi="Times New Roman" w:cs="Times New Roman"/>
                <w:color w:val="auto"/>
                <w:sz w:val="21"/>
                <w:szCs w:val="21"/>
                <w:vertAlign w:val="baseline"/>
                <w:lang w:val="en-US" w:eastAsia="zh-CN"/>
              </w:rPr>
              <w:t>防</w:t>
            </w:r>
            <w:r>
              <w:rPr>
                <w:rFonts w:hint="default" w:ascii="Times New Roman" w:hAnsi="Times New Roman" w:cs="Times New Roman"/>
                <w:color w:val="auto"/>
                <w:sz w:val="21"/>
                <w:szCs w:val="21"/>
                <w:vertAlign w:val="baseline"/>
                <w:lang w:val="en-US" w:eastAsia="zh-CN"/>
              </w:rPr>
              <w:t>治措施</w:t>
            </w:r>
          </w:p>
        </w:tc>
        <w:tc>
          <w:tcPr>
            <w:tcW w:w="587" w:type="pct"/>
            <w:tcBorders>
              <w:tl2br w:val="nil"/>
              <w:tr2bl w:val="nil"/>
            </w:tcBorders>
            <w:noWrap w:val="0"/>
            <w:vAlign w:val="center"/>
          </w:tcPr>
          <w:p w14:paraId="0912605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环保措施</w:t>
            </w:r>
          </w:p>
        </w:tc>
        <w:tc>
          <w:tcPr>
            <w:tcW w:w="4190" w:type="pct"/>
            <w:gridSpan w:val="11"/>
            <w:tcBorders>
              <w:tl2br w:val="nil"/>
              <w:tr2bl w:val="nil"/>
            </w:tcBorders>
            <w:noWrap w:val="0"/>
            <w:vAlign w:val="center"/>
          </w:tcPr>
          <w:p w14:paraId="15386184">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污水处理设施</w:t>
            </w:r>
            <w:r>
              <w:rPr>
                <w:rFonts w:hint="default" w:ascii="Times New Roman" w:hAnsi="Times New Roman" w:cs="Times New Roman"/>
                <w:color w:val="auto"/>
                <w:sz w:val="21"/>
                <w:szCs w:val="21"/>
                <w:vertAlign w:val="baseline"/>
                <w:lang w:val="en-US" w:eastAsia="zh-CN"/>
              </w:rPr>
              <w:sym w:font="Wingdings 2" w:char="0052"/>
            </w:r>
            <w:r>
              <w:rPr>
                <w:rFonts w:hint="default" w:ascii="Times New Roman" w:hAnsi="Times New Roman" w:cs="Times New Roman"/>
                <w:color w:val="auto"/>
                <w:sz w:val="21"/>
                <w:szCs w:val="21"/>
                <w:vertAlign w:val="baseline"/>
                <w:lang w:val="en-US" w:eastAsia="zh-CN"/>
              </w:rPr>
              <w:t>；水文减缓设施</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；生态流量保障设施</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；区域削减</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；依托其他工程措施</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；其他</w:t>
            </w:r>
            <w:r>
              <w:rPr>
                <w:rFonts w:hint="default" w:ascii="Times New Roman" w:hAnsi="Times New Roman" w:cs="Times New Roman"/>
                <w:color w:val="auto"/>
                <w:sz w:val="21"/>
                <w:szCs w:val="21"/>
                <w:vertAlign w:val="baseline"/>
                <w:lang w:val="en-US" w:eastAsia="zh-CN"/>
              </w:rPr>
              <w:sym w:font="Wingdings 2" w:char="00A3"/>
            </w:r>
          </w:p>
        </w:tc>
      </w:tr>
      <w:tr w14:paraId="07679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6F7CD03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restart"/>
            <w:tcBorders>
              <w:tl2br w:val="nil"/>
              <w:tr2bl w:val="nil"/>
            </w:tcBorders>
            <w:noWrap w:val="0"/>
            <w:vAlign w:val="center"/>
          </w:tcPr>
          <w:p w14:paraId="237773F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监测计划</w:t>
            </w:r>
          </w:p>
        </w:tc>
        <w:tc>
          <w:tcPr>
            <w:tcW w:w="1327" w:type="pct"/>
            <w:gridSpan w:val="3"/>
            <w:tcBorders>
              <w:tl2br w:val="nil"/>
              <w:tr2bl w:val="nil"/>
            </w:tcBorders>
            <w:noWrap w:val="0"/>
            <w:vAlign w:val="center"/>
          </w:tcPr>
          <w:p w14:paraId="428136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573" w:type="pct"/>
            <w:gridSpan w:val="5"/>
            <w:tcBorders>
              <w:tl2br w:val="nil"/>
              <w:tr2bl w:val="nil"/>
            </w:tcBorders>
            <w:noWrap w:val="0"/>
            <w:vAlign w:val="center"/>
          </w:tcPr>
          <w:p w14:paraId="6415C6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环境质量</w:t>
            </w:r>
          </w:p>
        </w:tc>
        <w:tc>
          <w:tcPr>
            <w:tcW w:w="1290" w:type="pct"/>
            <w:gridSpan w:val="3"/>
            <w:tcBorders>
              <w:tl2br w:val="nil"/>
              <w:tr2bl w:val="nil"/>
            </w:tcBorders>
            <w:noWrap w:val="0"/>
            <w:vAlign w:val="center"/>
          </w:tcPr>
          <w:p w14:paraId="12D360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污染源</w:t>
            </w:r>
          </w:p>
        </w:tc>
      </w:tr>
      <w:tr w14:paraId="5E9EB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3E0B05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08BDC7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327" w:type="pct"/>
            <w:gridSpan w:val="3"/>
            <w:tcBorders>
              <w:tl2br w:val="nil"/>
              <w:tr2bl w:val="nil"/>
            </w:tcBorders>
            <w:noWrap w:val="0"/>
            <w:vAlign w:val="center"/>
          </w:tcPr>
          <w:p w14:paraId="6B8F9E1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监测方式</w:t>
            </w:r>
          </w:p>
        </w:tc>
        <w:tc>
          <w:tcPr>
            <w:tcW w:w="1573" w:type="pct"/>
            <w:gridSpan w:val="5"/>
            <w:tcBorders>
              <w:tl2br w:val="nil"/>
              <w:tr2bl w:val="nil"/>
            </w:tcBorders>
            <w:noWrap w:val="0"/>
            <w:vAlign w:val="center"/>
          </w:tcPr>
          <w:p w14:paraId="44422D9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手动</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；自动</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；无监测</w:t>
            </w:r>
            <w:r>
              <w:rPr>
                <w:rFonts w:hint="default" w:ascii="Times New Roman" w:hAnsi="Times New Roman" w:cs="Times New Roman"/>
                <w:color w:val="auto"/>
                <w:sz w:val="21"/>
                <w:szCs w:val="21"/>
                <w:vertAlign w:val="baseline"/>
                <w:lang w:val="en-US" w:eastAsia="zh-CN"/>
              </w:rPr>
              <w:sym w:font="Wingdings 2" w:char="0052"/>
            </w:r>
          </w:p>
        </w:tc>
        <w:tc>
          <w:tcPr>
            <w:tcW w:w="1290" w:type="pct"/>
            <w:gridSpan w:val="3"/>
            <w:tcBorders>
              <w:tl2br w:val="nil"/>
              <w:tr2bl w:val="nil"/>
            </w:tcBorders>
            <w:noWrap w:val="0"/>
            <w:vAlign w:val="center"/>
          </w:tcPr>
          <w:p w14:paraId="7C6011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手动</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；自动</w:t>
            </w:r>
            <w:r>
              <w:rPr>
                <w:rFonts w:hint="default" w:ascii="Times New Roman" w:hAnsi="Times New Roman" w:cs="Times New Roman"/>
                <w:color w:val="auto"/>
                <w:sz w:val="21"/>
                <w:szCs w:val="21"/>
                <w:vertAlign w:val="baseline"/>
                <w:lang w:val="en-US" w:eastAsia="zh-CN"/>
              </w:rPr>
              <w:sym w:font="Wingdings 2" w:char="00A3"/>
            </w:r>
            <w:r>
              <w:rPr>
                <w:rFonts w:hint="default" w:ascii="Times New Roman" w:hAnsi="Times New Roman" w:cs="Times New Roman"/>
                <w:color w:val="auto"/>
                <w:sz w:val="21"/>
                <w:szCs w:val="21"/>
                <w:vertAlign w:val="baseline"/>
                <w:lang w:val="en-US" w:eastAsia="zh-CN"/>
              </w:rPr>
              <w:t>；无监测</w:t>
            </w:r>
            <w:r>
              <w:rPr>
                <w:rFonts w:hint="default" w:ascii="Times New Roman" w:hAnsi="Times New Roman" w:cs="Times New Roman"/>
                <w:color w:val="auto"/>
                <w:sz w:val="21"/>
                <w:szCs w:val="21"/>
                <w:vertAlign w:val="baseline"/>
                <w:lang w:val="en-US" w:eastAsia="zh-CN"/>
              </w:rPr>
              <w:sym w:font="Wingdings 2" w:char="00A3"/>
            </w:r>
          </w:p>
        </w:tc>
      </w:tr>
      <w:tr w14:paraId="282B5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4379D40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5AA956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327" w:type="pct"/>
            <w:gridSpan w:val="3"/>
            <w:tcBorders>
              <w:tl2br w:val="nil"/>
              <w:tr2bl w:val="nil"/>
            </w:tcBorders>
            <w:noWrap w:val="0"/>
            <w:vAlign w:val="center"/>
          </w:tcPr>
          <w:p w14:paraId="2947B3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监测点位</w:t>
            </w:r>
          </w:p>
        </w:tc>
        <w:tc>
          <w:tcPr>
            <w:tcW w:w="1573" w:type="pct"/>
            <w:gridSpan w:val="5"/>
            <w:tcBorders>
              <w:tl2br w:val="nil"/>
              <w:tr2bl w:val="nil"/>
            </w:tcBorders>
            <w:noWrap w:val="0"/>
            <w:vAlign w:val="center"/>
          </w:tcPr>
          <w:p w14:paraId="28221E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1290" w:type="pct"/>
            <w:gridSpan w:val="3"/>
            <w:tcBorders>
              <w:tl2br w:val="nil"/>
              <w:tr2bl w:val="nil"/>
            </w:tcBorders>
            <w:noWrap w:val="0"/>
            <w:vAlign w:val="center"/>
          </w:tcPr>
          <w:p w14:paraId="2C21685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r>
      <w:tr w14:paraId="241AC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221" w:type="pct"/>
            <w:vMerge w:val="continue"/>
            <w:tcBorders>
              <w:tl2br w:val="nil"/>
              <w:tr2bl w:val="nil"/>
            </w:tcBorders>
            <w:noWrap w:val="0"/>
            <w:vAlign w:val="center"/>
          </w:tcPr>
          <w:p w14:paraId="1147FB7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vMerge w:val="continue"/>
            <w:tcBorders>
              <w:tl2br w:val="nil"/>
              <w:tr2bl w:val="nil"/>
            </w:tcBorders>
            <w:noWrap w:val="0"/>
            <w:vAlign w:val="center"/>
          </w:tcPr>
          <w:p w14:paraId="1D3C8A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1327" w:type="pct"/>
            <w:gridSpan w:val="3"/>
            <w:tcBorders>
              <w:tl2br w:val="nil"/>
              <w:tr2bl w:val="nil"/>
            </w:tcBorders>
            <w:noWrap w:val="0"/>
            <w:vAlign w:val="center"/>
          </w:tcPr>
          <w:p w14:paraId="7C5D0D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监测因子</w:t>
            </w:r>
          </w:p>
        </w:tc>
        <w:tc>
          <w:tcPr>
            <w:tcW w:w="1573" w:type="pct"/>
            <w:gridSpan w:val="5"/>
            <w:tcBorders>
              <w:tl2br w:val="nil"/>
              <w:tr2bl w:val="nil"/>
            </w:tcBorders>
            <w:noWrap w:val="0"/>
            <w:vAlign w:val="center"/>
          </w:tcPr>
          <w:p w14:paraId="3655B3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c>
          <w:tcPr>
            <w:tcW w:w="1290" w:type="pct"/>
            <w:gridSpan w:val="3"/>
            <w:tcBorders>
              <w:tl2br w:val="nil"/>
              <w:tr2bl w:val="nil"/>
            </w:tcBorders>
            <w:noWrap w:val="0"/>
            <w:vAlign w:val="center"/>
          </w:tcPr>
          <w:p w14:paraId="3366CDAA">
            <w:pPr>
              <w:pStyle w:val="53"/>
              <w:keepNext w:val="0"/>
              <w:keepLines w:val="0"/>
              <w:pageBreakBefore w:val="0"/>
              <w:widowControl w:val="0"/>
              <w:kinsoku/>
              <w:wordWrap/>
              <w:overflowPunct/>
              <w:topLinePunct w:val="0"/>
              <w:bidi w:val="0"/>
              <w:adjustRightInd/>
              <w:snapToGrid/>
              <w:spacing w:line="240" w:lineRule="auto"/>
              <w:ind w:firstLine="0" w:firstLineChars="0"/>
              <w:jc w:val="both"/>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w:t>
            </w:r>
          </w:p>
        </w:tc>
      </w:tr>
      <w:tr w14:paraId="024E5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221" w:type="pct"/>
            <w:vMerge w:val="continue"/>
            <w:tcBorders>
              <w:tl2br w:val="nil"/>
              <w:tr2bl w:val="nil"/>
            </w:tcBorders>
            <w:noWrap w:val="0"/>
            <w:vAlign w:val="center"/>
          </w:tcPr>
          <w:p w14:paraId="6B7B683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p>
        </w:tc>
        <w:tc>
          <w:tcPr>
            <w:tcW w:w="587" w:type="pct"/>
            <w:tcBorders>
              <w:tl2br w:val="nil"/>
              <w:tr2bl w:val="nil"/>
            </w:tcBorders>
            <w:noWrap w:val="0"/>
            <w:vAlign w:val="center"/>
          </w:tcPr>
          <w:p w14:paraId="36424F16">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污染物排放清单</w:t>
            </w:r>
          </w:p>
        </w:tc>
        <w:tc>
          <w:tcPr>
            <w:tcW w:w="4190" w:type="pct"/>
            <w:gridSpan w:val="11"/>
            <w:tcBorders>
              <w:tl2br w:val="nil"/>
              <w:tr2bl w:val="nil"/>
            </w:tcBorders>
            <w:noWrap w:val="0"/>
            <w:vAlign w:val="center"/>
          </w:tcPr>
          <w:p w14:paraId="3E0B4122">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sym w:font="Wingdings 2" w:char="0052"/>
            </w:r>
          </w:p>
        </w:tc>
      </w:tr>
      <w:tr w14:paraId="3BBF8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809" w:type="pct"/>
            <w:gridSpan w:val="2"/>
            <w:tcBorders>
              <w:tl2br w:val="nil"/>
              <w:tr2bl w:val="nil"/>
            </w:tcBorders>
            <w:noWrap w:val="0"/>
            <w:vAlign w:val="center"/>
          </w:tcPr>
          <w:p w14:paraId="632204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评价结论</w:t>
            </w:r>
          </w:p>
        </w:tc>
        <w:tc>
          <w:tcPr>
            <w:tcW w:w="4190" w:type="pct"/>
            <w:gridSpan w:val="11"/>
            <w:tcBorders>
              <w:tl2br w:val="nil"/>
              <w:tr2bl w:val="nil"/>
            </w:tcBorders>
            <w:noWrap w:val="0"/>
            <w:vAlign w:val="center"/>
          </w:tcPr>
          <w:p w14:paraId="496B355F">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color w:val="auto"/>
                <w:sz w:val="21"/>
                <w:szCs w:val="21"/>
                <w:vertAlign w:val="baseline"/>
                <w:lang w:val="en-US" w:eastAsia="zh-CN"/>
              </w:rPr>
            </w:pPr>
            <w:r>
              <w:rPr>
                <w:rFonts w:hint="default" w:ascii="Times New Roman" w:hAnsi="Times New Roman" w:cs="Times New Roman"/>
                <w:color w:val="auto"/>
                <w:sz w:val="21"/>
                <w:szCs w:val="21"/>
                <w:vertAlign w:val="baseline"/>
                <w:lang w:val="en-US" w:eastAsia="zh-CN"/>
              </w:rPr>
              <w:t>可以接受</w:t>
            </w:r>
            <w:r>
              <w:rPr>
                <w:rFonts w:eastAsia="宋体"/>
                <w:color w:val="auto"/>
                <w:sz w:val="21"/>
                <w:szCs w:val="21"/>
              </w:rPr>
              <w:t>√</w:t>
            </w:r>
            <w:r>
              <w:rPr>
                <w:rFonts w:hint="default" w:ascii="Times New Roman" w:hAnsi="Times New Roman" w:cs="Times New Roman"/>
                <w:color w:val="auto"/>
                <w:sz w:val="21"/>
                <w:szCs w:val="21"/>
                <w:vertAlign w:val="baseline"/>
                <w:lang w:val="en-US" w:eastAsia="zh-CN"/>
              </w:rPr>
              <w:t>；不可以接受</w:t>
            </w:r>
            <w:r>
              <w:rPr>
                <w:rFonts w:hint="default" w:ascii="Times New Roman" w:hAnsi="Times New Roman" w:cs="Times New Roman"/>
                <w:color w:val="auto"/>
                <w:sz w:val="21"/>
                <w:szCs w:val="21"/>
                <w:vertAlign w:val="baseline"/>
                <w:lang w:val="en-US" w:eastAsia="zh-CN"/>
              </w:rPr>
              <w:sym w:font="Wingdings 2" w:char="00A3"/>
            </w:r>
          </w:p>
        </w:tc>
      </w:tr>
    </w:tbl>
    <w:p w14:paraId="1561A93A">
      <w:pPr>
        <w:pStyle w:val="34"/>
        <w:rPr>
          <w:rFonts w:hint="eastAsia"/>
          <w:color w:val="auto"/>
          <w:lang w:eastAsia="zh-CN"/>
        </w:rPr>
        <w:sectPr>
          <w:pgSz w:w="11906" w:h="16838"/>
          <w:pgMar w:top="1440" w:right="1803" w:bottom="1440" w:left="1803" w:header="851" w:footer="992" w:gutter="0"/>
          <w:pgBorders>
            <w:top w:val="none" w:sz="0" w:space="0"/>
            <w:left w:val="none" w:sz="0" w:space="0"/>
            <w:bottom w:val="none" w:sz="0" w:space="0"/>
            <w:right w:val="none" w:sz="0" w:space="0"/>
          </w:pgBorders>
          <w:cols w:space="720" w:num="1"/>
          <w:rtlGutter w:val="0"/>
          <w:docGrid w:type="lines" w:linePitch="332" w:charSpace="0"/>
        </w:sectPr>
      </w:pPr>
    </w:p>
    <w:p w14:paraId="5B311E12">
      <w:pPr>
        <w:keepNext w:val="0"/>
        <w:keepLines w:val="0"/>
        <w:pageBreakBefore w:val="0"/>
        <w:widowControl w:val="0"/>
        <w:kinsoku/>
        <w:wordWrap/>
        <w:overflowPunct/>
        <w:topLinePunct w:val="0"/>
        <w:autoSpaceDE/>
        <w:autoSpaceDN/>
        <w:bidi w:val="0"/>
        <w:adjustRightInd/>
        <w:snapToGrid/>
        <w:spacing w:before="60" w:beforeLines="25" w:after="60" w:afterLines="25" w:line="240" w:lineRule="auto"/>
        <w:ind w:firstLine="0" w:firstLineChars="0"/>
        <w:jc w:val="center"/>
        <w:textAlignment w:val="auto"/>
        <w:outlineLvl w:val="1"/>
        <w:rPr>
          <w:rFonts w:hint="eastAsia" w:ascii="Times New Roman" w:hAnsi="Times New Roman" w:eastAsia="宋体" w:cs="Times New Roman"/>
          <w:b/>
          <w:color w:val="auto"/>
          <w:sz w:val="24"/>
          <w:szCs w:val="24"/>
          <w:lang w:val="en-US" w:eastAsia="zh-CN"/>
        </w:rPr>
      </w:pPr>
      <w:bookmarkStart w:id="721" w:name="_Toc455"/>
      <w:r>
        <w:rPr>
          <w:rFonts w:hint="eastAsia" w:ascii="Times New Roman" w:hAnsi="Times New Roman" w:eastAsia="宋体" w:cs="Times New Roman"/>
          <w:b/>
          <w:color w:val="auto"/>
          <w:sz w:val="24"/>
          <w:szCs w:val="24"/>
          <w:lang w:val="en-US" w:eastAsia="zh-CN"/>
        </w:rPr>
        <w:t>附表3  声环境影响评价自查表</w:t>
      </w:r>
      <w:bookmarkEnd w:id="721"/>
    </w:p>
    <w:tbl>
      <w:tblPr>
        <w:tblStyle w:val="40"/>
        <w:tblW w:w="8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7"/>
        <w:gridCol w:w="1413"/>
        <w:gridCol w:w="1090"/>
        <w:gridCol w:w="547"/>
        <w:gridCol w:w="315"/>
        <w:gridCol w:w="232"/>
        <w:gridCol w:w="6"/>
        <w:gridCol w:w="99"/>
        <w:gridCol w:w="477"/>
        <w:gridCol w:w="458"/>
        <w:gridCol w:w="58"/>
        <w:gridCol w:w="659"/>
        <w:gridCol w:w="38"/>
        <w:gridCol w:w="394"/>
        <w:gridCol w:w="114"/>
        <w:gridCol w:w="433"/>
        <w:gridCol w:w="468"/>
        <w:gridCol w:w="77"/>
        <w:gridCol w:w="1087"/>
      </w:tblGrid>
      <w:tr w14:paraId="4E9C8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2410" w:type="dxa"/>
            <w:gridSpan w:val="2"/>
            <w:noWrap w:val="0"/>
            <w:vAlign w:val="center"/>
          </w:tcPr>
          <w:p w14:paraId="630F0C60">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工作内容</w:t>
            </w:r>
          </w:p>
        </w:tc>
        <w:tc>
          <w:tcPr>
            <w:tcW w:w="6552" w:type="dxa"/>
            <w:gridSpan w:val="17"/>
            <w:noWrap w:val="0"/>
            <w:vAlign w:val="center"/>
          </w:tcPr>
          <w:p w14:paraId="0061C98E">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自查项目</w:t>
            </w:r>
          </w:p>
        </w:tc>
      </w:tr>
      <w:tr w14:paraId="2074B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97" w:type="dxa"/>
            <w:vMerge w:val="restart"/>
            <w:noWrap w:val="0"/>
            <w:vAlign w:val="center"/>
          </w:tcPr>
          <w:p w14:paraId="32A59122">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评价等级与范围</w:t>
            </w:r>
          </w:p>
        </w:tc>
        <w:tc>
          <w:tcPr>
            <w:tcW w:w="1413" w:type="dxa"/>
            <w:noWrap w:val="0"/>
            <w:vAlign w:val="center"/>
          </w:tcPr>
          <w:p w14:paraId="0E08CE2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评价等级</w:t>
            </w:r>
          </w:p>
        </w:tc>
        <w:tc>
          <w:tcPr>
            <w:tcW w:w="6552" w:type="dxa"/>
            <w:gridSpan w:val="17"/>
            <w:noWrap w:val="0"/>
            <w:vAlign w:val="center"/>
          </w:tcPr>
          <w:p w14:paraId="04FB167F">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一级</w:t>
            </w:r>
            <w:r>
              <w:rPr>
                <w:rFonts w:hint="default" w:ascii="Times New Roman" w:hAnsi="Times New Roman" w:cs="Times New Roman"/>
                <w:color w:val="auto"/>
                <w:kern w:val="2"/>
                <w:sz w:val="18"/>
                <w:szCs w:val="21"/>
              </w:rPr>
              <w:sym w:font="Wingdings 2" w:char="00A3"/>
            </w:r>
            <w:r>
              <w:rPr>
                <w:rFonts w:hint="default" w:ascii="Times New Roman" w:hAnsi="Times New Roman" w:cs="Times New Roman"/>
                <w:color w:val="auto"/>
                <w:kern w:val="2"/>
                <w:sz w:val="18"/>
                <w:szCs w:val="21"/>
              </w:rPr>
              <w:t xml:space="preserve">                 二级</w:t>
            </w:r>
            <w:r>
              <w:rPr>
                <w:rFonts w:hint="default" w:ascii="Times New Roman" w:hAnsi="Times New Roman" w:cs="Times New Roman"/>
                <w:color w:val="auto"/>
                <w:kern w:val="2"/>
                <w:sz w:val="18"/>
                <w:szCs w:val="21"/>
              </w:rPr>
              <w:sym w:font="Wingdings 2" w:char="0052"/>
            </w:r>
            <w:r>
              <w:rPr>
                <w:rFonts w:hint="default" w:ascii="Times New Roman" w:hAnsi="Times New Roman" w:cs="Times New Roman"/>
                <w:color w:val="auto"/>
                <w:kern w:val="2"/>
                <w:sz w:val="18"/>
                <w:szCs w:val="21"/>
              </w:rPr>
              <w:t xml:space="preserve">           三级</w:t>
            </w:r>
            <w:r>
              <w:rPr>
                <w:rFonts w:hint="default" w:ascii="Times New Roman" w:hAnsi="Times New Roman" w:cs="Times New Roman"/>
                <w:color w:val="auto"/>
                <w:kern w:val="2"/>
                <w:sz w:val="18"/>
                <w:szCs w:val="21"/>
              </w:rPr>
              <w:sym w:font="Wingdings 2" w:char="00A3"/>
            </w:r>
          </w:p>
        </w:tc>
      </w:tr>
      <w:tr w14:paraId="24618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997" w:type="dxa"/>
            <w:vMerge w:val="continue"/>
            <w:noWrap w:val="0"/>
            <w:vAlign w:val="center"/>
          </w:tcPr>
          <w:p w14:paraId="4F6BF1FA">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p>
        </w:tc>
        <w:tc>
          <w:tcPr>
            <w:tcW w:w="1413" w:type="dxa"/>
            <w:noWrap w:val="0"/>
            <w:vAlign w:val="center"/>
          </w:tcPr>
          <w:p w14:paraId="75DED0A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评价范围</w:t>
            </w:r>
          </w:p>
        </w:tc>
        <w:tc>
          <w:tcPr>
            <w:tcW w:w="6552" w:type="dxa"/>
            <w:gridSpan w:val="17"/>
            <w:noWrap w:val="0"/>
            <w:vAlign w:val="center"/>
          </w:tcPr>
          <w:p w14:paraId="6F016C1D">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200 m</w:t>
            </w:r>
            <w:r>
              <w:rPr>
                <w:rFonts w:hint="default" w:ascii="Times New Roman" w:hAnsi="Times New Roman" w:cs="Times New Roman"/>
                <w:color w:val="auto"/>
                <w:kern w:val="2"/>
                <w:sz w:val="18"/>
                <w:szCs w:val="21"/>
              </w:rPr>
              <w:sym w:font="Wingdings 2" w:char="0052"/>
            </w:r>
            <w:r>
              <w:rPr>
                <w:rFonts w:hint="default" w:ascii="Times New Roman" w:hAnsi="Times New Roman" w:cs="Times New Roman"/>
                <w:color w:val="auto"/>
                <w:kern w:val="2"/>
                <w:sz w:val="18"/>
                <w:szCs w:val="21"/>
              </w:rPr>
              <w:t xml:space="preserve">                 大于200 m□                   小于200 m□</w:t>
            </w:r>
          </w:p>
        </w:tc>
      </w:tr>
      <w:tr w14:paraId="39E89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997" w:type="dxa"/>
            <w:noWrap w:val="0"/>
            <w:vAlign w:val="center"/>
          </w:tcPr>
          <w:p w14:paraId="451C3B9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评价因子</w:t>
            </w:r>
          </w:p>
        </w:tc>
        <w:tc>
          <w:tcPr>
            <w:tcW w:w="1413" w:type="dxa"/>
            <w:noWrap w:val="0"/>
            <w:vAlign w:val="center"/>
          </w:tcPr>
          <w:p w14:paraId="6A23E94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评价因子</w:t>
            </w:r>
          </w:p>
        </w:tc>
        <w:tc>
          <w:tcPr>
            <w:tcW w:w="2289" w:type="dxa"/>
            <w:gridSpan w:val="6"/>
            <w:noWrap w:val="0"/>
            <w:vAlign w:val="center"/>
          </w:tcPr>
          <w:p w14:paraId="537A6144">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等效连续A声级</w:t>
            </w:r>
            <w:r>
              <w:rPr>
                <w:rFonts w:hint="default" w:ascii="Times New Roman" w:hAnsi="Times New Roman" w:cs="Times New Roman"/>
                <w:color w:val="auto"/>
                <w:kern w:val="2"/>
                <w:sz w:val="18"/>
                <w:szCs w:val="21"/>
              </w:rPr>
              <w:sym w:font="Wingdings 2" w:char="0052"/>
            </w:r>
          </w:p>
        </w:tc>
        <w:tc>
          <w:tcPr>
            <w:tcW w:w="1690" w:type="dxa"/>
            <w:gridSpan w:val="5"/>
            <w:noWrap w:val="0"/>
            <w:vAlign w:val="center"/>
          </w:tcPr>
          <w:p w14:paraId="3C134536">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最大A声级□</w:t>
            </w:r>
          </w:p>
        </w:tc>
        <w:tc>
          <w:tcPr>
            <w:tcW w:w="2573" w:type="dxa"/>
            <w:gridSpan w:val="6"/>
            <w:noWrap w:val="0"/>
            <w:vAlign w:val="center"/>
          </w:tcPr>
          <w:p w14:paraId="7F54C3E6">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计权等效连续感觉噪声级□</w:t>
            </w:r>
          </w:p>
        </w:tc>
      </w:tr>
      <w:tr w14:paraId="2678F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997" w:type="dxa"/>
            <w:noWrap w:val="0"/>
            <w:vAlign w:val="center"/>
          </w:tcPr>
          <w:p w14:paraId="4E2B814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评价标准</w:t>
            </w:r>
          </w:p>
        </w:tc>
        <w:tc>
          <w:tcPr>
            <w:tcW w:w="1413" w:type="dxa"/>
            <w:noWrap w:val="0"/>
            <w:vAlign w:val="center"/>
          </w:tcPr>
          <w:p w14:paraId="04BE0B1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评价标准</w:t>
            </w:r>
          </w:p>
        </w:tc>
        <w:tc>
          <w:tcPr>
            <w:tcW w:w="2289" w:type="dxa"/>
            <w:gridSpan w:val="6"/>
            <w:noWrap w:val="0"/>
            <w:vAlign w:val="center"/>
          </w:tcPr>
          <w:p w14:paraId="48FC82F7">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国家标准</w:t>
            </w:r>
            <w:r>
              <w:rPr>
                <w:rFonts w:hint="default" w:ascii="Times New Roman" w:hAnsi="Times New Roman" w:cs="Times New Roman"/>
                <w:color w:val="auto"/>
                <w:kern w:val="2"/>
                <w:sz w:val="18"/>
                <w:szCs w:val="21"/>
              </w:rPr>
              <w:sym w:font="Wingdings 2" w:char="0052"/>
            </w:r>
          </w:p>
        </w:tc>
        <w:tc>
          <w:tcPr>
            <w:tcW w:w="1690" w:type="dxa"/>
            <w:gridSpan w:val="5"/>
            <w:noWrap w:val="0"/>
            <w:vAlign w:val="center"/>
          </w:tcPr>
          <w:p w14:paraId="6C577C25">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地方标准□</w:t>
            </w:r>
          </w:p>
        </w:tc>
        <w:tc>
          <w:tcPr>
            <w:tcW w:w="1409" w:type="dxa"/>
            <w:gridSpan w:val="4"/>
            <w:noWrap w:val="0"/>
            <w:vAlign w:val="center"/>
          </w:tcPr>
          <w:p w14:paraId="5947D556">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p>
        </w:tc>
        <w:tc>
          <w:tcPr>
            <w:tcW w:w="1164" w:type="dxa"/>
            <w:gridSpan w:val="2"/>
            <w:noWrap w:val="0"/>
            <w:vAlign w:val="center"/>
          </w:tcPr>
          <w:p w14:paraId="145BD2AA">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国外标准□</w:t>
            </w:r>
          </w:p>
        </w:tc>
      </w:tr>
      <w:tr w14:paraId="19B28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97" w:type="dxa"/>
            <w:vMerge w:val="restart"/>
            <w:noWrap w:val="0"/>
            <w:vAlign w:val="center"/>
          </w:tcPr>
          <w:p w14:paraId="5C77658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现状评价</w:t>
            </w:r>
          </w:p>
        </w:tc>
        <w:tc>
          <w:tcPr>
            <w:tcW w:w="1413" w:type="dxa"/>
            <w:noWrap w:val="0"/>
            <w:vAlign w:val="center"/>
          </w:tcPr>
          <w:p w14:paraId="74C4277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环境功能区</w:t>
            </w:r>
          </w:p>
        </w:tc>
        <w:tc>
          <w:tcPr>
            <w:tcW w:w="1090" w:type="dxa"/>
            <w:noWrap w:val="0"/>
            <w:vAlign w:val="center"/>
          </w:tcPr>
          <w:p w14:paraId="0C05F5D2">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0类区□</w:t>
            </w:r>
          </w:p>
        </w:tc>
        <w:tc>
          <w:tcPr>
            <w:tcW w:w="1094" w:type="dxa"/>
            <w:gridSpan w:val="3"/>
            <w:noWrap w:val="0"/>
            <w:vAlign w:val="center"/>
          </w:tcPr>
          <w:p w14:paraId="4510737C">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1类区</w:t>
            </w:r>
            <w:r>
              <w:rPr>
                <w:rFonts w:hint="default" w:ascii="Times New Roman" w:hAnsi="Times New Roman" w:cs="Times New Roman"/>
                <w:color w:val="auto"/>
                <w:kern w:val="2"/>
                <w:sz w:val="18"/>
                <w:szCs w:val="21"/>
              </w:rPr>
              <w:sym w:font="Wingdings 2" w:char="0052"/>
            </w:r>
          </w:p>
        </w:tc>
        <w:tc>
          <w:tcPr>
            <w:tcW w:w="1098" w:type="dxa"/>
            <w:gridSpan w:val="5"/>
            <w:noWrap w:val="0"/>
            <w:vAlign w:val="center"/>
          </w:tcPr>
          <w:p w14:paraId="42464703">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2类区</w:t>
            </w:r>
            <w:r>
              <w:rPr>
                <w:rFonts w:hint="default" w:ascii="Times New Roman" w:hAnsi="Times New Roman" w:cs="Times New Roman"/>
                <w:color w:val="auto"/>
                <w:kern w:val="2"/>
                <w:sz w:val="18"/>
                <w:szCs w:val="21"/>
              </w:rPr>
              <w:sym w:font="Wingdings 2" w:char="0052"/>
            </w:r>
          </w:p>
        </w:tc>
        <w:tc>
          <w:tcPr>
            <w:tcW w:w="1091" w:type="dxa"/>
            <w:gridSpan w:val="3"/>
            <w:noWrap w:val="0"/>
            <w:vAlign w:val="center"/>
          </w:tcPr>
          <w:p w14:paraId="2D20AB00">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3类区</w:t>
            </w:r>
            <w:r>
              <w:rPr>
                <w:rFonts w:hint="default" w:ascii="Times New Roman" w:hAnsi="Times New Roman" w:cs="Times New Roman"/>
                <w:color w:val="auto"/>
                <w:kern w:val="2"/>
                <w:sz w:val="18"/>
                <w:szCs w:val="21"/>
              </w:rPr>
              <w:sym w:font="Wingdings 2" w:char="00A3"/>
            </w:r>
          </w:p>
        </w:tc>
        <w:tc>
          <w:tcPr>
            <w:tcW w:w="1092" w:type="dxa"/>
            <w:gridSpan w:val="4"/>
            <w:noWrap w:val="0"/>
            <w:vAlign w:val="center"/>
          </w:tcPr>
          <w:p w14:paraId="62A7169E">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4a类区</w:t>
            </w:r>
            <w:r>
              <w:rPr>
                <w:rFonts w:hint="default" w:ascii="Times New Roman" w:hAnsi="Times New Roman" w:cs="Times New Roman"/>
                <w:color w:val="auto"/>
                <w:kern w:val="2"/>
                <w:sz w:val="18"/>
                <w:szCs w:val="21"/>
              </w:rPr>
              <w:sym w:font="Wingdings 2" w:char="00A3"/>
            </w:r>
          </w:p>
        </w:tc>
        <w:tc>
          <w:tcPr>
            <w:tcW w:w="1087" w:type="dxa"/>
            <w:noWrap w:val="0"/>
            <w:vAlign w:val="center"/>
          </w:tcPr>
          <w:p w14:paraId="72E1D115">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4b类区□</w:t>
            </w:r>
          </w:p>
        </w:tc>
      </w:tr>
      <w:tr w14:paraId="27F4F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97" w:type="dxa"/>
            <w:vMerge w:val="continue"/>
            <w:noWrap w:val="0"/>
            <w:vAlign w:val="center"/>
          </w:tcPr>
          <w:p w14:paraId="7B78ACC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2EFB1D4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评价年度</w:t>
            </w:r>
          </w:p>
        </w:tc>
        <w:tc>
          <w:tcPr>
            <w:tcW w:w="1637" w:type="dxa"/>
            <w:gridSpan w:val="2"/>
            <w:noWrap w:val="0"/>
            <w:vAlign w:val="center"/>
          </w:tcPr>
          <w:p w14:paraId="0B33A5BA">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初期□</w:t>
            </w:r>
          </w:p>
        </w:tc>
        <w:tc>
          <w:tcPr>
            <w:tcW w:w="1645" w:type="dxa"/>
            <w:gridSpan w:val="7"/>
            <w:noWrap w:val="0"/>
            <w:vAlign w:val="center"/>
          </w:tcPr>
          <w:p w14:paraId="6CE256AD">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近期</w:t>
            </w:r>
            <w:r>
              <w:rPr>
                <w:rFonts w:hint="default" w:ascii="Times New Roman" w:hAnsi="Times New Roman" w:cs="Times New Roman"/>
                <w:color w:val="auto"/>
                <w:kern w:val="2"/>
                <w:sz w:val="18"/>
                <w:szCs w:val="21"/>
              </w:rPr>
              <w:sym w:font="Wingdings 2" w:char="0052"/>
            </w:r>
          </w:p>
        </w:tc>
        <w:tc>
          <w:tcPr>
            <w:tcW w:w="1638" w:type="dxa"/>
            <w:gridSpan w:val="5"/>
            <w:noWrap w:val="0"/>
            <w:vAlign w:val="center"/>
          </w:tcPr>
          <w:p w14:paraId="6422A5EF">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中期□</w:t>
            </w:r>
          </w:p>
        </w:tc>
        <w:tc>
          <w:tcPr>
            <w:tcW w:w="1632" w:type="dxa"/>
            <w:gridSpan w:val="3"/>
            <w:noWrap w:val="0"/>
            <w:vAlign w:val="center"/>
          </w:tcPr>
          <w:p w14:paraId="03F99F89">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远期□</w:t>
            </w:r>
          </w:p>
        </w:tc>
      </w:tr>
      <w:tr w14:paraId="61F0A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7" w:type="dxa"/>
            <w:vMerge w:val="continue"/>
            <w:noWrap w:val="0"/>
            <w:vAlign w:val="center"/>
          </w:tcPr>
          <w:p w14:paraId="6B059A7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654329B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现状调查方法</w:t>
            </w:r>
          </w:p>
        </w:tc>
        <w:tc>
          <w:tcPr>
            <w:tcW w:w="2766" w:type="dxa"/>
            <w:gridSpan w:val="7"/>
            <w:noWrap w:val="0"/>
            <w:vAlign w:val="center"/>
          </w:tcPr>
          <w:p w14:paraId="79361D38">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现场实测法</w:t>
            </w:r>
            <w:r>
              <w:rPr>
                <w:rFonts w:hint="default" w:ascii="Times New Roman" w:hAnsi="Times New Roman" w:cs="Times New Roman"/>
                <w:color w:val="auto"/>
                <w:kern w:val="2"/>
                <w:sz w:val="18"/>
                <w:szCs w:val="21"/>
              </w:rPr>
              <w:sym w:font="Wingdings 2" w:char="00A3"/>
            </w:r>
          </w:p>
        </w:tc>
        <w:tc>
          <w:tcPr>
            <w:tcW w:w="2154" w:type="dxa"/>
            <w:gridSpan w:val="7"/>
            <w:noWrap w:val="0"/>
            <w:vAlign w:val="center"/>
          </w:tcPr>
          <w:p w14:paraId="67B1EF32">
            <w:pPr>
              <w:topLinePunct w:val="0"/>
              <w:adjustRightInd/>
              <w:spacing w:before="31" w:beforeLines="10" w:after="31" w:afterLines="10" w:line="0" w:lineRule="atLeast"/>
              <w:ind w:firstLine="0"/>
              <w:jc w:val="center"/>
              <w:rPr>
                <w:rFonts w:hint="eastAsia" w:ascii="Times New Roman" w:hAnsi="Times New Roman" w:cs="Times New Roman" w:eastAsiaTheme="minorEastAsia"/>
                <w:color w:val="auto"/>
                <w:kern w:val="2"/>
                <w:sz w:val="18"/>
                <w:szCs w:val="21"/>
                <w:lang w:eastAsia="zh-CN"/>
              </w:rPr>
            </w:pPr>
            <w:r>
              <w:rPr>
                <w:rFonts w:hint="default" w:ascii="Times New Roman" w:hAnsi="Times New Roman" w:cs="Times New Roman"/>
                <w:color w:val="auto"/>
                <w:kern w:val="2"/>
                <w:sz w:val="18"/>
                <w:szCs w:val="21"/>
              </w:rPr>
              <w:t>现场实测加模型计算法</w:t>
            </w:r>
            <w:r>
              <w:rPr>
                <w:rFonts w:hint="eastAsia" w:ascii="Times New Roman" w:hAnsi="Times New Roman" w:cs="Times New Roman"/>
                <w:color w:val="auto"/>
                <w:kern w:val="2"/>
                <w:sz w:val="18"/>
                <w:szCs w:val="21"/>
                <w:lang w:eastAsia="zh-CN"/>
              </w:rPr>
              <w:t>☑</w:t>
            </w:r>
          </w:p>
        </w:tc>
        <w:tc>
          <w:tcPr>
            <w:tcW w:w="1632" w:type="dxa"/>
            <w:gridSpan w:val="3"/>
            <w:noWrap w:val="0"/>
            <w:vAlign w:val="center"/>
          </w:tcPr>
          <w:p w14:paraId="142A25B3">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收集资料□</w:t>
            </w:r>
          </w:p>
        </w:tc>
      </w:tr>
      <w:tr w14:paraId="05ACB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97" w:type="dxa"/>
            <w:vMerge w:val="continue"/>
            <w:noWrap w:val="0"/>
            <w:vAlign w:val="center"/>
          </w:tcPr>
          <w:p w14:paraId="33AFE2B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4D5730B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现状评价</w:t>
            </w:r>
          </w:p>
        </w:tc>
        <w:tc>
          <w:tcPr>
            <w:tcW w:w="1952" w:type="dxa"/>
            <w:gridSpan w:val="3"/>
            <w:noWrap w:val="0"/>
            <w:vAlign w:val="center"/>
          </w:tcPr>
          <w:p w14:paraId="74CA0477">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达标百分比</w:t>
            </w:r>
          </w:p>
        </w:tc>
        <w:tc>
          <w:tcPr>
            <w:tcW w:w="4600" w:type="dxa"/>
            <w:gridSpan w:val="14"/>
            <w:noWrap w:val="0"/>
            <w:vAlign w:val="center"/>
          </w:tcPr>
          <w:p w14:paraId="1274DB22">
            <w:pPr>
              <w:topLinePunct w:val="0"/>
              <w:adjustRightInd/>
              <w:spacing w:before="31" w:beforeLines="10" w:after="31" w:afterLines="10" w:line="0" w:lineRule="atLeast"/>
              <w:ind w:firstLine="0"/>
              <w:jc w:val="center"/>
              <w:rPr>
                <w:rFonts w:hint="default" w:ascii="Times New Roman" w:hAnsi="Times New Roman" w:eastAsia="宋体" w:cs="Times New Roman"/>
                <w:color w:val="auto"/>
                <w:kern w:val="2"/>
                <w:sz w:val="18"/>
                <w:szCs w:val="21"/>
                <w:lang w:val="en-US" w:eastAsia="zh-CN"/>
              </w:rPr>
            </w:pPr>
            <w:r>
              <w:rPr>
                <w:rFonts w:hint="default" w:ascii="Times New Roman" w:hAnsi="Times New Roman" w:cs="Times New Roman"/>
                <w:color w:val="auto"/>
                <w:kern w:val="2"/>
                <w:sz w:val="18"/>
                <w:szCs w:val="21"/>
                <w:lang w:val="en-US" w:eastAsia="zh-CN"/>
              </w:rPr>
              <w:t>100%</w:t>
            </w:r>
          </w:p>
        </w:tc>
      </w:tr>
      <w:tr w14:paraId="78F15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997" w:type="dxa"/>
            <w:noWrap w:val="0"/>
            <w:vAlign w:val="center"/>
          </w:tcPr>
          <w:p w14:paraId="59BFFC3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噪声源</w:t>
            </w:r>
          </w:p>
          <w:p w14:paraId="5FFE83E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调查</w:t>
            </w:r>
          </w:p>
        </w:tc>
        <w:tc>
          <w:tcPr>
            <w:tcW w:w="1413" w:type="dxa"/>
            <w:noWrap w:val="0"/>
            <w:vAlign w:val="center"/>
          </w:tcPr>
          <w:p w14:paraId="1CD9AFF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噪声源调查方法</w:t>
            </w:r>
          </w:p>
        </w:tc>
        <w:tc>
          <w:tcPr>
            <w:tcW w:w="1952" w:type="dxa"/>
            <w:gridSpan w:val="3"/>
            <w:noWrap w:val="0"/>
            <w:vAlign w:val="center"/>
          </w:tcPr>
          <w:p w14:paraId="0DA84DA6">
            <w:pPr>
              <w:topLinePunct w:val="0"/>
              <w:adjustRightInd/>
              <w:spacing w:before="31" w:beforeLines="10" w:after="31" w:afterLines="10" w:line="0" w:lineRule="atLeast"/>
              <w:ind w:firstLine="0"/>
              <w:jc w:val="center"/>
              <w:rPr>
                <w:rFonts w:hint="eastAsia" w:ascii="Times New Roman" w:hAnsi="Times New Roman" w:cs="Times New Roman" w:eastAsiaTheme="minorEastAsia"/>
                <w:color w:val="auto"/>
                <w:kern w:val="2"/>
                <w:sz w:val="18"/>
                <w:szCs w:val="21"/>
                <w:lang w:eastAsia="zh-CN"/>
              </w:rPr>
            </w:pPr>
            <w:r>
              <w:rPr>
                <w:rFonts w:hint="default" w:ascii="Times New Roman" w:hAnsi="Times New Roman" w:cs="Times New Roman"/>
                <w:color w:val="auto"/>
                <w:kern w:val="2"/>
                <w:sz w:val="18"/>
                <w:szCs w:val="21"/>
              </w:rPr>
              <w:t>现场实测</w:t>
            </w:r>
            <w:r>
              <w:rPr>
                <w:rFonts w:hint="eastAsia" w:ascii="Times New Roman" w:hAnsi="Times New Roman" w:cs="Times New Roman"/>
                <w:color w:val="auto"/>
                <w:kern w:val="2"/>
                <w:sz w:val="18"/>
                <w:szCs w:val="21"/>
                <w:lang w:eastAsia="zh-CN"/>
              </w:rPr>
              <w:t>☑</w:t>
            </w:r>
          </w:p>
        </w:tc>
        <w:tc>
          <w:tcPr>
            <w:tcW w:w="2535" w:type="dxa"/>
            <w:gridSpan w:val="10"/>
            <w:noWrap w:val="0"/>
            <w:vAlign w:val="center"/>
          </w:tcPr>
          <w:p w14:paraId="268C767D">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已有资料</w:t>
            </w:r>
            <w:r>
              <w:rPr>
                <w:rFonts w:hint="default" w:ascii="Times New Roman" w:hAnsi="Times New Roman" w:cs="Times New Roman"/>
                <w:color w:val="auto"/>
                <w:kern w:val="2"/>
                <w:sz w:val="18"/>
                <w:szCs w:val="21"/>
              </w:rPr>
              <w:sym w:font="Wingdings 2" w:char="0052"/>
            </w:r>
          </w:p>
        </w:tc>
        <w:tc>
          <w:tcPr>
            <w:tcW w:w="2065" w:type="dxa"/>
            <w:gridSpan w:val="4"/>
            <w:noWrap w:val="0"/>
            <w:vAlign w:val="center"/>
          </w:tcPr>
          <w:p w14:paraId="24900407">
            <w:pPr>
              <w:widowControl/>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研究成果</w:t>
            </w:r>
            <w:r>
              <w:rPr>
                <w:rFonts w:hint="default" w:ascii="Times New Roman" w:hAnsi="Times New Roman" w:cs="Times New Roman"/>
                <w:color w:val="auto"/>
                <w:kern w:val="2"/>
                <w:sz w:val="18"/>
                <w:szCs w:val="21"/>
              </w:rPr>
              <w:sym w:font="Wingdings 2" w:char="00A3"/>
            </w:r>
          </w:p>
        </w:tc>
      </w:tr>
      <w:tr w14:paraId="0F01B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jc w:val="center"/>
        </w:trPr>
        <w:tc>
          <w:tcPr>
            <w:tcW w:w="997" w:type="dxa"/>
            <w:vMerge w:val="restart"/>
            <w:noWrap w:val="0"/>
            <w:vAlign w:val="center"/>
          </w:tcPr>
          <w:p w14:paraId="1A2E0A4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声环境影响预测与评价</w:t>
            </w:r>
          </w:p>
        </w:tc>
        <w:tc>
          <w:tcPr>
            <w:tcW w:w="1413" w:type="dxa"/>
            <w:noWrap w:val="0"/>
            <w:vAlign w:val="center"/>
          </w:tcPr>
          <w:p w14:paraId="71D2423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预测模型</w:t>
            </w:r>
          </w:p>
        </w:tc>
        <w:tc>
          <w:tcPr>
            <w:tcW w:w="1952" w:type="dxa"/>
            <w:gridSpan w:val="3"/>
            <w:noWrap w:val="0"/>
            <w:vAlign w:val="center"/>
          </w:tcPr>
          <w:p w14:paraId="302A3618">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18"/>
              </w:rPr>
              <w:t>导则推荐模型</w:t>
            </w:r>
            <w:r>
              <w:rPr>
                <w:rFonts w:hint="default" w:ascii="Times New Roman" w:hAnsi="Times New Roman" w:cs="Times New Roman"/>
                <w:color w:val="auto"/>
                <w:kern w:val="2"/>
                <w:sz w:val="18"/>
                <w:szCs w:val="21"/>
              </w:rPr>
              <w:sym w:font="Wingdings 2" w:char="0052"/>
            </w:r>
          </w:p>
        </w:tc>
        <w:tc>
          <w:tcPr>
            <w:tcW w:w="4600" w:type="dxa"/>
            <w:gridSpan w:val="14"/>
            <w:noWrap w:val="0"/>
            <w:vAlign w:val="center"/>
          </w:tcPr>
          <w:p w14:paraId="0B665058">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其他□</w:t>
            </w:r>
          </w:p>
        </w:tc>
      </w:tr>
      <w:tr w14:paraId="3314C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97" w:type="dxa"/>
            <w:vMerge w:val="continue"/>
            <w:noWrap w:val="0"/>
            <w:vAlign w:val="center"/>
          </w:tcPr>
          <w:p w14:paraId="5B467AF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4A5EB36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预测范围</w:t>
            </w:r>
          </w:p>
        </w:tc>
        <w:tc>
          <w:tcPr>
            <w:tcW w:w="2190" w:type="dxa"/>
            <w:gridSpan w:val="5"/>
            <w:noWrap w:val="0"/>
            <w:vAlign w:val="center"/>
          </w:tcPr>
          <w:p w14:paraId="612563F5">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18"/>
              </w:rPr>
            </w:pPr>
            <w:r>
              <w:rPr>
                <w:rFonts w:hint="default" w:ascii="Times New Roman" w:hAnsi="Times New Roman" w:cs="Times New Roman"/>
                <w:color w:val="auto"/>
                <w:kern w:val="2"/>
                <w:sz w:val="18"/>
                <w:szCs w:val="21"/>
              </w:rPr>
              <w:t>200 m</w:t>
            </w:r>
            <w:r>
              <w:rPr>
                <w:rFonts w:hint="default" w:ascii="Times New Roman" w:hAnsi="Times New Roman" w:cs="Times New Roman"/>
                <w:color w:val="auto"/>
                <w:kern w:val="2"/>
                <w:sz w:val="18"/>
                <w:szCs w:val="21"/>
              </w:rPr>
              <w:sym w:font="Wingdings 2" w:char="0052"/>
            </w:r>
          </w:p>
        </w:tc>
        <w:tc>
          <w:tcPr>
            <w:tcW w:w="1751" w:type="dxa"/>
            <w:gridSpan w:val="5"/>
            <w:noWrap w:val="0"/>
            <w:vAlign w:val="center"/>
          </w:tcPr>
          <w:p w14:paraId="548BB1DC">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大于200 m□</w:t>
            </w:r>
          </w:p>
        </w:tc>
        <w:tc>
          <w:tcPr>
            <w:tcW w:w="2611" w:type="dxa"/>
            <w:gridSpan w:val="7"/>
            <w:noWrap w:val="0"/>
            <w:vAlign w:val="center"/>
          </w:tcPr>
          <w:p w14:paraId="0D7EB6E7">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小于200 m□</w:t>
            </w:r>
          </w:p>
        </w:tc>
      </w:tr>
      <w:tr w14:paraId="5ECB6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997" w:type="dxa"/>
            <w:vMerge w:val="continue"/>
            <w:noWrap w:val="0"/>
            <w:vAlign w:val="center"/>
          </w:tcPr>
          <w:p w14:paraId="3CCEE7E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5E305C1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预测因子</w:t>
            </w:r>
          </w:p>
        </w:tc>
        <w:tc>
          <w:tcPr>
            <w:tcW w:w="1952" w:type="dxa"/>
            <w:gridSpan w:val="3"/>
            <w:noWrap w:val="0"/>
            <w:vAlign w:val="center"/>
          </w:tcPr>
          <w:p w14:paraId="41892FD3">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等效连续A声级</w:t>
            </w:r>
            <w:r>
              <w:rPr>
                <w:rFonts w:hint="default" w:ascii="Times New Roman" w:hAnsi="Times New Roman" w:cs="Times New Roman"/>
                <w:color w:val="auto"/>
                <w:kern w:val="2"/>
                <w:sz w:val="18"/>
                <w:szCs w:val="21"/>
              </w:rPr>
              <w:sym w:font="Wingdings 2" w:char="0052"/>
            </w:r>
          </w:p>
        </w:tc>
        <w:tc>
          <w:tcPr>
            <w:tcW w:w="1989" w:type="dxa"/>
            <w:gridSpan w:val="7"/>
            <w:noWrap w:val="0"/>
            <w:vAlign w:val="center"/>
          </w:tcPr>
          <w:p w14:paraId="02B60404">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最大A声级□</w:t>
            </w:r>
          </w:p>
        </w:tc>
        <w:tc>
          <w:tcPr>
            <w:tcW w:w="2611" w:type="dxa"/>
            <w:gridSpan w:val="7"/>
            <w:noWrap w:val="0"/>
            <w:vAlign w:val="center"/>
          </w:tcPr>
          <w:p w14:paraId="65E35EC0">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计权等效连续感觉噪声级□</w:t>
            </w:r>
          </w:p>
        </w:tc>
      </w:tr>
      <w:tr w14:paraId="78B7B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7" w:type="dxa"/>
            <w:vMerge w:val="continue"/>
            <w:noWrap w:val="0"/>
            <w:vAlign w:val="center"/>
          </w:tcPr>
          <w:p w14:paraId="417A42D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6744792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厂界噪声贡献值</w:t>
            </w:r>
          </w:p>
        </w:tc>
        <w:tc>
          <w:tcPr>
            <w:tcW w:w="3224" w:type="dxa"/>
            <w:gridSpan w:val="8"/>
            <w:noWrap w:val="0"/>
            <w:vAlign w:val="center"/>
          </w:tcPr>
          <w:p w14:paraId="5D008952">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 xml:space="preserve">达标 </w:t>
            </w:r>
            <w:r>
              <w:rPr>
                <w:rFonts w:hint="default" w:ascii="Times New Roman" w:hAnsi="Times New Roman" w:cs="Times New Roman"/>
                <w:color w:val="auto"/>
                <w:kern w:val="2"/>
                <w:sz w:val="18"/>
                <w:szCs w:val="21"/>
              </w:rPr>
              <w:sym w:font="Wingdings 2" w:char="0052"/>
            </w:r>
          </w:p>
        </w:tc>
        <w:tc>
          <w:tcPr>
            <w:tcW w:w="3328" w:type="dxa"/>
            <w:gridSpan w:val="9"/>
            <w:noWrap w:val="0"/>
            <w:vAlign w:val="center"/>
          </w:tcPr>
          <w:p w14:paraId="2AB17A73">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不达标□</w:t>
            </w:r>
          </w:p>
        </w:tc>
      </w:tr>
      <w:tr w14:paraId="51F94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7" w:type="dxa"/>
            <w:vMerge w:val="continue"/>
            <w:noWrap w:val="0"/>
            <w:vAlign w:val="center"/>
          </w:tcPr>
          <w:p w14:paraId="0374627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537FF53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声环境保护目标处噪声值</w:t>
            </w:r>
          </w:p>
        </w:tc>
        <w:tc>
          <w:tcPr>
            <w:tcW w:w="3224" w:type="dxa"/>
            <w:gridSpan w:val="8"/>
            <w:noWrap w:val="0"/>
            <w:vAlign w:val="center"/>
          </w:tcPr>
          <w:p w14:paraId="0AE2038D">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达标</w:t>
            </w:r>
            <w:r>
              <w:rPr>
                <w:rFonts w:hint="default" w:ascii="Times New Roman" w:hAnsi="Times New Roman" w:cs="Times New Roman"/>
                <w:color w:val="auto"/>
                <w:kern w:val="2"/>
                <w:sz w:val="18"/>
                <w:szCs w:val="21"/>
              </w:rPr>
              <w:sym w:font="Wingdings 2" w:char="0052"/>
            </w:r>
          </w:p>
        </w:tc>
        <w:tc>
          <w:tcPr>
            <w:tcW w:w="3328" w:type="dxa"/>
            <w:gridSpan w:val="9"/>
            <w:noWrap w:val="0"/>
            <w:vAlign w:val="center"/>
          </w:tcPr>
          <w:p w14:paraId="18CF6371">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不达标□</w:t>
            </w:r>
          </w:p>
        </w:tc>
      </w:tr>
      <w:tr w14:paraId="1ED1E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97" w:type="dxa"/>
            <w:vMerge w:val="restart"/>
            <w:noWrap w:val="0"/>
            <w:vAlign w:val="center"/>
          </w:tcPr>
          <w:p w14:paraId="0B0C194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环境监测计划</w:t>
            </w:r>
          </w:p>
        </w:tc>
        <w:tc>
          <w:tcPr>
            <w:tcW w:w="1413" w:type="dxa"/>
            <w:noWrap w:val="0"/>
            <w:vAlign w:val="center"/>
          </w:tcPr>
          <w:p w14:paraId="68EBB67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排放监测</w:t>
            </w:r>
          </w:p>
        </w:tc>
        <w:tc>
          <w:tcPr>
            <w:tcW w:w="3224" w:type="dxa"/>
            <w:gridSpan w:val="8"/>
            <w:noWrap w:val="0"/>
            <w:vAlign w:val="center"/>
          </w:tcPr>
          <w:p w14:paraId="505F28E2">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厂界监测</w:t>
            </w:r>
            <w:r>
              <w:rPr>
                <w:rFonts w:hint="default" w:ascii="Times New Roman" w:hAnsi="Times New Roman" w:cs="Times New Roman"/>
                <w:color w:val="auto"/>
                <w:kern w:val="2"/>
                <w:sz w:val="18"/>
                <w:szCs w:val="21"/>
              </w:rPr>
              <w:sym w:font="Wingdings 2" w:char="0052"/>
            </w:r>
            <w:r>
              <w:rPr>
                <w:rFonts w:hint="default" w:ascii="Times New Roman" w:hAnsi="Times New Roman" w:cs="Times New Roman"/>
                <w:color w:val="auto"/>
                <w:kern w:val="2"/>
                <w:sz w:val="18"/>
                <w:szCs w:val="21"/>
              </w:rPr>
              <w:t xml:space="preserve">    固定位置监测</w:t>
            </w:r>
            <w:r>
              <w:rPr>
                <w:rFonts w:hint="default" w:ascii="Times New Roman" w:hAnsi="Times New Roman" w:cs="Times New Roman"/>
                <w:color w:val="auto"/>
                <w:kern w:val="2"/>
                <w:sz w:val="18"/>
                <w:szCs w:val="21"/>
              </w:rPr>
              <w:sym w:font="Wingdings 2" w:char="0052"/>
            </w:r>
          </w:p>
        </w:tc>
        <w:tc>
          <w:tcPr>
            <w:tcW w:w="2164" w:type="dxa"/>
            <w:gridSpan w:val="7"/>
            <w:noWrap w:val="0"/>
            <w:vAlign w:val="center"/>
          </w:tcPr>
          <w:p w14:paraId="1AD27C10">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自动监测□ 手动监测</w:t>
            </w:r>
            <w:r>
              <w:rPr>
                <w:rFonts w:hint="default" w:ascii="Times New Roman" w:hAnsi="Times New Roman" w:cs="Times New Roman"/>
                <w:color w:val="auto"/>
                <w:kern w:val="2"/>
                <w:sz w:val="18"/>
                <w:szCs w:val="21"/>
              </w:rPr>
              <w:sym w:font="Wingdings 2" w:char="0052"/>
            </w:r>
          </w:p>
        </w:tc>
        <w:tc>
          <w:tcPr>
            <w:tcW w:w="1164" w:type="dxa"/>
            <w:gridSpan w:val="2"/>
            <w:noWrap w:val="0"/>
            <w:vAlign w:val="center"/>
          </w:tcPr>
          <w:p w14:paraId="24004152">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无监测</w:t>
            </w:r>
            <w:r>
              <w:rPr>
                <w:rFonts w:hint="default" w:ascii="Times New Roman" w:hAnsi="Times New Roman" w:cs="Times New Roman"/>
                <w:color w:val="auto"/>
                <w:kern w:val="2"/>
                <w:sz w:val="18"/>
                <w:szCs w:val="21"/>
              </w:rPr>
              <w:sym w:font="Wingdings 2" w:char="00A3"/>
            </w:r>
          </w:p>
        </w:tc>
      </w:tr>
      <w:tr w14:paraId="5E888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997" w:type="dxa"/>
            <w:vMerge w:val="continue"/>
            <w:noWrap w:val="0"/>
            <w:vAlign w:val="center"/>
          </w:tcPr>
          <w:p w14:paraId="55FBC2C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413" w:type="dxa"/>
            <w:noWrap w:val="0"/>
            <w:vAlign w:val="center"/>
          </w:tcPr>
          <w:p w14:paraId="597FB4F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声环境保护目标处噪声监测</w:t>
            </w:r>
          </w:p>
        </w:tc>
        <w:tc>
          <w:tcPr>
            <w:tcW w:w="3224" w:type="dxa"/>
            <w:gridSpan w:val="8"/>
            <w:noWrap w:val="0"/>
            <w:vAlign w:val="center"/>
          </w:tcPr>
          <w:p w14:paraId="62E4BDD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监测因子：（等效连续A声级）</w:t>
            </w:r>
          </w:p>
        </w:tc>
        <w:tc>
          <w:tcPr>
            <w:tcW w:w="2164" w:type="dxa"/>
            <w:gridSpan w:val="7"/>
            <w:noWrap w:val="0"/>
            <w:vAlign w:val="center"/>
          </w:tcPr>
          <w:p w14:paraId="4DA47E86">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监测点位数（ </w:t>
            </w:r>
            <w:r>
              <w:rPr>
                <w:rFonts w:hint="eastAsia" w:ascii="Times New Roman" w:hAnsi="Times New Roman" w:eastAsia="宋体" w:cs="Times New Roman"/>
                <w:color w:val="auto"/>
                <w:kern w:val="2"/>
                <w:sz w:val="18"/>
                <w:szCs w:val="21"/>
                <w:lang w:val="en-US" w:eastAsia="zh-CN"/>
              </w:rPr>
              <w:t>6</w:t>
            </w:r>
            <w:r>
              <w:rPr>
                <w:rFonts w:hint="default" w:ascii="Times New Roman" w:hAnsi="Times New Roman" w:eastAsia="宋体" w:cs="Times New Roman"/>
                <w:color w:val="auto"/>
                <w:kern w:val="2"/>
                <w:sz w:val="18"/>
                <w:szCs w:val="21"/>
              </w:rPr>
              <w:t xml:space="preserve"> ）</w:t>
            </w:r>
          </w:p>
        </w:tc>
        <w:tc>
          <w:tcPr>
            <w:tcW w:w="1164" w:type="dxa"/>
            <w:gridSpan w:val="2"/>
            <w:noWrap w:val="0"/>
            <w:vAlign w:val="center"/>
          </w:tcPr>
          <w:p w14:paraId="46798C7F">
            <w:pPr>
              <w:topLinePunct w:val="0"/>
              <w:adjustRightInd/>
              <w:spacing w:before="31" w:beforeLines="10" w:after="31" w:afterLines="10" w:line="0" w:lineRule="atLeast"/>
              <w:ind w:left="0" w:leftChars="0" w:firstLine="0" w:firstLineChars="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无监测□</w:t>
            </w:r>
          </w:p>
        </w:tc>
      </w:tr>
      <w:tr w14:paraId="0565E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997" w:type="dxa"/>
            <w:noWrap w:val="0"/>
            <w:vAlign w:val="center"/>
          </w:tcPr>
          <w:p w14:paraId="6ECA6B5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评价结论</w:t>
            </w:r>
          </w:p>
        </w:tc>
        <w:tc>
          <w:tcPr>
            <w:tcW w:w="1413" w:type="dxa"/>
            <w:noWrap w:val="0"/>
            <w:vAlign w:val="center"/>
          </w:tcPr>
          <w:p w14:paraId="54D4B74E">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环境影响</w:t>
            </w:r>
          </w:p>
        </w:tc>
        <w:tc>
          <w:tcPr>
            <w:tcW w:w="6552" w:type="dxa"/>
            <w:gridSpan w:val="17"/>
            <w:noWrap w:val="0"/>
            <w:vAlign w:val="center"/>
          </w:tcPr>
          <w:p w14:paraId="4A82E3F5">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可行</w:t>
            </w:r>
            <w:r>
              <w:rPr>
                <w:rFonts w:hint="default" w:ascii="Times New Roman" w:hAnsi="Times New Roman" w:cs="Times New Roman"/>
                <w:color w:val="auto"/>
                <w:kern w:val="2"/>
                <w:sz w:val="18"/>
                <w:szCs w:val="21"/>
              </w:rPr>
              <w:sym w:font="Wingdings 2" w:char="0052"/>
            </w:r>
            <w:r>
              <w:rPr>
                <w:rFonts w:hint="default" w:ascii="Times New Roman" w:hAnsi="Times New Roman" w:cs="Times New Roman"/>
                <w:color w:val="auto"/>
                <w:kern w:val="2"/>
                <w:sz w:val="18"/>
                <w:szCs w:val="21"/>
              </w:rPr>
              <w:t xml:space="preserve">       不可行□</w:t>
            </w:r>
          </w:p>
        </w:tc>
      </w:tr>
      <w:tr w14:paraId="46E9F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8962" w:type="dxa"/>
            <w:gridSpan w:val="19"/>
            <w:noWrap w:val="0"/>
            <w:vAlign w:val="center"/>
          </w:tcPr>
          <w:p w14:paraId="21C57C08">
            <w:pPr>
              <w:topLinePunct w:val="0"/>
              <w:adjustRightInd/>
              <w:spacing w:before="31" w:beforeLines="10" w:after="31" w:afterLines="10" w:line="0" w:lineRule="atLeast"/>
              <w:ind w:firstLine="0"/>
              <w:jc w:val="center"/>
              <w:rPr>
                <w:rFonts w:hint="default" w:ascii="Times New Roman" w:hAnsi="Times New Roman" w:cs="Times New Roman"/>
                <w:color w:val="auto"/>
                <w:kern w:val="2"/>
                <w:sz w:val="18"/>
                <w:szCs w:val="21"/>
              </w:rPr>
            </w:pPr>
            <w:r>
              <w:rPr>
                <w:rFonts w:hint="default" w:ascii="Times New Roman" w:hAnsi="Times New Roman" w:cs="Times New Roman"/>
                <w:color w:val="auto"/>
                <w:kern w:val="2"/>
                <w:sz w:val="18"/>
                <w:szCs w:val="21"/>
              </w:rPr>
              <w:t>注：“□” 为勾选项 ，可√ ；“（   ）” 为内容填写项。</w:t>
            </w:r>
          </w:p>
        </w:tc>
      </w:tr>
    </w:tbl>
    <w:p w14:paraId="4B048C2A">
      <w:pPr>
        <w:rPr>
          <w:rFonts w:ascii="Times New Roman" w:hAnsi="Times New Roman" w:eastAsia="宋体" w:cs="Times New Roman"/>
          <w:b/>
          <w:color w:val="auto"/>
          <w:sz w:val="21"/>
          <w:szCs w:val="21"/>
        </w:rPr>
      </w:pPr>
    </w:p>
    <w:p w14:paraId="68C01A09">
      <w:pPr>
        <w:rPr>
          <w:rFonts w:ascii="Times New Roman" w:hAnsi="Times New Roman" w:eastAsia="宋体" w:cs="Times New Roman"/>
          <w:b/>
          <w:color w:val="auto"/>
          <w:sz w:val="21"/>
          <w:szCs w:val="21"/>
        </w:rPr>
      </w:pPr>
    </w:p>
    <w:p w14:paraId="3EAA117C">
      <w:pPr>
        <w:rPr>
          <w:rFonts w:ascii="Times New Roman" w:hAnsi="Times New Roman" w:eastAsia="宋体" w:cs="Times New Roman"/>
          <w:b/>
          <w:color w:val="auto"/>
          <w:sz w:val="21"/>
          <w:szCs w:val="21"/>
        </w:rPr>
      </w:pPr>
    </w:p>
    <w:p w14:paraId="3A362CEB">
      <w:pPr>
        <w:rPr>
          <w:rFonts w:ascii="Times New Roman" w:hAnsi="Times New Roman" w:eastAsia="宋体" w:cs="Times New Roman"/>
          <w:b/>
          <w:color w:val="auto"/>
          <w:sz w:val="21"/>
          <w:szCs w:val="21"/>
        </w:rPr>
      </w:pPr>
    </w:p>
    <w:p w14:paraId="7D35584C">
      <w:pPr>
        <w:rPr>
          <w:rFonts w:ascii="Times New Roman" w:hAnsi="Times New Roman" w:eastAsia="宋体" w:cs="Times New Roman"/>
          <w:b/>
          <w:color w:val="auto"/>
          <w:sz w:val="21"/>
          <w:szCs w:val="21"/>
        </w:rPr>
      </w:pPr>
    </w:p>
    <w:p w14:paraId="5506B325">
      <w:pPr>
        <w:rPr>
          <w:rFonts w:ascii="Times New Roman" w:hAnsi="Times New Roman" w:eastAsia="宋体" w:cs="Times New Roman"/>
          <w:b/>
          <w:color w:val="auto"/>
          <w:sz w:val="21"/>
          <w:szCs w:val="21"/>
        </w:rPr>
      </w:pPr>
    </w:p>
    <w:p w14:paraId="0446542B">
      <w:pPr>
        <w:rPr>
          <w:rFonts w:ascii="Times New Roman" w:hAnsi="Times New Roman" w:eastAsia="宋体" w:cs="Times New Roman"/>
          <w:b/>
          <w:color w:val="auto"/>
          <w:sz w:val="21"/>
          <w:szCs w:val="21"/>
        </w:rPr>
      </w:pPr>
    </w:p>
    <w:p w14:paraId="540819C6">
      <w:pPr>
        <w:rPr>
          <w:rFonts w:ascii="Times New Roman" w:hAnsi="Times New Roman" w:eastAsia="宋体" w:cs="Times New Roman"/>
          <w:b/>
          <w:color w:val="auto"/>
          <w:sz w:val="21"/>
          <w:szCs w:val="21"/>
        </w:rPr>
      </w:pPr>
    </w:p>
    <w:p w14:paraId="4674FCB0">
      <w:pPr>
        <w:rPr>
          <w:rFonts w:ascii="Times New Roman" w:hAnsi="Times New Roman" w:eastAsia="宋体" w:cs="Times New Roman"/>
          <w:b/>
          <w:color w:val="auto"/>
          <w:sz w:val="21"/>
          <w:szCs w:val="21"/>
        </w:rPr>
      </w:pPr>
    </w:p>
    <w:p w14:paraId="6A88CA14">
      <w:pPr>
        <w:rPr>
          <w:rFonts w:ascii="Times New Roman" w:hAnsi="Times New Roman" w:eastAsia="宋体" w:cs="Times New Roman"/>
          <w:b/>
          <w:color w:val="auto"/>
          <w:sz w:val="21"/>
          <w:szCs w:val="21"/>
        </w:rPr>
      </w:pPr>
    </w:p>
    <w:p w14:paraId="0C30B3BA">
      <w:pPr>
        <w:rPr>
          <w:rFonts w:hint="default" w:ascii="Times New Roman" w:hAnsi="Times New Roman" w:eastAsia="宋体" w:cs="Times New Roman"/>
          <w:b/>
          <w:color w:val="auto"/>
          <w:sz w:val="21"/>
          <w:szCs w:val="21"/>
          <w:lang w:val="en-US" w:eastAsia="zh-CN"/>
        </w:rPr>
      </w:pPr>
    </w:p>
    <w:p w14:paraId="7D3C04A9">
      <w:pPr>
        <w:keepNext w:val="0"/>
        <w:keepLines w:val="0"/>
        <w:pageBreakBefore w:val="0"/>
        <w:widowControl w:val="0"/>
        <w:kinsoku/>
        <w:wordWrap/>
        <w:overflowPunct/>
        <w:topLinePunct w:val="0"/>
        <w:autoSpaceDE/>
        <w:autoSpaceDN/>
        <w:bidi w:val="0"/>
        <w:adjustRightInd/>
        <w:snapToGrid/>
        <w:spacing w:before="60" w:beforeLines="25" w:after="60" w:afterLines="25" w:line="240" w:lineRule="auto"/>
        <w:ind w:firstLine="0" w:firstLineChars="0"/>
        <w:jc w:val="center"/>
        <w:textAlignment w:val="auto"/>
        <w:outlineLvl w:val="1"/>
        <w:rPr>
          <w:rFonts w:hint="default" w:ascii="Times New Roman" w:hAnsi="Times New Roman" w:eastAsia="宋体" w:cs="Times New Roman"/>
          <w:b/>
          <w:color w:val="auto"/>
          <w:sz w:val="24"/>
          <w:szCs w:val="24"/>
          <w:lang w:val="en-US" w:eastAsia="zh-CN"/>
        </w:rPr>
      </w:pPr>
      <w:bookmarkStart w:id="722" w:name="_Toc26172"/>
      <w:r>
        <w:rPr>
          <w:rFonts w:hint="default" w:ascii="Times New Roman" w:hAnsi="Times New Roman" w:eastAsia="宋体" w:cs="Times New Roman"/>
          <w:b/>
          <w:color w:val="auto"/>
          <w:sz w:val="24"/>
          <w:szCs w:val="24"/>
          <w:lang w:val="en-US" w:eastAsia="zh-CN"/>
        </w:rPr>
        <w:t>附表</w:t>
      </w:r>
      <w:r>
        <w:rPr>
          <w:rFonts w:hint="eastAsia" w:ascii="Times New Roman" w:hAnsi="Times New Roman" w:eastAsia="宋体" w:cs="Times New Roman"/>
          <w:b/>
          <w:color w:val="auto"/>
          <w:sz w:val="24"/>
          <w:szCs w:val="24"/>
          <w:lang w:val="en-US" w:eastAsia="zh-CN"/>
        </w:rPr>
        <w:t xml:space="preserve">4 </w:t>
      </w:r>
      <w:r>
        <w:rPr>
          <w:rFonts w:hint="default" w:ascii="Times New Roman" w:hAnsi="Times New Roman" w:eastAsia="宋体" w:cs="Times New Roman"/>
          <w:b/>
          <w:color w:val="auto"/>
          <w:sz w:val="24"/>
          <w:szCs w:val="24"/>
          <w:lang w:val="en-US" w:eastAsia="zh-CN"/>
        </w:rPr>
        <w:t xml:space="preserve"> 生态影响评价自查表</w:t>
      </w:r>
      <w:bookmarkEnd w:id="722"/>
    </w:p>
    <w:tbl>
      <w:tblPr>
        <w:tblStyle w:val="40"/>
        <w:tblW w:w="523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73"/>
        <w:gridCol w:w="1209"/>
        <w:gridCol w:w="6527"/>
      </w:tblGrid>
      <w:tr w14:paraId="6C443F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jc w:val="center"/>
        </w:trPr>
        <w:tc>
          <w:tcPr>
            <w:tcW w:w="1253" w:type="pct"/>
            <w:gridSpan w:val="2"/>
            <w:tcBorders>
              <w:tl2br w:val="nil"/>
              <w:tr2bl w:val="nil"/>
            </w:tcBorders>
            <w:noWrap w:val="0"/>
            <w:vAlign w:val="center"/>
          </w:tcPr>
          <w:p w14:paraId="0C0AFDAA">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工作内容</w:t>
            </w:r>
          </w:p>
        </w:tc>
        <w:tc>
          <w:tcPr>
            <w:tcW w:w="3746" w:type="pct"/>
            <w:tcBorders>
              <w:tl2br w:val="nil"/>
              <w:tr2bl w:val="nil"/>
            </w:tcBorders>
            <w:noWrap w:val="0"/>
            <w:vAlign w:val="center"/>
          </w:tcPr>
          <w:p w14:paraId="1774B6E9">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自查项目</w:t>
            </w:r>
          </w:p>
        </w:tc>
      </w:tr>
      <w:tr w14:paraId="0453C0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7" w:hRule="atLeast"/>
          <w:jc w:val="center"/>
        </w:trPr>
        <w:tc>
          <w:tcPr>
            <w:tcW w:w="559" w:type="pct"/>
            <w:vMerge w:val="restart"/>
            <w:tcBorders>
              <w:tl2br w:val="nil"/>
              <w:tr2bl w:val="nil"/>
            </w:tcBorders>
            <w:noWrap w:val="0"/>
            <w:vAlign w:val="center"/>
          </w:tcPr>
          <w:p w14:paraId="1EE24AD8">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生态影响</w:t>
            </w:r>
          </w:p>
          <w:p w14:paraId="14794A64">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识别</w:t>
            </w:r>
          </w:p>
        </w:tc>
        <w:tc>
          <w:tcPr>
            <w:tcW w:w="693" w:type="pct"/>
            <w:tcBorders>
              <w:tl2br w:val="nil"/>
              <w:tr2bl w:val="nil"/>
            </w:tcBorders>
            <w:noWrap w:val="0"/>
            <w:vAlign w:val="center"/>
          </w:tcPr>
          <w:p w14:paraId="3940C04A">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both"/>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生态保护目标</w:t>
            </w:r>
          </w:p>
        </w:tc>
        <w:tc>
          <w:tcPr>
            <w:tcW w:w="3746" w:type="pct"/>
            <w:tcBorders>
              <w:tl2br w:val="nil"/>
              <w:tr2bl w:val="nil"/>
            </w:tcBorders>
            <w:noWrap w:val="0"/>
            <w:vAlign w:val="center"/>
          </w:tcPr>
          <w:p w14:paraId="1267C074">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both"/>
              <w:textAlignment w:val="auto"/>
              <w:rPr>
                <w:rFonts w:hint="default" w:ascii="Times New Roman" w:hAnsi="Times New Roman" w:cs="Times New Roman"/>
                <w:color w:val="auto"/>
                <w:sz w:val="18"/>
              </w:rPr>
            </w:pPr>
            <w:r>
              <w:rPr>
                <w:rFonts w:hint="default" w:ascii="Times New Roman" w:hAnsi="Times New Roman" w:cs="Times New Roman"/>
                <w:color w:val="auto"/>
                <w:sz w:val="18"/>
              </w:rPr>
              <w:t>重要物种□；国家公园□；自然保护区□；自然公园□；世界自然遗产□；生态保护红线□；重要生境□；其他具有重要生态功能、对保护生物多样性具有重要意义的区域□；其他</w:t>
            </w:r>
            <w:r>
              <w:rPr>
                <w:rFonts w:hint="default" w:ascii="Times New Roman" w:hAnsi="Times New Roman" w:cs="Times New Roman"/>
                <w:color w:val="auto"/>
                <w:sz w:val="18"/>
              </w:rPr>
              <w:sym w:font="Wingdings 2" w:char="0052"/>
            </w:r>
          </w:p>
        </w:tc>
      </w:tr>
      <w:tr w14:paraId="4C7F6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559" w:type="pct"/>
            <w:vMerge w:val="continue"/>
            <w:tcBorders>
              <w:tl2br w:val="nil"/>
              <w:tr2bl w:val="nil"/>
            </w:tcBorders>
            <w:noWrap w:val="0"/>
            <w:vAlign w:val="center"/>
          </w:tcPr>
          <w:p w14:paraId="012D8899">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1F95776D">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影响方式</w:t>
            </w:r>
          </w:p>
        </w:tc>
        <w:tc>
          <w:tcPr>
            <w:tcW w:w="3746" w:type="pct"/>
            <w:tcBorders>
              <w:tl2br w:val="nil"/>
              <w:tr2bl w:val="nil"/>
            </w:tcBorders>
            <w:noWrap w:val="0"/>
            <w:vAlign w:val="center"/>
          </w:tcPr>
          <w:p w14:paraId="20DE0AD8">
            <w:pPr>
              <w:pStyle w:val="89"/>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工程占用</w:t>
            </w:r>
            <w:r>
              <w:rPr>
                <w:rFonts w:hint="default" w:ascii="Times New Roman" w:hAnsi="Times New Roman" w:cs="Times New Roman"/>
                <w:color w:val="auto"/>
                <w:sz w:val="18"/>
              </w:rPr>
              <w:sym w:font="Wingdings 2" w:char="00A3"/>
            </w:r>
            <w:r>
              <w:rPr>
                <w:rFonts w:hint="default" w:ascii="Times New Roman" w:hAnsi="Times New Roman" w:cs="Times New Roman"/>
                <w:color w:val="auto"/>
                <w:sz w:val="18"/>
              </w:rPr>
              <w:t>；施工活动干扰</w:t>
            </w:r>
            <w:r>
              <w:rPr>
                <w:rFonts w:hint="default" w:ascii="Times New Roman" w:hAnsi="Times New Roman" w:cs="Times New Roman"/>
                <w:color w:val="auto"/>
                <w:sz w:val="18"/>
              </w:rPr>
              <w:sym w:font="Wingdings 2" w:char="0052"/>
            </w:r>
            <w:r>
              <w:rPr>
                <w:rFonts w:hint="default" w:ascii="Times New Roman" w:hAnsi="Times New Roman" w:cs="Times New Roman"/>
                <w:color w:val="auto"/>
                <w:sz w:val="18"/>
              </w:rPr>
              <w:t>；改变环境条件□；其他□</w:t>
            </w:r>
          </w:p>
        </w:tc>
      </w:tr>
      <w:tr w14:paraId="09C621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5" w:hRule="atLeast"/>
          <w:jc w:val="center"/>
        </w:trPr>
        <w:tc>
          <w:tcPr>
            <w:tcW w:w="559" w:type="pct"/>
            <w:vMerge w:val="continue"/>
            <w:tcBorders>
              <w:tl2br w:val="nil"/>
              <w:tr2bl w:val="nil"/>
            </w:tcBorders>
            <w:noWrap w:val="0"/>
            <w:vAlign w:val="center"/>
          </w:tcPr>
          <w:p w14:paraId="0EE8A0AD">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1D779D2D">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评价因子</w:t>
            </w:r>
          </w:p>
        </w:tc>
        <w:tc>
          <w:tcPr>
            <w:tcW w:w="3746" w:type="pct"/>
            <w:tcBorders>
              <w:tl2br w:val="nil"/>
              <w:tr2bl w:val="nil"/>
            </w:tcBorders>
            <w:noWrap w:val="0"/>
            <w:vAlign w:val="center"/>
          </w:tcPr>
          <w:p w14:paraId="206F7A4C">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物种□（</w:t>
            </w:r>
            <w:r>
              <w:rPr>
                <w:rFonts w:hint="default" w:ascii="Times New Roman" w:hAnsi="Times New Roman" w:cs="Times New Roman"/>
                <w:color w:val="auto"/>
                <w:sz w:val="18"/>
              </w:rPr>
              <w:tab/>
            </w:r>
            <w:r>
              <w:rPr>
                <w:rFonts w:hint="default" w:ascii="Times New Roman" w:hAnsi="Times New Roman" w:cs="Times New Roman"/>
                <w:color w:val="auto"/>
                <w:sz w:val="18"/>
              </w:rPr>
              <w:t>）</w:t>
            </w:r>
          </w:p>
          <w:p w14:paraId="5CF62338">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生境□（</w:t>
            </w:r>
            <w:r>
              <w:rPr>
                <w:rFonts w:hint="default" w:ascii="Times New Roman" w:hAnsi="Times New Roman" w:cs="Times New Roman"/>
                <w:color w:val="auto"/>
                <w:sz w:val="18"/>
              </w:rPr>
              <w:tab/>
            </w:r>
            <w:r>
              <w:rPr>
                <w:rFonts w:hint="default" w:ascii="Times New Roman" w:hAnsi="Times New Roman" w:cs="Times New Roman"/>
                <w:color w:val="auto"/>
                <w:sz w:val="18"/>
              </w:rPr>
              <w:t>）</w:t>
            </w:r>
          </w:p>
          <w:p w14:paraId="13ADE3D9">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生物群落□（</w:t>
            </w:r>
            <w:r>
              <w:rPr>
                <w:rFonts w:hint="default" w:ascii="Times New Roman" w:hAnsi="Times New Roman" w:cs="Times New Roman"/>
                <w:color w:val="auto"/>
                <w:sz w:val="18"/>
              </w:rPr>
              <w:tab/>
            </w:r>
            <w:r>
              <w:rPr>
                <w:rFonts w:hint="default" w:ascii="Times New Roman" w:hAnsi="Times New Roman" w:cs="Times New Roman"/>
                <w:color w:val="auto"/>
                <w:sz w:val="18"/>
              </w:rPr>
              <w:t>）</w:t>
            </w:r>
          </w:p>
          <w:p w14:paraId="22972B9C">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生态系统□（</w:t>
            </w:r>
            <w:r>
              <w:rPr>
                <w:rFonts w:hint="default" w:ascii="Times New Roman" w:hAnsi="Times New Roman" w:cs="Times New Roman"/>
                <w:color w:val="auto"/>
                <w:sz w:val="18"/>
              </w:rPr>
              <w:tab/>
            </w:r>
            <w:r>
              <w:rPr>
                <w:rFonts w:hint="default" w:ascii="Times New Roman" w:hAnsi="Times New Roman" w:cs="Times New Roman"/>
                <w:color w:val="auto"/>
                <w:sz w:val="18"/>
              </w:rPr>
              <w:t>）</w:t>
            </w:r>
          </w:p>
          <w:p w14:paraId="2344C343">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生物多样性□（</w:t>
            </w:r>
            <w:r>
              <w:rPr>
                <w:rFonts w:hint="default" w:ascii="Times New Roman" w:hAnsi="Times New Roman" w:cs="Times New Roman"/>
                <w:color w:val="auto"/>
                <w:sz w:val="18"/>
              </w:rPr>
              <w:tab/>
            </w:r>
            <w:r>
              <w:rPr>
                <w:rFonts w:hint="default" w:ascii="Times New Roman" w:hAnsi="Times New Roman" w:cs="Times New Roman"/>
                <w:color w:val="auto"/>
                <w:sz w:val="18"/>
              </w:rPr>
              <w:t>）</w:t>
            </w:r>
          </w:p>
          <w:p w14:paraId="6846ADE7">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eastAsia="宋体" w:cs="Times New Roman"/>
                <w:color w:val="auto"/>
                <w:sz w:val="18"/>
                <w:lang w:eastAsia="zh-CN"/>
              </w:rPr>
            </w:pPr>
            <w:r>
              <w:rPr>
                <w:rFonts w:hint="default" w:ascii="Times New Roman" w:hAnsi="Times New Roman" w:cs="Times New Roman"/>
                <w:color w:val="auto"/>
                <w:sz w:val="18"/>
              </w:rPr>
              <w:t>生态敏感区□（</w:t>
            </w:r>
            <w:r>
              <w:rPr>
                <w:rFonts w:hint="default" w:ascii="Times New Roman" w:hAnsi="Times New Roman" w:cs="Times New Roman"/>
                <w:color w:val="auto"/>
                <w:sz w:val="18"/>
              </w:rPr>
              <w:tab/>
            </w:r>
            <w:r>
              <w:rPr>
                <w:rFonts w:hint="default" w:ascii="Times New Roman" w:hAnsi="Times New Roman" w:cs="Times New Roman"/>
                <w:color w:val="auto"/>
                <w:sz w:val="18"/>
                <w:lang w:eastAsia="zh-CN"/>
              </w:rPr>
              <w:t>）</w:t>
            </w:r>
          </w:p>
          <w:p w14:paraId="6819C1F1">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自然景观□（</w:t>
            </w:r>
            <w:r>
              <w:rPr>
                <w:rFonts w:hint="default" w:ascii="Times New Roman" w:hAnsi="Times New Roman" w:cs="Times New Roman"/>
                <w:color w:val="auto"/>
                <w:sz w:val="18"/>
              </w:rPr>
              <w:tab/>
            </w:r>
            <w:r>
              <w:rPr>
                <w:rFonts w:hint="default" w:ascii="Times New Roman" w:hAnsi="Times New Roman" w:cs="Times New Roman"/>
                <w:color w:val="auto"/>
                <w:sz w:val="18"/>
              </w:rPr>
              <w:t>）</w:t>
            </w:r>
          </w:p>
          <w:p w14:paraId="08B8493F">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自然遗迹□（</w:t>
            </w:r>
            <w:r>
              <w:rPr>
                <w:rFonts w:hint="default" w:ascii="Times New Roman" w:hAnsi="Times New Roman" w:cs="Times New Roman"/>
                <w:color w:val="auto"/>
                <w:sz w:val="18"/>
              </w:rPr>
              <w:tab/>
            </w:r>
            <w:r>
              <w:rPr>
                <w:rFonts w:hint="default" w:ascii="Times New Roman" w:hAnsi="Times New Roman" w:cs="Times New Roman"/>
                <w:color w:val="auto"/>
                <w:sz w:val="18"/>
              </w:rPr>
              <w:t>）</w:t>
            </w:r>
          </w:p>
          <w:p w14:paraId="5E9A85B8">
            <w:pPr>
              <w:pStyle w:val="89"/>
              <w:keepNext w:val="0"/>
              <w:keepLines w:val="0"/>
              <w:pageBreakBefore w:val="0"/>
              <w:widowControl w:val="0"/>
              <w:tabs>
                <w:tab w:val="left" w:pos="3092"/>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其他</w:t>
            </w:r>
            <w:r>
              <w:rPr>
                <w:rFonts w:hint="default" w:ascii="Times New Roman" w:hAnsi="Times New Roman" w:cs="Times New Roman"/>
                <w:color w:val="auto"/>
                <w:sz w:val="18"/>
              </w:rPr>
              <w:sym w:font="Wingdings 2" w:char="0052"/>
            </w:r>
            <w:r>
              <w:rPr>
                <w:rFonts w:hint="default" w:ascii="Times New Roman" w:hAnsi="Times New Roman" w:cs="Times New Roman"/>
                <w:color w:val="auto"/>
                <w:sz w:val="18"/>
              </w:rPr>
              <w:t>（</w:t>
            </w:r>
            <w:r>
              <w:rPr>
                <w:rFonts w:hint="default" w:ascii="Times New Roman" w:hAnsi="Times New Roman" w:cs="Times New Roman"/>
                <w:color w:val="auto"/>
                <w:sz w:val="18"/>
              </w:rPr>
              <w:tab/>
            </w:r>
            <w:r>
              <w:rPr>
                <w:rFonts w:hint="default" w:ascii="Times New Roman" w:hAnsi="Times New Roman" w:cs="Times New Roman"/>
                <w:color w:val="auto"/>
                <w:sz w:val="18"/>
              </w:rPr>
              <w:t>）</w:t>
            </w:r>
          </w:p>
        </w:tc>
      </w:tr>
      <w:tr w14:paraId="29BBE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1253" w:type="pct"/>
            <w:gridSpan w:val="2"/>
            <w:tcBorders>
              <w:tl2br w:val="nil"/>
              <w:tr2bl w:val="nil"/>
            </w:tcBorders>
            <w:noWrap w:val="0"/>
            <w:vAlign w:val="center"/>
          </w:tcPr>
          <w:p w14:paraId="5C4F3727">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评价等级</w:t>
            </w:r>
          </w:p>
        </w:tc>
        <w:tc>
          <w:tcPr>
            <w:tcW w:w="3746" w:type="pct"/>
            <w:tcBorders>
              <w:tl2br w:val="nil"/>
              <w:tr2bl w:val="nil"/>
            </w:tcBorders>
            <w:noWrap w:val="0"/>
            <w:vAlign w:val="center"/>
          </w:tcPr>
          <w:p w14:paraId="124AAF7E">
            <w:pPr>
              <w:pStyle w:val="89"/>
              <w:keepNext w:val="0"/>
              <w:keepLines w:val="0"/>
              <w:pageBreakBefore w:val="0"/>
              <w:widowControl w:val="0"/>
              <w:tabs>
                <w:tab w:val="left" w:pos="1471"/>
                <w:tab w:val="left" w:pos="2823"/>
              </w:tabs>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一级□</w:t>
            </w:r>
            <w:r>
              <w:rPr>
                <w:rFonts w:hint="default" w:ascii="Times New Roman" w:hAnsi="Times New Roman" w:cs="Times New Roman"/>
                <w:color w:val="auto"/>
                <w:sz w:val="18"/>
                <w:lang w:val="en-US" w:eastAsia="zh-CN"/>
              </w:rPr>
              <w:t xml:space="preserve">  </w:t>
            </w:r>
            <w:r>
              <w:rPr>
                <w:rFonts w:hint="default" w:ascii="Times New Roman" w:hAnsi="Times New Roman" w:cs="Times New Roman"/>
                <w:color w:val="auto"/>
                <w:sz w:val="18"/>
              </w:rPr>
              <w:t>二级□</w:t>
            </w:r>
            <w:r>
              <w:rPr>
                <w:rFonts w:hint="default" w:ascii="Times New Roman" w:hAnsi="Times New Roman" w:cs="Times New Roman"/>
                <w:color w:val="auto"/>
                <w:sz w:val="18"/>
                <w:lang w:val="en-US" w:eastAsia="zh-CN"/>
              </w:rPr>
              <w:t xml:space="preserve">  </w:t>
            </w:r>
            <w:r>
              <w:rPr>
                <w:rFonts w:hint="default" w:ascii="Times New Roman" w:hAnsi="Times New Roman" w:cs="Times New Roman"/>
                <w:color w:val="auto"/>
                <w:sz w:val="18"/>
              </w:rPr>
              <w:t>三级</w:t>
            </w:r>
            <w:r>
              <w:rPr>
                <w:rFonts w:hint="default" w:ascii="Times New Roman" w:hAnsi="Times New Roman" w:cs="Times New Roman"/>
                <w:color w:val="auto"/>
                <w:sz w:val="18"/>
              </w:rPr>
              <w:sym w:font="Wingdings 2" w:char="00A3"/>
            </w:r>
            <w:r>
              <w:rPr>
                <w:rFonts w:hint="default" w:ascii="Times New Roman" w:hAnsi="Times New Roman" w:cs="Times New Roman"/>
                <w:color w:val="auto"/>
                <w:sz w:val="18"/>
                <w:lang w:val="en-US" w:eastAsia="zh-CN"/>
              </w:rPr>
              <w:t xml:space="preserve">         </w:t>
            </w:r>
            <w:r>
              <w:rPr>
                <w:rFonts w:hint="default" w:ascii="Times New Roman" w:hAnsi="Times New Roman" w:cs="Times New Roman"/>
                <w:color w:val="auto"/>
                <w:sz w:val="18"/>
              </w:rPr>
              <w:t>生态影响简单分析</w:t>
            </w:r>
            <w:r>
              <w:rPr>
                <w:rFonts w:hint="default" w:ascii="Times New Roman" w:hAnsi="Times New Roman" w:cs="Times New Roman"/>
                <w:color w:val="auto"/>
                <w:sz w:val="18"/>
              </w:rPr>
              <w:sym w:font="Wingdings 2" w:char="0052"/>
            </w:r>
          </w:p>
        </w:tc>
      </w:tr>
      <w:tr w14:paraId="3095A6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1253" w:type="pct"/>
            <w:gridSpan w:val="2"/>
            <w:tcBorders>
              <w:tl2br w:val="nil"/>
              <w:tr2bl w:val="nil"/>
            </w:tcBorders>
            <w:noWrap w:val="0"/>
            <w:vAlign w:val="center"/>
          </w:tcPr>
          <w:p w14:paraId="0635159F">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评价范围</w:t>
            </w:r>
          </w:p>
        </w:tc>
        <w:tc>
          <w:tcPr>
            <w:tcW w:w="3746" w:type="pct"/>
            <w:tcBorders>
              <w:tl2br w:val="nil"/>
              <w:tr2bl w:val="nil"/>
            </w:tcBorders>
            <w:noWrap w:val="0"/>
            <w:vAlign w:val="center"/>
          </w:tcPr>
          <w:p w14:paraId="24EF1BFB">
            <w:pPr>
              <w:pStyle w:val="89"/>
              <w:keepNext w:val="0"/>
              <w:keepLines w:val="0"/>
              <w:pageBreakBefore w:val="0"/>
              <w:widowControl w:val="0"/>
              <w:tabs>
                <w:tab w:val="left" w:pos="1560"/>
              </w:tabs>
              <w:kinsoku/>
              <w:wordWrap/>
              <w:overflowPunct/>
              <w:topLinePunct w:val="0"/>
              <w:autoSpaceDE/>
              <w:autoSpaceDN/>
              <w:bidi w:val="0"/>
              <w:adjustRightInd/>
              <w:snapToGrid/>
              <w:spacing w:line="240" w:lineRule="auto"/>
              <w:ind w:left="0" w:right="0"/>
              <w:textAlignment w:val="auto"/>
              <w:rPr>
                <w:rFonts w:hint="default" w:ascii="Times New Roman" w:hAnsi="Times New Roman" w:eastAsia="宋体" w:cs="Times New Roman"/>
                <w:color w:val="auto"/>
                <w:sz w:val="18"/>
                <w:lang w:val="en-US" w:eastAsia="zh-CN"/>
              </w:rPr>
            </w:pPr>
            <w:r>
              <w:rPr>
                <w:rFonts w:hint="default" w:ascii="Times New Roman" w:hAnsi="Times New Roman" w:cs="Times New Roman"/>
                <w:color w:val="auto"/>
                <w:sz w:val="18"/>
                <w:highlight w:val="none"/>
              </w:rPr>
              <w:t>陆域面积</w:t>
            </w:r>
            <w:r>
              <w:rPr>
                <w:rFonts w:hint="default" w:ascii="Times New Roman" w:hAnsi="Times New Roman" w:cs="Times New Roman"/>
                <w:color w:val="auto"/>
                <w:spacing w:val="-92"/>
                <w:sz w:val="18"/>
                <w:highlight w:val="none"/>
              </w:rPr>
              <w:t>：</w:t>
            </w:r>
            <w:r>
              <w:rPr>
                <w:rFonts w:hint="default" w:ascii="Times New Roman" w:hAnsi="Times New Roman" w:cs="Times New Roman"/>
                <w:color w:val="auto"/>
                <w:sz w:val="18"/>
                <w:highlight w:val="none"/>
              </w:rPr>
              <w:t>（</w:t>
            </w:r>
            <w:r>
              <w:rPr>
                <w:rFonts w:hint="default" w:ascii="Times New Roman" w:hAnsi="Times New Roman" w:cs="Times New Roman"/>
                <w:color w:val="auto"/>
                <w:sz w:val="18"/>
                <w:highlight w:val="none"/>
                <w:lang w:val="en-US" w:eastAsia="zh-CN"/>
              </w:rPr>
              <w:t>0.</w:t>
            </w:r>
            <w:r>
              <w:rPr>
                <w:rFonts w:hint="eastAsia" w:ascii="Times New Roman" w:hAnsi="Times New Roman" w:cs="Times New Roman"/>
                <w:color w:val="auto"/>
                <w:sz w:val="18"/>
                <w:highlight w:val="none"/>
                <w:lang w:val="en-US" w:eastAsia="zh-CN"/>
              </w:rPr>
              <w:t>61</w:t>
            </w:r>
            <w:r>
              <w:rPr>
                <w:rFonts w:hint="default" w:ascii="Times New Roman" w:hAnsi="Times New Roman" w:cs="Times New Roman"/>
                <w:color w:val="auto"/>
                <w:sz w:val="18"/>
                <w:highlight w:val="none"/>
              </w:rPr>
              <w:t>）</w:t>
            </w:r>
            <w:r>
              <w:rPr>
                <w:rFonts w:hint="default" w:ascii="Times New Roman" w:hAnsi="Times New Roman" w:eastAsia="Times New Roman" w:cs="Times New Roman"/>
                <w:color w:val="auto"/>
                <w:spacing w:val="-2"/>
                <w:sz w:val="18"/>
                <w:highlight w:val="none"/>
              </w:rPr>
              <w:t>k</w:t>
            </w:r>
            <w:r>
              <w:rPr>
                <w:rFonts w:hint="default" w:ascii="Times New Roman" w:hAnsi="Times New Roman" w:eastAsia="Times New Roman" w:cs="Times New Roman"/>
                <w:color w:val="auto"/>
                <w:spacing w:val="-4"/>
                <w:sz w:val="18"/>
                <w:highlight w:val="none"/>
              </w:rPr>
              <w:t>m</w:t>
            </w:r>
            <w:r>
              <w:rPr>
                <w:rFonts w:hint="default" w:ascii="Times New Roman" w:hAnsi="Times New Roman" w:eastAsia="Times New Roman" w:cs="Times New Roman"/>
                <w:color w:val="auto"/>
                <w:w w:val="97"/>
                <w:sz w:val="18"/>
                <w:highlight w:val="none"/>
                <w:vertAlign w:val="superscript"/>
              </w:rPr>
              <w:t>2</w:t>
            </w:r>
            <w:r>
              <w:rPr>
                <w:rFonts w:hint="default" w:ascii="Times New Roman" w:hAnsi="Times New Roman" w:cs="Times New Roman"/>
                <w:color w:val="auto"/>
                <w:sz w:val="18"/>
                <w:highlight w:val="none"/>
                <w:vertAlign w:val="baseline"/>
              </w:rPr>
              <w:t>；</w:t>
            </w:r>
            <w:r>
              <w:rPr>
                <w:rFonts w:hint="default" w:ascii="Times New Roman" w:hAnsi="Times New Roman" w:cs="Times New Roman"/>
                <w:color w:val="auto"/>
                <w:sz w:val="18"/>
                <w:highlight w:val="none"/>
                <w:vertAlign w:val="baseline"/>
                <w:lang w:val="en-US" w:eastAsia="zh-CN"/>
              </w:rPr>
              <w:t>水域面积：（/）</w:t>
            </w:r>
            <w:r>
              <w:rPr>
                <w:rFonts w:hint="default" w:ascii="Times New Roman" w:hAnsi="Times New Roman" w:eastAsia="Times New Roman" w:cs="Times New Roman"/>
                <w:color w:val="auto"/>
                <w:spacing w:val="-2"/>
                <w:sz w:val="18"/>
                <w:highlight w:val="none"/>
                <w:lang w:val="en-US" w:eastAsia="zh-CN"/>
              </w:rPr>
              <w:t>km</w:t>
            </w:r>
            <w:r>
              <w:rPr>
                <w:rFonts w:hint="default" w:ascii="Times New Roman" w:hAnsi="Times New Roman" w:eastAsia="Times New Roman" w:cs="Times New Roman"/>
                <w:color w:val="auto"/>
                <w:spacing w:val="-2"/>
                <w:sz w:val="18"/>
                <w:highlight w:val="none"/>
                <w:vertAlign w:val="superscript"/>
                <w:lang w:val="en-US" w:eastAsia="zh-CN"/>
              </w:rPr>
              <w:t>2</w:t>
            </w:r>
          </w:p>
        </w:tc>
      </w:tr>
      <w:tr w14:paraId="585A14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jc w:val="center"/>
        </w:trPr>
        <w:tc>
          <w:tcPr>
            <w:tcW w:w="559" w:type="pct"/>
            <w:vMerge w:val="restart"/>
            <w:tcBorders>
              <w:tl2br w:val="nil"/>
              <w:tr2bl w:val="nil"/>
            </w:tcBorders>
            <w:noWrap w:val="0"/>
            <w:vAlign w:val="center"/>
          </w:tcPr>
          <w:p w14:paraId="6A944D91">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both"/>
              <w:textAlignment w:val="auto"/>
              <w:rPr>
                <w:rFonts w:hint="default" w:ascii="Times New Roman" w:hAnsi="Times New Roman" w:cs="Times New Roman"/>
                <w:color w:val="auto"/>
                <w:sz w:val="18"/>
              </w:rPr>
            </w:pPr>
            <w:r>
              <w:rPr>
                <w:rFonts w:hint="default" w:ascii="Times New Roman" w:hAnsi="Times New Roman" w:cs="Times New Roman"/>
                <w:color w:val="auto"/>
                <w:spacing w:val="-5"/>
                <w:sz w:val="18"/>
              </w:rPr>
              <w:t>生态现状</w:t>
            </w:r>
            <w:r>
              <w:rPr>
                <w:rFonts w:hint="default" w:ascii="Times New Roman" w:hAnsi="Times New Roman" w:cs="Times New Roman"/>
                <w:color w:val="auto"/>
                <w:sz w:val="18"/>
              </w:rPr>
              <w:t>调查与评价</w:t>
            </w:r>
          </w:p>
        </w:tc>
        <w:tc>
          <w:tcPr>
            <w:tcW w:w="693" w:type="pct"/>
            <w:tcBorders>
              <w:tl2br w:val="nil"/>
              <w:tr2bl w:val="nil"/>
            </w:tcBorders>
            <w:noWrap w:val="0"/>
            <w:vAlign w:val="center"/>
          </w:tcPr>
          <w:p w14:paraId="610B9611">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调查方法</w:t>
            </w:r>
          </w:p>
        </w:tc>
        <w:tc>
          <w:tcPr>
            <w:tcW w:w="3746" w:type="pct"/>
            <w:tcBorders>
              <w:tl2br w:val="nil"/>
              <w:tr2bl w:val="nil"/>
            </w:tcBorders>
            <w:noWrap w:val="0"/>
            <w:vAlign w:val="center"/>
          </w:tcPr>
          <w:p w14:paraId="0F454719">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资料收集</w:t>
            </w:r>
            <w:r>
              <w:rPr>
                <w:rFonts w:hint="default" w:ascii="Times New Roman" w:hAnsi="Times New Roman" w:cs="Times New Roman"/>
                <w:color w:val="auto"/>
                <w:sz w:val="18"/>
              </w:rPr>
              <w:sym w:font="Wingdings 2" w:char="0052"/>
            </w:r>
            <w:r>
              <w:rPr>
                <w:rFonts w:hint="default" w:ascii="Times New Roman" w:hAnsi="Times New Roman" w:cs="Times New Roman"/>
                <w:color w:val="auto"/>
                <w:sz w:val="18"/>
              </w:rPr>
              <w:t>；遥感调查□；调查样方、样线□；调查点位、断面□；专家和公众咨询法□；其他□</w:t>
            </w:r>
          </w:p>
        </w:tc>
      </w:tr>
      <w:tr w14:paraId="325A45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jc w:val="center"/>
        </w:trPr>
        <w:tc>
          <w:tcPr>
            <w:tcW w:w="559" w:type="pct"/>
            <w:vMerge w:val="continue"/>
            <w:tcBorders>
              <w:tl2br w:val="nil"/>
              <w:tr2bl w:val="nil"/>
            </w:tcBorders>
            <w:noWrap w:val="0"/>
            <w:vAlign w:val="center"/>
          </w:tcPr>
          <w:p w14:paraId="48AF2E79">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25D6705D">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调查时间</w:t>
            </w:r>
          </w:p>
        </w:tc>
        <w:tc>
          <w:tcPr>
            <w:tcW w:w="3746" w:type="pct"/>
            <w:tcBorders>
              <w:tl2br w:val="nil"/>
              <w:tr2bl w:val="nil"/>
            </w:tcBorders>
            <w:noWrap w:val="0"/>
            <w:vAlign w:val="center"/>
          </w:tcPr>
          <w:p w14:paraId="76A4F1D1">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both"/>
              <w:textAlignment w:val="auto"/>
              <w:rPr>
                <w:rFonts w:hint="default" w:ascii="Times New Roman" w:hAnsi="Times New Roman" w:cs="Times New Roman"/>
                <w:color w:val="auto"/>
                <w:sz w:val="18"/>
              </w:rPr>
            </w:pPr>
            <w:r>
              <w:rPr>
                <w:rFonts w:hint="default" w:ascii="Times New Roman" w:hAnsi="Times New Roman" w:cs="Times New Roman"/>
                <w:color w:val="auto"/>
                <w:sz w:val="18"/>
              </w:rPr>
              <w:t>春季</w:t>
            </w:r>
            <w:r>
              <w:rPr>
                <w:rFonts w:hint="default" w:ascii="Times New Roman" w:hAnsi="Times New Roman" w:cs="Times New Roman"/>
                <w:color w:val="auto"/>
                <w:sz w:val="18"/>
              </w:rPr>
              <w:sym w:font="Wingdings 2" w:char="00A3"/>
            </w:r>
            <w:r>
              <w:rPr>
                <w:rFonts w:hint="default" w:ascii="Times New Roman" w:hAnsi="Times New Roman" w:cs="Times New Roman"/>
                <w:color w:val="auto"/>
                <w:sz w:val="18"/>
              </w:rPr>
              <w:t>；夏季</w:t>
            </w:r>
            <w:r>
              <w:rPr>
                <w:rFonts w:hint="default" w:ascii="Times New Roman" w:hAnsi="Times New Roman" w:cs="Times New Roman"/>
                <w:color w:val="auto"/>
                <w:sz w:val="18"/>
              </w:rPr>
              <w:sym w:font="Wingdings 2" w:char="00A3"/>
            </w:r>
            <w:r>
              <w:rPr>
                <w:rFonts w:hint="default" w:ascii="Times New Roman" w:hAnsi="Times New Roman" w:cs="Times New Roman"/>
                <w:color w:val="auto"/>
                <w:sz w:val="18"/>
              </w:rPr>
              <w:t xml:space="preserve">；秋季□；冬季□ </w:t>
            </w:r>
          </w:p>
          <w:p w14:paraId="400D4D36">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both"/>
              <w:textAlignment w:val="auto"/>
              <w:rPr>
                <w:rFonts w:hint="default" w:ascii="Times New Roman" w:hAnsi="Times New Roman" w:cs="Times New Roman"/>
                <w:color w:val="auto"/>
                <w:sz w:val="18"/>
              </w:rPr>
            </w:pPr>
            <w:r>
              <w:rPr>
                <w:rFonts w:hint="default" w:ascii="Times New Roman" w:hAnsi="Times New Roman" w:cs="Times New Roman"/>
                <w:color w:val="auto"/>
                <w:sz w:val="18"/>
              </w:rPr>
              <w:t>丰水期□；枯水期□；平水期□</w:t>
            </w:r>
          </w:p>
        </w:tc>
      </w:tr>
      <w:tr w14:paraId="10BB36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jc w:val="center"/>
        </w:trPr>
        <w:tc>
          <w:tcPr>
            <w:tcW w:w="559" w:type="pct"/>
            <w:vMerge w:val="continue"/>
            <w:tcBorders>
              <w:tl2br w:val="nil"/>
              <w:tr2bl w:val="nil"/>
            </w:tcBorders>
            <w:noWrap w:val="0"/>
            <w:vAlign w:val="center"/>
          </w:tcPr>
          <w:p w14:paraId="580FD636">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383374A4">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所在区域的生态问题</w:t>
            </w:r>
          </w:p>
        </w:tc>
        <w:tc>
          <w:tcPr>
            <w:tcW w:w="3746" w:type="pct"/>
            <w:tcBorders>
              <w:tl2br w:val="nil"/>
              <w:tr2bl w:val="nil"/>
            </w:tcBorders>
            <w:noWrap w:val="0"/>
            <w:vAlign w:val="center"/>
          </w:tcPr>
          <w:p w14:paraId="1EA420E4">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水土流失□；沙漠化□；石漠化□；盐渍化□；生物入侵□；污染危害□；其他</w:t>
            </w:r>
            <w:r>
              <w:rPr>
                <w:rFonts w:hint="default" w:ascii="Times New Roman" w:hAnsi="Times New Roman" w:cs="Times New Roman"/>
                <w:color w:val="auto"/>
                <w:sz w:val="18"/>
              </w:rPr>
              <w:sym w:font="Wingdings 2" w:char="0052"/>
            </w:r>
          </w:p>
        </w:tc>
      </w:tr>
      <w:tr w14:paraId="21DD51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jc w:val="center"/>
        </w:trPr>
        <w:tc>
          <w:tcPr>
            <w:tcW w:w="559" w:type="pct"/>
            <w:vMerge w:val="continue"/>
            <w:tcBorders>
              <w:tl2br w:val="nil"/>
              <w:tr2bl w:val="nil"/>
            </w:tcBorders>
            <w:noWrap w:val="0"/>
            <w:vAlign w:val="center"/>
          </w:tcPr>
          <w:p w14:paraId="0C149A55">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79BB48F6">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评价内容</w:t>
            </w:r>
          </w:p>
        </w:tc>
        <w:tc>
          <w:tcPr>
            <w:tcW w:w="3746" w:type="pct"/>
            <w:tcBorders>
              <w:tl2br w:val="nil"/>
              <w:tr2bl w:val="nil"/>
            </w:tcBorders>
            <w:noWrap w:val="0"/>
            <w:vAlign w:val="center"/>
          </w:tcPr>
          <w:p w14:paraId="1CB53E41">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植被</w:t>
            </w:r>
            <w:r>
              <w:rPr>
                <w:rFonts w:hint="default" w:ascii="Times New Roman" w:hAnsi="Times New Roman" w:eastAsia="Times New Roman" w:cs="Times New Roman"/>
                <w:color w:val="auto"/>
                <w:sz w:val="18"/>
              </w:rPr>
              <w:t>/</w:t>
            </w:r>
            <w:r>
              <w:rPr>
                <w:rFonts w:hint="default" w:ascii="Times New Roman" w:hAnsi="Times New Roman" w:cs="Times New Roman"/>
                <w:color w:val="auto"/>
                <w:sz w:val="18"/>
              </w:rPr>
              <w:t>植物群落□；土地利用□；生态系统□；生物多样性□；重要物种□；生态敏感区□；其他</w:t>
            </w:r>
            <w:r>
              <w:rPr>
                <w:rFonts w:hint="default" w:ascii="Times New Roman" w:hAnsi="Times New Roman" w:cs="Times New Roman"/>
                <w:color w:val="auto"/>
                <w:sz w:val="18"/>
              </w:rPr>
              <w:sym w:font="Wingdings 2" w:char="0052"/>
            </w:r>
          </w:p>
        </w:tc>
      </w:tr>
      <w:tr w14:paraId="4FF3AC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559" w:type="pct"/>
            <w:vMerge w:val="restart"/>
            <w:tcBorders>
              <w:tl2br w:val="nil"/>
              <w:tr2bl w:val="nil"/>
            </w:tcBorders>
            <w:noWrap w:val="0"/>
            <w:vAlign w:val="center"/>
          </w:tcPr>
          <w:p w14:paraId="35AB39F5">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both"/>
              <w:textAlignment w:val="auto"/>
              <w:rPr>
                <w:rFonts w:hint="default" w:ascii="Times New Roman" w:hAnsi="Times New Roman" w:cs="Times New Roman"/>
                <w:color w:val="auto"/>
                <w:sz w:val="18"/>
              </w:rPr>
            </w:pPr>
            <w:r>
              <w:rPr>
                <w:rFonts w:hint="default" w:ascii="Times New Roman" w:hAnsi="Times New Roman" w:cs="Times New Roman"/>
                <w:color w:val="auto"/>
                <w:spacing w:val="-5"/>
                <w:sz w:val="18"/>
              </w:rPr>
              <w:t>生态影响</w:t>
            </w:r>
            <w:r>
              <w:rPr>
                <w:rFonts w:hint="default" w:ascii="Times New Roman" w:hAnsi="Times New Roman" w:cs="Times New Roman"/>
                <w:color w:val="auto"/>
                <w:sz w:val="18"/>
              </w:rPr>
              <w:t>预测与评价</w:t>
            </w:r>
          </w:p>
        </w:tc>
        <w:tc>
          <w:tcPr>
            <w:tcW w:w="693" w:type="pct"/>
            <w:tcBorders>
              <w:tl2br w:val="nil"/>
              <w:tr2bl w:val="nil"/>
            </w:tcBorders>
            <w:noWrap w:val="0"/>
            <w:vAlign w:val="center"/>
          </w:tcPr>
          <w:p w14:paraId="023BD252">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评价方法</w:t>
            </w:r>
          </w:p>
        </w:tc>
        <w:tc>
          <w:tcPr>
            <w:tcW w:w="3746" w:type="pct"/>
            <w:tcBorders>
              <w:tl2br w:val="nil"/>
              <w:tr2bl w:val="nil"/>
            </w:tcBorders>
            <w:noWrap w:val="0"/>
            <w:vAlign w:val="center"/>
          </w:tcPr>
          <w:p w14:paraId="3DD7995D">
            <w:pPr>
              <w:pStyle w:val="89"/>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定性</w:t>
            </w:r>
            <w:r>
              <w:rPr>
                <w:rFonts w:hint="default" w:ascii="Times New Roman" w:hAnsi="Times New Roman" w:cs="Times New Roman"/>
                <w:color w:val="auto"/>
                <w:sz w:val="18"/>
              </w:rPr>
              <w:sym w:font="Wingdings 2" w:char="0052"/>
            </w:r>
            <w:r>
              <w:rPr>
                <w:rFonts w:hint="default" w:ascii="Times New Roman" w:hAnsi="Times New Roman" w:cs="Times New Roman"/>
                <w:color w:val="auto"/>
                <w:sz w:val="18"/>
              </w:rPr>
              <w:t>；定性和定量□</w:t>
            </w:r>
          </w:p>
        </w:tc>
      </w:tr>
      <w:tr w14:paraId="70D1B9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jc w:val="center"/>
        </w:trPr>
        <w:tc>
          <w:tcPr>
            <w:tcW w:w="559" w:type="pct"/>
            <w:vMerge w:val="continue"/>
            <w:tcBorders>
              <w:tl2br w:val="nil"/>
              <w:tr2bl w:val="nil"/>
            </w:tcBorders>
            <w:noWrap w:val="0"/>
            <w:vAlign w:val="center"/>
          </w:tcPr>
          <w:p w14:paraId="272C8B16">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2E5F764D">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评价内容</w:t>
            </w:r>
          </w:p>
        </w:tc>
        <w:tc>
          <w:tcPr>
            <w:tcW w:w="3746" w:type="pct"/>
            <w:tcBorders>
              <w:tl2br w:val="nil"/>
              <w:tr2bl w:val="nil"/>
            </w:tcBorders>
            <w:noWrap w:val="0"/>
            <w:vAlign w:val="center"/>
          </w:tcPr>
          <w:p w14:paraId="0D812A24">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植被</w:t>
            </w:r>
            <w:r>
              <w:rPr>
                <w:rFonts w:hint="default" w:ascii="Times New Roman" w:hAnsi="Times New Roman" w:eastAsia="Times New Roman" w:cs="Times New Roman"/>
                <w:color w:val="auto"/>
                <w:sz w:val="18"/>
              </w:rPr>
              <w:t>/</w:t>
            </w:r>
            <w:r>
              <w:rPr>
                <w:rFonts w:hint="default" w:ascii="Times New Roman" w:hAnsi="Times New Roman" w:cs="Times New Roman"/>
                <w:color w:val="auto"/>
                <w:sz w:val="18"/>
              </w:rPr>
              <w:t>植物群落□；土地利用□；生态系统□；生物多样性□；重要物种□；生态敏感区□；生物入侵风险□；其他</w:t>
            </w:r>
            <w:r>
              <w:rPr>
                <w:rFonts w:hint="default" w:ascii="Times New Roman" w:hAnsi="Times New Roman" w:cs="Times New Roman"/>
                <w:color w:val="auto"/>
                <w:sz w:val="18"/>
              </w:rPr>
              <w:sym w:font="Wingdings 2" w:char="0052"/>
            </w:r>
          </w:p>
        </w:tc>
      </w:tr>
      <w:tr w14:paraId="4015E9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559" w:type="pct"/>
            <w:vMerge w:val="restart"/>
            <w:tcBorders>
              <w:tl2br w:val="nil"/>
              <w:tr2bl w:val="nil"/>
            </w:tcBorders>
            <w:noWrap w:val="0"/>
            <w:vAlign w:val="center"/>
          </w:tcPr>
          <w:p w14:paraId="30814735">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生态保护对策措施</w:t>
            </w:r>
          </w:p>
        </w:tc>
        <w:tc>
          <w:tcPr>
            <w:tcW w:w="693" w:type="pct"/>
            <w:tcBorders>
              <w:tl2br w:val="nil"/>
              <w:tr2bl w:val="nil"/>
            </w:tcBorders>
            <w:noWrap w:val="0"/>
            <w:vAlign w:val="center"/>
          </w:tcPr>
          <w:p w14:paraId="7F0BC0F2">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对策措施</w:t>
            </w:r>
          </w:p>
        </w:tc>
        <w:tc>
          <w:tcPr>
            <w:tcW w:w="3746" w:type="pct"/>
            <w:tcBorders>
              <w:tl2br w:val="nil"/>
              <w:tr2bl w:val="nil"/>
            </w:tcBorders>
            <w:noWrap w:val="0"/>
            <w:vAlign w:val="center"/>
          </w:tcPr>
          <w:p w14:paraId="6AA8BB7D">
            <w:pPr>
              <w:pStyle w:val="89"/>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避让</w:t>
            </w:r>
            <w:r>
              <w:rPr>
                <w:rFonts w:hint="default" w:ascii="Times New Roman" w:hAnsi="Times New Roman" w:cs="Times New Roman"/>
                <w:color w:val="auto"/>
                <w:sz w:val="18"/>
              </w:rPr>
              <w:sym w:font="Wingdings 2" w:char="00A3"/>
            </w:r>
            <w:r>
              <w:rPr>
                <w:rFonts w:hint="default" w:ascii="Times New Roman" w:hAnsi="Times New Roman" w:cs="Times New Roman"/>
                <w:color w:val="auto"/>
                <w:sz w:val="18"/>
              </w:rPr>
              <w:t>；减缓</w:t>
            </w:r>
            <w:r>
              <w:rPr>
                <w:rFonts w:hint="default" w:ascii="Times New Roman" w:hAnsi="Times New Roman" w:cs="Times New Roman"/>
                <w:color w:val="auto"/>
                <w:sz w:val="18"/>
              </w:rPr>
              <w:sym w:font="Wingdings 2" w:char="0052"/>
            </w:r>
            <w:r>
              <w:rPr>
                <w:rFonts w:hint="default" w:ascii="Times New Roman" w:hAnsi="Times New Roman" w:cs="Times New Roman"/>
                <w:color w:val="auto"/>
                <w:sz w:val="18"/>
              </w:rPr>
              <w:t>；生态修复□；生态补偿□；科研□；其他□</w:t>
            </w:r>
          </w:p>
        </w:tc>
      </w:tr>
      <w:tr w14:paraId="76F122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559" w:type="pct"/>
            <w:vMerge w:val="continue"/>
            <w:tcBorders>
              <w:tl2br w:val="nil"/>
              <w:tr2bl w:val="nil"/>
            </w:tcBorders>
            <w:noWrap w:val="0"/>
            <w:vAlign w:val="center"/>
          </w:tcPr>
          <w:p w14:paraId="01B55127">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581C73B4">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生态监测计划</w:t>
            </w:r>
          </w:p>
        </w:tc>
        <w:tc>
          <w:tcPr>
            <w:tcW w:w="3746" w:type="pct"/>
            <w:tcBorders>
              <w:tl2br w:val="nil"/>
              <w:tr2bl w:val="nil"/>
            </w:tcBorders>
            <w:noWrap w:val="0"/>
            <w:vAlign w:val="center"/>
          </w:tcPr>
          <w:p w14:paraId="4E195381">
            <w:pPr>
              <w:pStyle w:val="89"/>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全生命周期□；长期跟踪□；常规□；无</w:t>
            </w:r>
            <w:r>
              <w:rPr>
                <w:rFonts w:hint="default" w:ascii="Times New Roman" w:hAnsi="Times New Roman" w:cs="Times New Roman"/>
                <w:color w:val="auto"/>
                <w:sz w:val="18"/>
              </w:rPr>
              <w:sym w:font="Wingdings 2" w:char="00A3"/>
            </w:r>
          </w:p>
        </w:tc>
      </w:tr>
      <w:tr w14:paraId="267774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559" w:type="pct"/>
            <w:vMerge w:val="continue"/>
            <w:tcBorders>
              <w:tl2br w:val="nil"/>
              <w:tr2bl w:val="nil"/>
            </w:tcBorders>
            <w:noWrap w:val="0"/>
            <w:vAlign w:val="center"/>
          </w:tcPr>
          <w:p w14:paraId="3EED6E45">
            <w:pPr>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2"/>
                <w:szCs w:val="2"/>
              </w:rPr>
            </w:pPr>
          </w:p>
        </w:tc>
        <w:tc>
          <w:tcPr>
            <w:tcW w:w="693" w:type="pct"/>
            <w:tcBorders>
              <w:tl2br w:val="nil"/>
              <w:tr2bl w:val="nil"/>
            </w:tcBorders>
            <w:noWrap w:val="0"/>
            <w:vAlign w:val="center"/>
          </w:tcPr>
          <w:p w14:paraId="5B6322A0">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环境管理</w:t>
            </w:r>
          </w:p>
        </w:tc>
        <w:tc>
          <w:tcPr>
            <w:tcW w:w="3746" w:type="pct"/>
            <w:tcBorders>
              <w:tl2br w:val="nil"/>
              <w:tr2bl w:val="nil"/>
            </w:tcBorders>
            <w:noWrap w:val="0"/>
            <w:vAlign w:val="center"/>
          </w:tcPr>
          <w:p w14:paraId="268196E2">
            <w:pPr>
              <w:pStyle w:val="89"/>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环境监理□；环境影响后评价□；其他</w:t>
            </w:r>
            <w:r>
              <w:rPr>
                <w:rFonts w:hint="default" w:ascii="Times New Roman" w:hAnsi="Times New Roman" w:cs="Times New Roman"/>
                <w:color w:val="auto"/>
                <w:sz w:val="18"/>
              </w:rPr>
              <w:sym w:font="Wingdings 2" w:char="00A3"/>
            </w:r>
          </w:p>
        </w:tc>
      </w:tr>
      <w:tr w14:paraId="4504EA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jc w:val="center"/>
        </w:trPr>
        <w:tc>
          <w:tcPr>
            <w:tcW w:w="559" w:type="pct"/>
            <w:tcBorders>
              <w:tl2br w:val="nil"/>
              <w:tr2bl w:val="nil"/>
            </w:tcBorders>
            <w:noWrap w:val="0"/>
            <w:vAlign w:val="center"/>
          </w:tcPr>
          <w:p w14:paraId="6B83C879">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textAlignment w:val="auto"/>
              <w:rPr>
                <w:rFonts w:hint="default" w:ascii="Times New Roman" w:hAnsi="Times New Roman" w:cs="Times New Roman"/>
                <w:color w:val="auto"/>
                <w:sz w:val="18"/>
              </w:rPr>
            </w:pPr>
            <w:r>
              <w:rPr>
                <w:rFonts w:hint="default" w:ascii="Times New Roman" w:hAnsi="Times New Roman" w:cs="Times New Roman"/>
                <w:color w:val="auto"/>
                <w:sz w:val="18"/>
              </w:rPr>
              <w:t>评价结论</w:t>
            </w:r>
          </w:p>
        </w:tc>
        <w:tc>
          <w:tcPr>
            <w:tcW w:w="693" w:type="pct"/>
            <w:tcBorders>
              <w:tl2br w:val="nil"/>
              <w:tr2bl w:val="nil"/>
            </w:tcBorders>
            <w:noWrap w:val="0"/>
            <w:vAlign w:val="center"/>
          </w:tcPr>
          <w:p w14:paraId="2EAFFAC0">
            <w:pPr>
              <w:pStyle w:val="89"/>
              <w:keepNext w:val="0"/>
              <w:keepLines w:val="0"/>
              <w:pageBreakBefore w:val="0"/>
              <w:widowControl w:val="0"/>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cs="Times New Roman"/>
                <w:color w:val="auto"/>
                <w:sz w:val="18"/>
              </w:rPr>
            </w:pPr>
            <w:r>
              <w:rPr>
                <w:rFonts w:hint="default" w:ascii="Times New Roman" w:hAnsi="Times New Roman" w:cs="Times New Roman"/>
                <w:color w:val="auto"/>
                <w:sz w:val="18"/>
              </w:rPr>
              <w:t>生态影响</w:t>
            </w:r>
          </w:p>
        </w:tc>
        <w:tc>
          <w:tcPr>
            <w:tcW w:w="3746" w:type="pct"/>
            <w:tcBorders>
              <w:tl2br w:val="nil"/>
              <w:tr2bl w:val="nil"/>
            </w:tcBorders>
            <w:noWrap w:val="0"/>
            <w:vAlign w:val="center"/>
          </w:tcPr>
          <w:p w14:paraId="2D68D1C2">
            <w:pPr>
              <w:pStyle w:val="89"/>
              <w:keepNext w:val="0"/>
              <w:keepLines w:val="0"/>
              <w:pageBreakBefore w:val="0"/>
              <w:widowControl w:val="0"/>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可行</w:t>
            </w:r>
            <w:r>
              <w:rPr>
                <w:rFonts w:hint="default" w:ascii="Times New Roman" w:hAnsi="Times New Roman" w:cs="Times New Roman"/>
                <w:color w:val="auto"/>
                <w:sz w:val="18"/>
              </w:rPr>
              <w:sym w:font="Wingdings 2" w:char="0052"/>
            </w:r>
            <w:r>
              <w:rPr>
                <w:rFonts w:hint="default" w:ascii="Times New Roman" w:hAnsi="Times New Roman" w:cs="Times New Roman"/>
                <w:color w:val="auto"/>
                <w:sz w:val="18"/>
              </w:rPr>
              <w:t>；不可行□</w:t>
            </w:r>
          </w:p>
        </w:tc>
      </w:tr>
      <w:tr w14:paraId="5C9B97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3" w:hRule="atLeast"/>
          <w:jc w:val="center"/>
        </w:trPr>
        <w:tc>
          <w:tcPr>
            <w:tcW w:w="5000" w:type="pct"/>
            <w:gridSpan w:val="3"/>
            <w:tcBorders>
              <w:tl2br w:val="nil"/>
              <w:tr2bl w:val="nil"/>
            </w:tcBorders>
            <w:noWrap w:val="0"/>
            <w:vAlign w:val="center"/>
          </w:tcPr>
          <w:p w14:paraId="4E8784A8">
            <w:pPr>
              <w:pStyle w:val="89"/>
              <w:keepNext w:val="0"/>
              <w:keepLines w:val="0"/>
              <w:pageBreakBefore w:val="0"/>
              <w:widowControl w:val="0"/>
              <w:tabs>
                <w:tab w:val="left" w:pos="3259"/>
              </w:tabs>
              <w:kinsoku/>
              <w:wordWrap/>
              <w:overflowPunct/>
              <w:topLinePunct w:val="0"/>
              <w:autoSpaceDE/>
              <w:autoSpaceDN/>
              <w:bidi w:val="0"/>
              <w:adjustRightInd/>
              <w:snapToGrid/>
              <w:spacing w:line="240" w:lineRule="auto"/>
              <w:ind w:left="0" w:right="0"/>
              <w:textAlignment w:val="auto"/>
              <w:rPr>
                <w:rFonts w:hint="default" w:ascii="Times New Roman" w:hAnsi="Times New Roman" w:cs="Times New Roman"/>
                <w:color w:val="auto"/>
                <w:sz w:val="18"/>
              </w:rPr>
            </w:pPr>
            <w:r>
              <w:rPr>
                <w:rFonts w:hint="default" w:ascii="Times New Roman" w:hAnsi="Times New Roman" w:cs="Times New Roman"/>
                <w:color w:val="auto"/>
                <w:sz w:val="18"/>
              </w:rPr>
              <w:t>注：</w:t>
            </w:r>
            <w:r>
              <w:rPr>
                <w:rFonts w:hint="default" w:ascii="Times New Roman" w:hAnsi="Times New Roman" w:cs="Times New Roman"/>
                <w:color w:val="auto"/>
                <w:spacing w:val="1"/>
                <w:sz w:val="18"/>
              </w:rPr>
              <w:t xml:space="preserve"> </w:t>
            </w:r>
            <w:r>
              <w:rPr>
                <w:rFonts w:hint="default" w:ascii="Times New Roman" w:hAnsi="Times New Roman" w:cs="Times New Roman"/>
                <w:color w:val="auto"/>
                <w:sz w:val="18"/>
              </w:rPr>
              <w:t>“□”</w:t>
            </w:r>
            <w:r>
              <w:rPr>
                <w:rFonts w:hint="default" w:ascii="Times New Roman" w:hAnsi="Times New Roman" w:cs="Times New Roman"/>
                <w:color w:val="auto"/>
                <w:spacing w:val="1"/>
                <w:sz w:val="18"/>
              </w:rPr>
              <w:t xml:space="preserve"> </w:t>
            </w:r>
            <w:r>
              <w:rPr>
                <w:rFonts w:hint="default" w:ascii="Times New Roman" w:hAnsi="Times New Roman" w:cs="Times New Roman"/>
                <w:color w:val="auto"/>
                <w:sz w:val="18"/>
              </w:rPr>
              <w:t>为勾选项</w:t>
            </w:r>
            <w:r>
              <w:rPr>
                <w:rFonts w:hint="default" w:ascii="Times New Roman" w:hAnsi="Times New Roman" w:cs="Times New Roman"/>
                <w:color w:val="auto"/>
                <w:spacing w:val="1"/>
                <w:sz w:val="18"/>
              </w:rPr>
              <w:t xml:space="preserve"> </w:t>
            </w:r>
            <w:r>
              <w:rPr>
                <w:rFonts w:hint="default" w:ascii="Times New Roman" w:hAnsi="Times New Roman" w:cs="Times New Roman"/>
                <w:color w:val="auto"/>
                <w:sz w:val="18"/>
              </w:rPr>
              <w:t>，可√</w:t>
            </w:r>
            <w:r>
              <w:rPr>
                <w:rFonts w:hint="default" w:ascii="Times New Roman" w:hAnsi="Times New Roman" w:cs="Times New Roman"/>
                <w:color w:val="auto"/>
                <w:spacing w:val="-1"/>
                <w:sz w:val="18"/>
              </w:rPr>
              <w:t xml:space="preserve"> </w:t>
            </w:r>
            <w:r>
              <w:rPr>
                <w:rFonts w:hint="default" w:ascii="Times New Roman" w:hAnsi="Times New Roman" w:cs="Times New Roman"/>
                <w:color w:val="auto"/>
                <w:spacing w:val="-92"/>
                <w:sz w:val="18"/>
              </w:rPr>
              <w:t>；“</w:t>
            </w:r>
            <w:r>
              <w:rPr>
                <w:rFonts w:hint="default" w:ascii="Times New Roman" w:hAnsi="Times New Roman" w:cs="Times New Roman"/>
                <w:color w:val="auto"/>
                <w:sz w:val="18"/>
              </w:rPr>
              <w:t>（</w:t>
            </w:r>
            <w:r>
              <w:rPr>
                <w:rFonts w:hint="default" w:ascii="Times New Roman" w:hAnsi="Times New Roman" w:cs="Times New Roman"/>
                <w:color w:val="auto"/>
                <w:sz w:val="18"/>
              </w:rPr>
              <w:tab/>
            </w:r>
            <w:r>
              <w:rPr>
                <w:rFonts w:hint="default" w:ascii="Times New Roman" w:hAnsi="Times New Roman" w:cs="Times New Roman"/>
                <w:color w:val="auto"/>
                <w:spacing w:val="-92"/>
                <w:sz w:val="18"/>
              </w:rPr>
              <w:t>）</w:t>
            </w:r>
            <w:r>
              <w:rPr>
                <w:rFonts w:hint="default" w:ascii="Times New Roman" w:hAnsi="Times New Roman" w:cs="Times New Roman"/>
                <w:color w:val="auto"/>
                <w:sz w:val="18"/>
              </w:rPr>
              <w:t>”</w:t>
            </w:r>
            <w:r>
              <w:rPr>
                <w:rFonts w:hint="default" w:ascii="Times New Roman" w:hAnsi="Times New Roman" w:cs="Times New Roman"/>
                <w:color w:val="auto"/>
                <w:spacing w:val="1"/>
                <w:sz w:val="18"/>
              </w:rPr>
              <w:t xml:space="preserve"> </w:t>
            </w:r>
            <w:r>
              <w:rPr>
                <w:rFonts w:hint="default" w:ascii="Times New Roman" w:hAnsi="Times New Roman" w:cs="Times New Roman"/>
                <w:color w:val="auto"/>
                <w:sz w:val="18"/>
              </w:rPr>
              <w:t>为内容填写项。</w:t>
            </w:r>
          </w:p>
        </w:tc>
      </w:tr>
    </w:tbl>
    <w:p w14:paraId="52B470EB">
      <w:pPr>
        <w:jc w:val="center"/>
        <w:rPr>
          <w:rFonts w:ascii="Times New Roman" w:hAnsi="Times New Roman" w:eastAsia="宋体" w:cs="Times New Roman"/>
          <w:b/>
          <w:color w:val="auto"/>
          <w:sz w:val="21"/>
          <w:szCs w:val="21"/>
        </w:rPr>
      </w:pPr>
    </w:p>
    <w:p w14:paraId="3F503C9B">
      <w:pPr>
        <w:pStyle w:val="2"/>
        <w:rPr>
          <w:color w:val="auto"/>
        </w:rPr>
      </w:pPr>
    </w:p>
    <w:p w14:paraId="6B84F522">
      <w:pPr>
        <w:keepNext w:val="0"/>
        <w:keepLines w:val="0"/>
        <w:pageBreakBefore w:val="0"/>
        <w:widowControl w:val="0"/>
        <w:kinsoku/>
        <w:wordWrap/>
        <w:overflowPunct/>
        <w:topLinePunct w:val="0"/>
        <w:autoSpaceDE/>
        <w:autoSpaceDN/>
        <w:bidi w:val="0"/>
        <w:adjustRightInd/>
        <w:snapToGrid/>
        <w:spacing w:before="60" w:beforeLines="25" w:after="60" w:afterLines="25" w:line="240" w:lineRule="auto"/>
        <w:ind w:firstLine="0" w:firstLineChars="0"/>
        <w:jc w:val="center"/>
        <w:textAlignment w:val="auto"/>
        <w:outlineLvl w:val="1"/>
        <w:rPr>
          <w:rFonts w:hint="default" w:ascii="Times New Roman" w:hAnsi="Times New Roman" w:eastAsia="宋体" w:cs="Times New Roman"/>
          <w:b/>
          <w:color w:val="auto"/>
          <w:sz w:val="24"/>
          <w:szCs w:val="24"/>
          <w:lang w:val="en-US" w:eastAsia="zh-CN"/>
        </w:rPr>
      </w:pPr>
      <w:bookmarkStart w:id="723" w:name="_Toc5569"/>
      <w:r>
        <w:rPr>
          <w:rFonts w:hint="default" w:ascii="Times New Roman" w:hAnsi="Times New Roman" w:eastAsia="宋体" w:cs="Times New Roman"/>
          <w:b/>
          <w:color w:val="auto"/>
          <w:sz w:val="24"/>
          <w:szCs w:val="24"/>
          <w:lang w:val="en-US" w:eastAsia="zh-CN"/>
        </w:rPr>
        <w:t>附表</w:t>
      </w:r>
      <w:r>
        <w:rPr>
          <w:rFonts w:hint="eastAsia" w:ascii="Times New Roman" w:hAnsi="Times New Roman" w:eastAsia="宋体" w:cs="Times New Roman"/>
          <w:b/>
          <w:color w:val="auto"/>
          <w:sz w:val="24"/>
          <w:szCs w:val="24"/>
          <w:lang w:val="en-US" w:eastAsia="zh-CN"/>
        </w:rPr>
        <w:t>5</w:t>
      </w:r>
      <w:r>
        <w:rPr>
          <w:rFonts w:hint="default" w:ascii="Times New Roman" w:hAnsi="Times New Roman" w:eastAsia="宋体" w:cs="Times New Roman"/>
          <w:b/>
          <w:color w:val="auto"/>
          <w:sz w:val="24"/>
          <w:szCs w:val="24"/>
          <w:lang w:val="en-US" w:eastAsia="zh-CN"/>
        </w:rPr>
        <w:t xml:space="preserve"> </w:t>
      </w:r>
      <w:r>
        <w:rPr>
          <w:rFonts w:hint="eastAsia" w:ascii="Times New Roman" w:hAnsi="Times New Roman" w:eastAsia="宋体" w:cs="Times New Roman"/>
          <w:b/>
          <w:color w:val="auto"/>
          <w:sz w:val="24"/>
          <w:szCs w:val="24"/>
          <w:lang w:val="en-US" w:eastAsia="zh-CN"/>
        </w:rPr>
        <w:t xml:space="preserve"> </w:t>
      </w:r>
      <w:r>
        <w:rPr>
          <w:rFonts w:hint="default" w:ascii="Times New Roman" w:hAnsi="Times New Roman" w:eastAsia="宋体" w:cs="Times New Roman"/>
          <w:b/>
          <w:color w:val="auto"/>
          <w:sz w:val="24"/>
          <w:szCs w:val="24"/>
          <w:lang w:val="en-US" w:eastAsia="zh-CN"/>
        </w:rPr>
        <w:t>环境风险自查表</w:t>
      </w:r>
      <w:bookmarkEnd w:id="723"/>
    </w:p>
    <w:tbl>
      <w:tblPr>
        <w:tblStyle w:val="40"/>
        <w:tblW w:w="503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1316"/>
        <w:gridCol w:w="962"/>
        <w:gridCol w:w="297"/>
        <w:gridCol w:w="317"/>
        <w:gridCol w:w="434"/>
        <w:gridCol w:w="84"/>
        <w:gridCol w:w="407"/>
        <w:gridCol w:w="221"/>
        <w:gridCol w:w="425"/>
        <w:gridCol w:w="46"/>
        <w:gridCol w:w="415"/>
        <w:gridCol w:w="148"/>
        <w:gridCol w:w="424"/>
        <w:gridCol w:w="81"/>
        <w:gridCol w:w="230"/>
        <w:gridCol w:w="220"/>
        <w:gridCol w:w="218"/>
        <w:gridCol w:w="22"/>
        <w:gridCol w:w="58"/>
        <w:gridCol w:w="575"/>
        <w:gridCol w:w="740"/>
      </w:tblGrid>
      <w:tr w14:paraId="0ABEC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8" w:hRule="atLeast"/>
          <w:jc w:val="center"/>
        </w:trPr>
        <w:tc>
          <w:tcPr>
            <w:tcW w:w="1314" w:type="pct"/>
            <w:gridSpan w:val="2"/>
            <w:noWrap w:val="0"/>
            <w:vAlign w:val="center"/>
          </w:tcPr>
          <w:p w14:paraId="45EA8FA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工作内容</w:t>
            </w:r>
          </w:p>
        </w:tc>
        <w:tc>
          <w:tcPr>
            <w:tcW w:w="3685" w:type="pct"/>
            <w:gridSpan w:val="20"/>
            <w:noWrap w:val="0"/>
            <w:vAlign w:val="center"/>
          </w:tcPr>
          <w:p w14:paraId="67A7AE7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完成情况</w:t>
            </w:r>
          </w:p>
        </w:tc>
      </w:tr>
      <w:tr w14:paraId="6140D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restart"/>
            <w:noWrap w:val="0"/>
            <w:vAlign w:val="center"/>
          </w:tcPr>
          <w:p w14:paraId="35D099A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风险调查</w:t>
            </w:r>
          </w:p>
        </w:tc>
        <w:tc>
          <w:tcPr>
            <w:tcW w:w="766" w:type="pct"/>
            <w:vMerge w:val="restart"/>
            <w:noWrap w:val="0"/>
            <w:vAlign w:val="center"/>
          </w:tcPr>
          <w:p w14:paraId="1851CA66">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危险物质</w:t>
            </w:r>
          </w:p>
        </w:tc>
        <w:tc>
          <w:tcPr>
            <w:tcW w:w="561" w:type="pct"/>
            <w:noWrap w:val="0"/>
            <w:vAlign w:val="center"/>
          </w:tcPr>
          <w:p w14:paraId="50CA8E4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名称</w:t>
            </w:r>
          </w:p>
        </w:tc>
        <w:tc>
          <w:tcPr>
            <w:tcW w:w="611" w:type="pct"/>
            <w:gridSpan w:val="3"/>
            <w:noWrap w:val="0"/>
            <w:vAlign w:val="center"/>
          </w:tcPr>
          <w:p w14:paraId="0FCAABE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lang w:eastAsia="zh-CN"/>
              </w:rPr>
            </w:pPr>
            <w:r>
              <w:rPr>
                <w:rFonts w:hint="default" w:ascii="Times New Roman" w:hAnsi="Times New Roman" w:eastAsia="宋体" w:cs="Times New Roman"/>
                <w:color w:val="auto"/>
                <w:kern w:val="2"/>
                <w:sz w:val="18"/>
                <w:szCs w:val="21"/>
                <w:lang w:eastAsia="zh-CN"/>
              </w:rPr>
              <w:t>轻柴油</w:t>
            </w:r>
          </w:p>
        </w:tc>
        <w:tc>
          <w:tcPr>
            <w:tcW w:w="690" w:type="pct"/>
            <w:gridSpan w:val="5"/>
            <w:noWrap w:val="0"/>
            <w:vAlign w:val="center"/>
          </w:tcPr>
          <w:p w14:paraId="62F5EE58">
            <w:pPr>
              <w:topLinePunct w:val="0"/>
              <w:adjustRightInd/>
              <w:spacing w:before="31" w:beforeLines="10" w:after="31" w:afterLines="10" w:line="0" w:lineRule="atLeast"/>
              <w:ind w:left="0" w:leftChars="0" w:firstLine="0" w:firstLineChars="0"/>
              <w:jc w:val="center"/>
              <w:rPr>
                <w:rFonts w:hint="eastAsia" w:ascii="Times New Roman" w:hAnsi="Times New Roman" w:eastAsia="宋体" w:cs="Times New Roman"/>
                <w:color w:val="auto"/>
                <w:kern w:val="2"/>
                <w:sz w:val="18"/>
                <w:szCs w:val="21"/>
                <w:lang w:val="en-US" w:eastAsia="zh-CN"/>
              </w:rPr>
            </w:pPr>
            <w:r>
              <w:rPr>
                <w:rFonts w:hint="eastAsia" w:ascii="Times New Roman" w:hAnsi="Times New Roman" w:eastAsia="宋体" w:cs="Times New Roman"/>
                <w:color w:val="auto"/>
                <w:kern w:val="2"/>
                <w:sz w:val="18"/>
                <w:szCs w:val="21"/>
                <w:lang w:val="en-US" w:eastAsia="zh-CN"/>
              </w:rPr>
              <w:t>废矿物油</w:t>
            </w:r>
          </w:p>
        </w:tc>
        <w:tc>
          <w:tcPr>
            <w:tcW w:w="241" w:type="pct"/>
            <w:noWrap w:val="0"/>
            <w:vAlign w:val="center"/>
          </w:tcPr>
          <w:p w14:paraId="62C2920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380" w:type="pct"/>
            <w:gridSpan w:val="3"/>
            <w:noWrap w:val="0"/>
            <w:vAlign w:val="center"/>
          </w:tcPr>
          <w:p w14:paraId="724FB03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388" w:type="pct"/>
            <w:gridSpan w:val="3"/>
            <w:noWrap w:val="0"/>
            <w:vAlign w:val="center"/>
          </w:tcPr>
          <w:p w14:paraId="58D210B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382" w:type="pct"/>
            <w:gridSpan w:val="3"/>
            <w:noWrap w:val="0"/>
            <w:vAlign w:val="center"/>
          </w:tcPr>
          <w:p w14:paraId="5961C77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428" w:type="pct"/>
            <w:noWrap w:val="0"/>
            <w:vAlign w:val="center"/>
          </w:tcPr>
          <w:p w14:paraId="449A443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r>
      <w:tr w14:paraId="5532B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547" w:type="pct"/>
            <w:vMerge w:val="continue"/>
            <w:noWrap w:val="0"/>
            <w:vAlign w:val="center"/>
          </w:tcPr>
          <w:p w14:paraId="0EC3F14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2A5D427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noWrap w:val="0"/>
            <w:vAlign w:val="center"/>
          </w:tcPr>
          <w:p w14:paraId="40F92D2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存在总量/t</w:t>
            </w:r>
          </w:p>
        </w:tc>
        <w:tc>
          <w:tcPr>
            <w:tcW w:w="611" w:type="pct"/>
            <w:gridSpan w:val="3"/>
            <w:noWrap w:val="0"/>
            <w:vAlign w:val="center"/>
          </w:tcPr>
          <w:p w14:paraId="510F6F2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lang w:val="en-US" w:eastAsia="zh-CN"/>
              </w:rPr>
            </w:pPr>
            <w:r>
              <w:rPr>
                <w:rFonts w:hint="eastAsia" w:ascii="Times New Roman" w:hAnsi="Times New Roman" w:eastAsia="宋体" w:cs="Times New Roman"/>
                <w:color w:val="auto"/>
                <w:kern w:val="2"/>
                <w:sz w:val="18"/>
                <w:szCs w:val="21"/>
                <w:lang w:val="en-US" w:eastAsia="zh-CN"/>
              </w:rPr>
              <w:t>1</w:t>
            </w:r>
          </w:p>
        </w:tc>
        <w:tc>
          <w:tcPr>
            <w:tcW w:w="690" w:type="pct"/>
            <w:gridSpan w:val="5"/>
            <w:noWrap w:val="0"/>
            <w:vAlign w:val="center"/>
          </w:tcPr>
          <w:p w14:paraId="25FFBCF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lang w:val="en-US" w:eastAsia="zh-CN"/>
              </w:rPr>
            </w:pPr>
            <w:r>
              <w:rPr>
                <w:rFonts w:hint="eastAsia" w:ascii="Times New Roman" w:hAnsi="Times New Roman" w:eastAsia="宋体" w:cs="Times New Roman"/>
                <w:color w:val="auto"/>
                <w:kern w:val="2"/>
                <w:sz w:val="18"/>
                <w:szCs w:val="21"/>
                <w:lang w:val="en-US" w:eastAsia="zh-CN"/>
              </w:rPr>
              <w:t>0.2</w:t>
            </w:r>
          </w:p>
        </w:tc>
        <w:tc>
          <w:tcPr>
            <w:tcW w:w="241" w:type="pct"/>
            <w:noWrap w:val="0"/>
            <w:vAlign w:val="center"/>
          </w:tcPr>
          <w:p w14:paraId="1CD4087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380" w:type="pct"/>
            <w:gridSpan w:val="3"/>
            <w:noWrap w:val="0"/>
            <w:vAlign w:val="center"/>
          </w:tcPr>
          <w:p w14:paraId="4FAD01D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388" w:type="pct"/>
            <w:gridSpan w:val="3"/>
            <w:noWrap w:val="0"/>
            <w:vAlign w:val="center"/>
          </w:tcPr>
          <w:p w14:paraId="55F2627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382" w:type="pct"/>
            <w:gridSpan w:val="3"/>
            <w:noWrap w:val="0"/>
            <w:vAlign w:val="center"/>
          </w:tcPr>
          <w:p w14:paraId="1030513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428" w:type="pct"/>
            <w:noWrap w:val="0"/>
            <w:vAlign w:val="center"/>
          </w:tcPr>
          <w:p w14:paraId="5EA0248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r>
      <w:tr w14:paraId="75C8E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continue"/>
            <w:noWrap w:val="0"/>
            <w:vAlign w:val="center"/>
          </w:tcPr>
          <w:p w14:paraId="4FE9C1D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restart"/>
            <w:noWrap w:val="0"/>
            <w:vAlign w:val="center"/>
          </w:tcPr>
          <w:p w14:paraId="29AEF95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环境敏感性</w:t>
            </w:r>
          </w:p>
        </w:tc>
        <w:tc>
          <w:tcPr>
            <w:tcW w:w="561" w:type="pct"/>
            <w:vMerge w:val="restart"/>
            <w:noWrap w:val="0"/>
            <w:vAlign w:val="center"/>
          </w:tcPr>
          <w:p w14:paraId="7C02993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大气</w:t>
            </w:r>
          </w:p>
        </w:tc>
        <w:tc>
          <w:tcPr>
            <w:tcW w:w="1543" w:type="pct"/>
            <w:gridSpan w:val="9"/>
            <w:noWrap w:val="0"/>
            <w:vAlign w:val="center"/>
          </w:tcPr>
          <w:p w14:paraId="32EC61A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500m范围内人口数</w:t>
            </w:r>
            <w:r>
              <w:rPr>
                <w:rFonts w:hint="eastAsia" w:ascii="Times New Roman" w:hAnsi="Times New Roman" w:eastAsia="宋体" w:cs="Times New Roman"/>
                <w:color w:val="auto"/>
                <w:kern w:val="2"/>
                <w:sz w:val="18"/>
                <w:szCs w:val="21"/>
                <w:lang w:val="en-US" w:eastAsia="zh-CN"/>
              </w:rPr>
              <w:t>3000</w:t>
            </w:r>
            <w:r>
              <w:rPr>
                <w:rFonts w:hint="default" w:ascii="Times New Roman" w:hAnsi="Times New Roman" w:eastAsia="宋体" w:cs="Times New Roman"/>
                <w:color w:val="auto"/>
                <w:kern w:val="2"/>
                <w:sz w:val="18"/>
                <w:szCs w:val="21"/>
              </w:rPr>
              <w:t>人</w:t>
            </w:r>
          </w:p>
        </w:tc>
        <w:tc>
          <w:tcPr>
            <w:tcW w:w="1580" w:type="pct"/>
            <w:gridSpan w:val="10"/>
            <w:noWrap w:val="0"/>
            <w:vAlign w:val="center"/>
          </w:tcPr>
          <w:p w14:paraId="77CF59FF">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5km范围内人口数</w:t>
            </w:r>
            <w:r>
              <w:rPr>
                <w:rFonts w:hint="eastAsia" w:ascii="Times New Roman" w:hAnsi="Times New Roman" w:eastAsia="宋体" w:cs="Times New Roman"/>
                <w:color w:val="auto"/>
                <w:kern w:val="2"/>
                <w:sz w:val="18"/>
                <w:szCs w:val="21"/>
                <w:lang w:val="en-US" w:eastAsia="zh-CN"/>
              </w:rPr>
              <w:t>4.7万</w:t>
            </w:r>
            <w:r>
              <w:rPr>
                <w:rFonts w:hint="default" w:ascii="Times New Roman" w:hAnsi="Times New Roman" w:eastAsia="宋体" w:cs="Times New Roman"/>
                <w:color w:val="auto"/>
                <w:kern w:val="2"/>
                <w:sz w:val="18"/>
                <w:szCs w:val="21"/>
              </w:rPr>
              <w:t>人</w:t>
            </w:r>
          </w:p>
        </w:tc>
      </w:tr>
      <w:tr w14:paraId="2E9E0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continue"/>
            <w:noWrap w:val="0"/>
            <w:vAlign w:val="center"/>
          </w:tcPr>
          <w:p w14:paraId="1BF2A1D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2628928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vMerge w:val="continue"/>
            <w:noWrap w:val="0"/>
            <w:vAlign w:val="center"/>
          </w:tcPr>
          <w:p w14:paraId="7221135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2325" w:type="pct"/>
            <w:gridSpan w:val="16"/>
            <w:noWrap w:val="0"/>
            <w:vAlign w:val="center"/>
          </w:tcPr>
          <w:p w14:paraId="67088E9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每公里管段周边200m范围内人口数（最大）</w:t>
            </w:r>
          </w:p>
        </w:tc>
        <w:tc>
          <w:tcPr>
            <w:tcW w:w="798" w:type="pct"/>
            <w:gridSpan w:val="3"/>
            <w:noWrap w:val="0"/>
            <w:vAlign w:val="center"/>
          </w:tcPr>
          <w:p w14:paraId="1D3B932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   </w:t>
            </w:r>
            <w:r>
              <w:rPr>
                <w:rFonts w:hint="default" w:ascii="Times New Roman" w:hAnsi="Times New Roman" w:eastAsia="宋体" w:cs="Times New Roman"/>
                <w:color w:val="auto"/>
                <w:kern w:val="2"/>
                <w:sz w:val="18"/>
                <w:szCs w:val="21"/>
                <w:lang w:val="en-US" w:eastAsia="zh-CN"/>
              </w:rPr>
              <w:t>/</w:t>
            </w:r>
            <w:r>
              <w:rPr>
                <w:rFonts w:hint="default" w:ascii="Times New Roman" w:hAnsi="Times New Roman" w:eastAsia="宋体" w:cs="Times New Roman"/>
                <w:color w:val="auto"/>
                <w:kern w:val="2"/>
                <w:sz w:val="18"/>
                <w:szCs w:val="21"/>
              </w:rPr>
              <w:t xml:space="preserve">   人</w:t>
            </w:r>
          </w:p>
        </w:tc>
      </w:tr>
      <w:tr w14:paraId="4A8DC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continue"/>
            <w:noWrap w:val="0"/>
            <w:vAlign w:val="center"/>
          </w:tcPr>
          <w:p w14:paraId="701C1CE6">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5597A62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vMerge w:val="restart"/>
            <w:noWrap w:val="0"/>
            <w:vAlign w:val="center"/>
          </w:tcPr>
          <w:p w14:paraId="4A9421E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地表水</w:t>
            </w:r>
          </w:p>
        </w:tc>
        <w:tc>
          <w:tcPr>
            <w:tcW w:w="1026" w:type="pct"/>
            <w:gridSpan w:val="6"/>
            <w:noWrap w:val="0"/>
            <w:vAlign w:val="center"/>
          </w:tcPr>
          <w:p w14:paraId="6260E8D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地表水功能敏感性</w:t>
            </w:r>
          </w:p>
        </w:tc>
        <w:tc>
          <w:tcPr>
            <w:tcW w:w="516" w:type="pct"/>
            <w:gridSpan w:val="3"/>
            <w:noWrap w:val="0"/>
            <w:vAlign w:val="center"/>
          </w:tcPr>
          <w:p w14:paraId="3B8FC59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F1 □</w:t>
            </w:r>
          </w:p>
        </w:tc>
        <w:tc>
          <w:tcPr>
            <w:tcW w:w="769" w:type="pct"/>
            <w:gridSpan w:val="6"/>
            <w:noWrap w:val="0"/>
            <w:vAlign w:val="center"/>
          </w:tcPr>
          <w:p w14:paraId="5D536CF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F2 □</w:t>
            </w:r>
          </w:p>
        </w:tc>
        <w:tc>
          <w:tcPr>
            <w:tcW w:w="811" w:type="pct"/>
            <w:gridSpan w:val="4"/>
            <w:noWrap w:val="0"/>
            <w:vAlign w:val="center"/>
          </w:tcPr>
          <w:p w14:paraId="7388BE9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F3 </w:t>
            </w:r>
            <w:r>
              <w:rPr>
                <w:rFonts w:hint="default" w:ascii="Times New Roman" w:hAnsi="Times New Roman" w:eastAsia="宋体" w:cs="Times New Roman"/>
                <w:color w:val="auto"/>
                <w:kern w:val="2"/>
                <w:sz w:val="18"/>
                <w:szCs w:val="21"/>
              </w:rPr>
              <w:sym w:font="Wingdings 2" w:char="00A3"/>
            </w:r>
          </w:p>
        </w:tc>
      </w:tr>
      <w:tr w14:paraId="6953B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continue"/>
            <w:noWrap w:val="0"/>
            <w:vAlign w:val="center"/>
          </w:tcPr>
          <w:p w14:paraId="48033C2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372A718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vMerge w:val="continue"/>
            <w:noWrap w:val="0"/>
            <w:vAlign w:val="center"/>
          </w:tcPr>
          <w:p w14:paraId="75A3739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026" w:type="pct"/>
            <w:gridSpan w:val="6"/>
            <w:noWrap w:val="0"/>
            <w:vAlign w:val="center"/>
          </w:tcPr>
          <w:p w14:paraId="0E40A53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环境敏感目标分级</w:t>
            </w:r>
          </w:p>
        </w:tc>
        <w:tc>
          <w:tcPr>
            <w:tcW w:w="516" w:type="pct"/>
            <w:gridSpan w:val="3"/>
            <w:noWrap w:val="0"/>
            <w:vAlign w:val="center"/>
          </w:tcPr>
          <w:p w14:paraId="5FEF354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S1 □</w:t>
            </w:r>
          </w:p>
        </w:tc>
        <w:tc>
          <w:tcPr>
            <w:tcW w:w="769" w:type="pct"/>
            <w:gridSpan w:val="6"/>
            <w:noWrap w:val="0"/>
            <w:vAlign w:val="center"/>
          </w:tcPr>
          <w:p w14:paraId="539E4CF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S2 □</w:t>
            </w:r>
          </w:p>
        </w:tc>
        <w:tc>
          <w:tcPr>
            <w:tcW w:w="811" w:type="pct"/>
            <w:gridSpan w:val="4"/>
            <w:noWrap w:val="0"/>
            <w:vAlign w:val="center"/>
          </w:tcPr>
          <w:p w14:paraId="4E21FE3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S3 </w:t>
            </w:r>
            <w:r>
              <w:rPr>
                <w:rFonts w:hint="default" w:ascii="Times New Roman" w:hAnsi="Times New Roman" w:eastAsia="宋体" w:cs="Times New Roman"/>
                <w:color w:val="auto"/>
                <w:kern w:val="2"/>
                <w:sz w:val="18"/>
                <w:szCs w:val="21"/>
              </w:rPr>
              <w:sym w:font="Wingdings 2" w:char="00A3"/>
            </w:r>
          </w:p>
        </w:tc>
      </w:tr>
      <w:tr w14:paraId="64103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continue"/>
            <w:noWrap w:val="0"/>
            <w:vAlign w:val="center"/>
          </w:tcPr>
          <w:p w14:paraId="46FDEDD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6AC5DE4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vMerge w:val="restart"/>
            <w:noWrap w:val="0"/>
            <w:vAlign w:val="center"/>
          </w:tcPr>
          <w:p w14:paraId="0750F78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地下水</w:t>
            </w:r>
          </w:p>
        </w:tc>
        <w:tc>
          <w:tcPr>
            <w:tcW w:w="1026" w:type="pct"/>
            <w:gridSpan w:val="6"/>
            <w:noWrap w:val="0"/>
            <w:vAlign w:val="center"/>
          </w:tcPr>
          <w:p w14:paraId="68F606CF">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地下水功能敏感性</w:t>
            </w:r>
          </w:p>
        </w:tc>
        <w:tc>
          <w:tcPr>
            <w:tcW w:w="516" w:type="pct"/>
            <w:gridSpan w:val="3"/>
            <w:noWrap w:val="0"/>
            <w:vAlign w:val="center"/>
          </w:tcPr>
          <w:p w14:paraId="5825046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G1 □</w:t>
            </w:r>
          </w:p>
        </w:tc>
        <w:tc>
          <w:tcPr>
            <w:tcW w:w="769" w:type="pct"/>
            <w:gridSpan w:val="6"/>
            <w:noWrap w:val="0"/>
            <w:vAlign w:val="center"/>
          </w:tcPr>
          <w:p w14:paraId="14C753E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G2 </w:t>
            </w:r>
            <w:r>
              <w:rPr>
                <w:rFonts w:hint="default" w:ascii="Times New Roman" w:hAnsi="Times New Roman" w:eastAsia="宋体" w:cs="Times New Roman"/>
                <w:color w:val="auto"/>
                <w:kern w:val="2"/>
                <w:sz w:val="18"/>
                <w:szCs w:val="21"/>
              </w:rPr>
              <w:sym w:font="Wingdings 2" w:char="0052"/>
            </w:r>
          </w:p>
        </w:tc>
        <w:tc>
          <w:tcPr>
            <w:tcW w:w="811" w:type="pct"/>
            <w:gridSpan w:val="4"/>
            <w:noWrap w:val="0"/>
            <w:vAlign w:val="center"/>
          </w:tcPr>
          <w:p w14:paraId="3B32982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G3 </w:t>
            </w:r>
            <w:r>
              <w:rPr>
                <w:rFonts w:hint="default" w:ascii="Times New Roman" w:hAnsi="Times New Roman" w:eastAsia="宋体" w:cs="Times New Roman"/>
                <w:color w:val="auto"/>
                <w:kern w:val="2"/>
                <w:sz w:val="18"/>
                <w:szCs w:val="21"/>
              </w:rPr>
              <w:sym w:font="Wingdings 2" w:char="00A3"/>
            </w:r>
          </w:p>
        </w:tc>
      </w:tr>
      <w:tr w14:paraId="3FCB0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continue"/>
            <w:noWrap w:val="0"/>
            <w:vAlign w:val="center"/>
          </w:tcPr>
          <w:p w14:paraId="436B1AE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6E02EAC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vMerge w:val="continue"/>
            <w:noWrap w:val="0"/>
            <w:vAlign w:val="center"/>
          </w:tcPr>
          <w:p w14:paraId="3B84AD6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1026" w:type="pct"/>
            <w:gridSpan w:val="6"/>
            <w:noWrap w:val="0"/>
            <w:vAlign w:val="center"/>
          </w:tcPr>
          <w:p w14:paraId="727B90E6">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包气带防污性能</w:t>
            </w:r>
          </w:p>
        </w:tc>
        <w:tc>
          <w:tcPr>
            <w:tcW w:w="516" w:type="pct"/>
            <w:gridSpan w:val="3"/>
            <w:noWrap w:val="0"/>
            <w:vAlign w:val="center"/>
          </w:tcPr>
          <w:p w14:paraId="6C4B88A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D1 □</w:t>
            </w:r>
          </w:p>
        </w:tc>
        <w:tc>
          <w:tcPr>
            <w:tcW w:w="769" w:type="pct"/>
            <w:gridSpan w:val="6"/>
            <w:noWrap w:val="0"/>
            <w:vAlign w:val="center"/>
          </w:tcPr>
          <w:p w14:paraId="00A690C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D2 </w:t>
            </w:r>
            <w:r>
              <w:rPr>
                <w:rFonts w:hint="default" w:ascii="Times New Roman" w:hAnsi="Times New Roman" w:eastAsia="宋体" w:cs="Times New Roman"/>
                <w:color w:val="auto"/>
                <w:kern w:val="2"/>
                <w:sz w:val="18"/>
                <w:szCs w:val="21"/>
              </w:rPr>
              <w:sym w:font="Wingdings 2" w:char="0052"/>
            </w:r>
          </w:p>
        </w:tc>
        <w:tc>
          <w:tcPr>
            <w:tcW w:w="811" w:type="pct"/>
            <w:gridSpan w:val="4"/>
            <w:noWrap w:val="0"/>
            <w:vAlign w:val="center"/>
          </w:tcPr>
          <w:p w14:paraId="01F693B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D3 </w:t>
            </w:r>
            <w:r>
              <w:rPr>
                <w:rFonts w:hint="default" w:ascii="Times New Roman" w:hAnsi="Times New Roman" w:eastAsia="宋体" w:cs="Times New Roman"/>
                <w:color w:val="auto"/>
                <w:kern w:val="2"/>
                <w:sz w:val="18"/>
                <w:szCs w:val="21"/>
              </w:rPr>
              <w:sym w:font="Wingdings 2" w:char="00A3"/>
            </w:r>
          </w:p>
        </w:tc>
      </w:tr>
      <w:tr w14:paraId="3D198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7" w:hRule="atLeast"/>
          <w:jc w:val="center"/>
        </w:trPr>
        <w:tc>
          <w:tcPr>
            <w:tcW w:w="1314" w:type="pct"/>
            <w:gridSpan w:val="2"/>
            <w:vMerge w:val="restart"/>
            <w:noWrap w:val="0"/>
            <w:vAlign w:val="center"/>
          </w:tcPr>
          <w:p w14:paraId="024ECD7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物质及工艺系统危险性</w:t>
            </w:r>
          </w:p>
        </w:tc>
        <w:tc>
          <w:tcPr>
            <w:tcW w:w="561" w:type="pct"/>
            <w:noWrap w:val="0"/>
            <w:vAlign w:val="center"/>
          </w:tcPr>
          <w:p w14:paraId="4E51B02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Q值</w:t>
            </w:r>
          </w:p>
        </w:tc>
        <w:tc>
          <w:tcPr>
            <w:tcW w:w="1026" w:type="pct"/>
            <w:gridSpan w:val="6"/>
            <w:noWrap w:val="0"/>
            <w:vAlign w:val="center"/>
          </w:tcPr>
          <w:p w14:paraId="55C58A4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Q＜1 </w:t>
            </w:r>
            <w:r>
              <w:rPr>
                <w:rFonts w:hint="default" w:ascii="Times New Roman" w:hAnsi="Times New Roman" w:eastAsia="宋体" w:cs="Times New Roman"/>
                <w:color w:val="auto"/>
                <w:kern w:val="2"/>
                <w:sz w:val="18"/>
                <w:szCs w:val="21"/>
              </w:rPr>
              <w:sym w:font="Wingdings 2" w:char="0052"/>
            </w:r>
          </w:p>
        </w:tc>
        <w:tc>
          <w:tcPr>
            <w:tcW w:w="516" w:type="pct"/>
            <w:gridSpan w:val="3"/>
            <w:noWrap w:val="0"/>
            <w:vAlign w:val="center"/>
          </w:tcPr>
          <w:p w14:paraId="66D4C276">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1≤Q＜10 </w:t>
            </w:r>
            <w:r>
              <w:rPr>
                <w:rFonts w:hint="default" w:ascii="Times New Roman" w:hAnsi="Times New Roman" w:eastAsia="宋体" w:cs="Times New Roman"/>
                <w:color w:val="auto"/>
                <w:kern w:val="2"/>
                <w:sz w:val="18"/>
                <w:szCs w:val="21"/>
              </w:rPr>
              <w:sym w:font="Wingdings 2" w:char="00A3"/>
            </w:r>
          </w:p>
        </w:tc>
        <w:tc>
          <w:tcPr>
            <w:tcW w:w="769" w:type="pct"/>
            <w:gridSpan w:val="6"/>
            <w:noWrap w:val="0"/>
            <w:vAlign w:val="center"/>
          </w:tcPr>
          <w:p w14:paraId="6A5F1B5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10≤Q＜100 □</w:t>
            </w:r>
          </w:p>
        </w:tc>
        <w:tc>
          <w:tcPr>
            <w:tcW w:w="811" w:type="pct"/>
            <w:gridSpan w:val="4"/>
            <w:noWrap w:val="0"/>
            <w:vAlign w:val="center"/>
          </w:tcPr>
          <w:p w14:paraId="17A07D8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Q＞100 □</w:t>
            </w:r>
          </w:p>
        </w:tc>
      </w:tr>
      <w:tr w14:paraId="3758C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14" w:type="pct"/>
            <w:gridSpan w:val="2"/>
            <w:vMerge w:val="continue"/>
            <w:noWrap w:val="0"/>
            <w:vAlign w:val="center"/>
          </w:tcPr>
          <w:p w14:paraId="3CFC7D9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noWrap w:val="0"/>
            <w:vAlign w:val="center"/>
          </w:tcPr>
          <w:p w14:paraId="1D1BB8C6">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M值</w:t>
            </w:r>
          </w:p>
        </w:tc>
        <w:tc>
          <w:tcPr>
            <w:tcW w:w="1026" w:type="pct"/>
            <w:gridSpan w:val="6"/>
            <w:noWrap w:val="0"/>
            <w:vAlign w:val="center"/>
          </w:tcPr>
          <w:p w14:paraId="52E6C58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M1 □</w:t>
            </w:r>
          </w:p>
        </w:tc>
        <w:tc>
          <w:tcPr>
            <w:tcW w:w="516" w:type="pct"/>
            <w:gridSpan w:val="3"/>
            <w:noWrap w:val="0"/>
            <w:vAlign w:val="center"/>
          </w:tcPr>
          <w:p w14:paraId="3BA7629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M2 □</w:t>
            </w:r>
          </w:p>
        </w:tc>
        <w:tc>
          <w:tcPr>
            <w:tcW w:w="769" w:type="pct"/>
            <w:gridSpan w:val="6"/>
            <w:noWrap w:val="0"/>
            <w:vAlign w:val="center"/>
          </w:tcPr>
          <w:p w14:paraId="257E545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M3 </w:t>
            </w:r>
            <w:r>
              <w:rPr>
                <w:rFonts w:hint="default" w:ascii="Times New Roman" w:hAnsi="Times New Roman" w:eastAsia="宋体" w:cs="Times New Roman"/>
                <w:color w:val="auto"/>
                <w:kern w:val="2"/>
                <w:sz w:val="18"/>
                <w:szCs w:val="21"/>
              </w:rPr>
              <w:sym w:font="Wingdings 2" w:char="00A3"/>
            </w:r>
          </w:p>
        </w:tc>
        <w:tc>
          <w:tcPr>
            <w:tcW w:w="811" w:type="pct"/>
            <w:gridSpan w:val="4"/>
            <w:noWrap w:val="0"/>
            <w:vAlign w:val="center"/>
          </w:tcPr>
          <w:p w14:paraId="28418FF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M4 </w:t>
            </w:r>
            <w:r>
              <w:rPr>
                <w:rFonts w:hint="default" w:ascii="Times New Roman" w:hAnsi="Times New Roman" w:eastAsia="宋体" w:cs="Times New Roman"/>
                <w:color w:val="auto"/>
                <w:kern w:val="2"/>
                <w:sz w:val="18"/>
                <w:szCs w:val="21"/>
              </w:rPr>
              <w:sym w:font="Wingdings 2" w:char="0052"/>
            </w:r>
          </w:p>
        </w:tc>
      </w:tr>
      <w:tr w14:paraId="32E65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14" w:type="pct"/>
            <w:gridSpan w:val="2"/>
            <w:vMerge w:val="continue"/>
            <w:noWrap w:val="0"/>
            <w:vAlign w:val="center"/>
          </w:tcPr>
          <w:p w14:paraId="3981269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noWrap w:val="0"/>
            <w:vAlign w:val="center"/>
          </w:tcPr>
          <w:p w14:paraId="2E4AF99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P值</w:t>
            </w:r>
          </w:p>
        </w:tc>
        <w:tc>
          <w:tcPr>
            <w:tcW w:w="1026" w:type="pct"/>
            <w:gridSpan w:val="6"/>
            <w:noWrap w:val="0"/>
            <w:vAlign w:val="center"/>
          </w:tcPr>
          <w:p w14:paraId="2532FD6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P1 □</w:t>
            </w:r>
          </w:p>
        </w:tc>
        <w:tc>
          <w:tcPr>
            <w:tcW w:w="516" w:type="pct"/>
            <w:gridSpan w:val="3"/>
            <w:noWrap w:val="0"/>
            <w:vAlign w:val="center"/>
          </w:tcPr>
          <w:p w14:paraId="17005AD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P2 □</w:t>
            </w:r>
          </w:p>
        </w:tc>
        <w:tc>
          <w:tcPr>
            <w:tcW w:w="769" w:type="pct"/>
            <w:gridSpan w:val="6"/>
            <w:noWrap w:val="0"/>
            <w:vAlign w:val="center"/>
          </w:tcPr>
          <w:p w14:paraId="505DBBBE">
            <w:pPr>
              <w:topLinePunct w:val="0"/>
              <w:adjustRightInd/>
              <w:spacing w:before="31" w:beforeLines="10" w:after="31" w:afterLines="10" w:line="0" w:lineRule="atLeast"/>
              <w:ind w:left="0" w:leftChars="0" w:firstLine="0" w:firstLineChars="0"/>
              <w:jc w:val="center"/>
              <w:rPr>
                <w:rFonts w:hint="eastAsia" w:ascii="Times New Roman" w:hAnsi="Times New Roman" w:eastAsia="宋体" w:cs="Times New Roman"/>
                <w:color w:val="auto"/>
                <w:kern w:val="2"/>
                <w:sz w:val="18"/>
                <w:szCs w:val="21"/>
                <w:lang w:eastAsia="zh-CN"/>
              </w:rPr>
            </w:pPr>
            <w:r>
              <w:rPr>
                <w:rFonts w:hint="default" w:ascii="Times New Roman" w:hAnsi="Times New Roman" w:eastAsia="宋体" w:cs="Times New Roman"/>
                <w:color w:val="auto"/>
                <w:kern w:val="2"/>
                <w:sz w:val="18"/>
                <w:szCs w:val="21"/>
              </w:rPr>
              <w:t xml:space="preserve">P3 </w:t>
            </w:r>
            <w:r>
              <w:rPr>
                <w:rFonts w:hint="eastAsia" w:ascii="Times New Roman" w:hAnsi="Times New Roman" w:eastAsia="宋体" w:cs="Times New Roman"/>
                <w:color w:val="auto"/>
                <w:kern w:val="2"/>
                <w:sz w:val="18"/>
                <w:szCs w:val="21"/>
                <w:lang w:eastAsia="zh-CN"/>
              </w:rPr>
              <w:t>□</w:t>
            </w:r>
          </w:p>
        </w:tc>
        <w:tc>
          <w:tcPr>
            <w:tcW w:w="811" w:type="pct"/>
            <w:gridSpan w:val="4"/>
            <w:noWrap w:val="0"/>
            <w:vAlign w:val="center"/>
          </w:tcPr>
          <w:p w14:paraId="0551EDB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P4 </w:t>
            </w:r>
            <w:r>
              <w:rPr>
                <w:rFonts w:hint="default" w:ascii="Times New Roman" w:hAnsi="Times New Roman" w:eastAsia="宋体" w:cs="Times New Roman"/>
                <w:color w:val="auto"/>
                <w:kern w:val="2"/>
                <w:sz w:val="18"/>
                <w:szCs w:val="21"/>
              </w:rPr>
              <w:sym w:font="Wingdings 2" w:char="0052"/>
            </w:r>
          </w:p>
        </w:tc>
      </w:tr>
      <w:tr w14:paraId="5A9D8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14" w:type="pct"/>
            <w:gridSpan w:val="2"/>
            <w:vMerge w:val="restart"/>
            <w:noWrap w:val="0"/>
            <w:vAlign w:val="center"/>
          </w:tcPr>
          <w:p w14:paraId="08A2431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环境敏感程度</w:t>
            </w:r>
          </w:p>
        </w:tc>
        <w:tc>
          <w:tcPr>
            <w:tcW w:w="561" w:type="pct"/>
            <w:noWrap w:val="0"/>
            <w:vAlign w:val="center"/>
          </w:tcPr>
          <w:p w14:paraId="2D6D820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大气</w:t>
            </w:r>
          </w:p>
        </w:tc>
        <w:tc>
          <w:tcPr>
            <w:tcW w:w="1026" w:type="pct"/>
            <w:gridSpan w:val="6"/>
            <w:noWrap w:val="0"/>
            <w:vAlign w:val="center"/>
          </w:tcPr>
          <w:p w14:paraId="64700913">
            <w:pPr>
              <w:topLinePunct w:val="0"/>
              <w:adjustRightInd/>
              <w:spacing w:before="31" w:beforeLines="10" w:after="31" w:afterLines="10" w:line="0" w:lineRule="atLeast"/>
              <w:ind w:left="0" w:leftChars="0" w:firstLine="0" w:firstLineChars="0"/>
              <w:jc w:val="center"/>
              <w:rPr>
                <w:rFonts w:hint="eastAsia" w:ascii="Times New Roman" w:hAnsi="Times New Roman" w:eastAsia="宋体" w:cs="Times New Roman"/>
                <w:color w:val="auto"/>
                <w:kern w:val="2"/>
                <w:sz w:val="18"/>
                <w:szCs w:val="21"/>
                <w:lang w:eastAsia="zh-CN"/>
              </w:rPr>
            </w:pPr>
            <w:r>
              <w:rPr>
                <w:rFonts w:hint="default" w:ascii="Times New Roman" w:hAnsi="Times New Roman" w:eastAsia="宋体" w:cs="Times New Roman"/>
                <w:color w:val="auto"/>
                <w:kern w:val="2"/>
                <w:sz w:val="18"/>
                <w:szCs w:val="21"/>
              </w:rPr>
              <w:t xml:space="preserve">E1 </w:t>
            </w:r>
            <w:r>
              <w:rPr>
                <w:rFonts w:hint="eastAsia" w:ascii="Times New Roman" w:hAnsi="Times New Roman" w:eastAsia="宋体" w:cs="Times New Roman"/>
                <w:color w:val="auto"/>
                <w:kern w:val="2"/>
                <w:sz w:val="18"/>
                <w:szCs w:val="21"/>
                <w:lang w:eastAsia="zh-CN"/>
              </w:rPr>
              <w:t>□</w:t>
            </w:r>
          </w:p>
        </w:tc>
        <w:tc>
          <w:tcPr>
            <w:tcW w:w="1031" w:type="pct"/>
            <w:gridSpan w:val="7"/>
            <w:noWrap w:val="0"/>
            <w:vAlign w:val="center"/>
          </w:tcPr>
          <w:p w14:paraId="788712E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E2 </w:t>
            </w:r>
            <w:r>
              <w:rPr>
                <w:rFonts w:hint="default" w:ascii="Times New Roman" w:hAnsi="Times New Roman" w:eastAsia="宋体" w:cs="Times New Roman"/>
                <w:color w:val="auto"/>
                <w:kern w:val="2"/>
                <w:sz w:val="18"/>
                <w:szCs w:val="21"/>
              </w:rPr>
              <w:sym w:font="Wingdings 2" w:char="00A3"/>
            </w:r>
          </w:p>
        </w:tc>
        <w:tc>
          <w:tcPr>
            <w:tcW w:w="1066" w:type="pct"/>
            <w:gridSpan w:val="6"/>
            <w:noWrap w:val="0"/>
            <w:vAlign w:val="center"/>
          </w:tcPr>
          <w:p w14:paraId="659EE11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E3 </w:t>
            </w:r>
            <w:r>
              <w:rPr>
                <w:rFonts w:hint="default" w:ascii="Times New Roman" w:hAnsi="Times New Roman" w:eastAsia="宋体" w:cs="Times New Roman"/>
                <w:color w:val="auto"/>
                <w:kern w:val="2"/>
                <w:sz w:val="18"/>
                <w:szCs w:val="21"/>
              </w:rPr>
              <w:sym w:font="Wingdings 2" w:char="00A3"/>
            </w:r>
          </w:p>
        </w:tc>
      </w:tr>
      <w:tr w14:paraId="4ECCE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14" w:type="pct"/>
            <w:gridSpan w:val="2"/>
            <w:vMerge w:val="continue"/>
            <w:noWrap w:val="0"/>
            <w:vAlign w:val="center"/>
          </w:tcPr>
          <w:p w14:paraId="0F1C097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noWrap w:val="0"/>
            <w:vAlign w:val="center"/>
          </w:tcPr>
          <w:p w14:paraId="3F6677B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地表水</w:t>
            </w:r>
          </w:p>
        </w:tc>
        <w:tc>
          <w:tcPr>
            <w:tcW w:w="1026" w:type="pct"/>
            <w:gridSpan w:val="6"/>
            <w:noWrap w:val="0"/>
            <w:vAlign w:val="center"/>
          </w:tcPr>
          <w:p w14:paraId="0A33D28F">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E1 □</w:t>
            </w:r>
          </w:p>
        </w:tc>
        <w:tc>
          <w:tcPr>
            <w:tcW w:w="1031" w:type="pct"/>
            <w:gridSpan w:val="7"/>
            <w:noWrap w:val="0"/>
            <w:vAlign w:val="center"/>
          </w:tcPr>
          <w:p w14:paraId="5926DA5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E2 □</w:t>
            </w:r>
          </w:p>
        </w:tc>
        <w:tc>
          <w:tcPr>
            <w:tcW w:w="1066" w:type="pct"/>
            <w:gridSpan w:val="6"/>
            <w:noWrap w:val="0"/>
            <w:vAlign w:val="center"/>
          </w:tcPr>
          <w:p w14:paraId="647B692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E3 </w:t>
            </w:r>
            <w:r>
              <w:rPr>
                <w:rFonts w:hint="default" w:ascii="Times New Roman" w:hAnsi="Times New Roman" w:eastAsia="宋体" w:cs="Times New Roman"/>
                <w:color w:val="auto"/>
                <w:kern w:val="2"/>
                <w:sz w:val="18"/>
                <w:szCs w:val="21"/>
              </w:rPr>
              <w:sym w:font="Wingdings 2" w:char="00A3"/>
            </w:r>
          </w:p>
        </w:tc>
      </w:tr>
      <w:tr w14:paraId="18C8A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14" w:type="pct"/>
            <w:gridSpan w:val="2"/>
            <w:vMerge w:val="continue"/>
            <w:noWrap w:val="0"/>
            <w:vAlign w:val="center"/>
          </w:tcPr>
          <w:p w14:paraId="627D53F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561" w:type="pct"/>
            <w:noWrap w:val="0"/>
            <w:vAlign w:val="center"/>
          </w:tcPr>
          <w:p w14:paraId="48B06E5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地下水</w:t>
            </w:r>
          </w:p>
        </w:tc>
        <w:tc>
          <w:tcPr>
            <w:tcW w:w="1026" w:type="pct"/>
            <w:gridSpan w:val="6"/>
            <w:noWrap w:val="0"/>
            <w:vAlign w:val="center"/>
          </w:tcPr>
          <w:p w14:paraId="6CBDD5B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E1 □</w:t>
            </w:r>
          </w:p>
        </w:tc>
        <w:tc>
          <w:tcPr>
            <w:tcW w:w="1031" w:type="pct"/>
            <w:gridSpan w:val="7"/>
            <w:noWrap w:val="0"/>
            <w:vAlign w:val="center"/>
          </w:tcPr>
          <w:p w14:paraId="016601D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E2 </w:t>
            </w:r>
            <w:r>
              <w:rPr>
                <w:rFonts w:hint="default" w:ascii="Times New Roman" w:hAnsi="Times New Roman" w:eastAsia="宋体" w:cs="Times New Roman"/>
                <w:color w:val="auto"/>
                <w:kern w:val="2"/>
                <w:sz w:val="18"/>
                <w:szCs w:val="21"/>
              </w:rPr>
              <w:sym w:font="Wingdings 2" w:char="00A3"/>
            </w:r>
          </w:p>
        </w:tc>
        <w:tc>
          <w:tcPr>
            <w:tcW w:w="1066" w:type="pct"/>
            <w:gridSpan w:val="6"/>
            <w:noWrap w:val="0"/>
            <w:vAlign w:val="center"/>
          </w:tcPr>
          <w:p w14:paraId="2AFFAFA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E3 </w:t>
            </w:r>
            <w:r>
              <w:rPr>
                <w:rFonts w:hint="default" w:ascii="Times New Roman" w:hAnsi="Times New Roman" w:eastAsia="宋体" w:cs="Times New Roman"/>
                <w:color w:val="auto"/>
                <w:kern w:val="2"/>
                <w:sz w:val="18"/>
                <w:szCs w:val="21"/>
              </w:rPr>
              <w:sym w:font="Wingdings 2" w:char="00A3"/>
            </w:r>
          </w:p>
        </w:tc>
      </w:tr>
      <w:tr w14:paraId="499A8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14" w:type="pct"/>
            <w:gridSpan w:val="2"/>
            <w:noWrap w:val="0"/>
            <w:vAlign w:val="center"/>
          </w:tcPr>
          <w:p w14:paraId="2B52F20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环境风险潜势</w:t>
            </w:r>
          </w:p>
        </w:tc>
        <w:tc>
          <w:tcPr>
            <w:tcW w:w="734" w:type="pct"/>
            <w:gridSpan w:val="2"/>
            <w:noWrap w:val="0"/>
            <w:vAlign w:val="center"/>
          </w:tcPr>
          <w:p w14:paraId="5223017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Ⅳ+ □</w:t>
            </w:r>
          </w:p>
        </w:tc>
        <w:tc>
          <w:tcPr>
            <w:tcW w:w="724" w:type="pct"/>
            <w:gridSpan w:val="4"/>
            <w:noWrap w:val="0"/>
            <w:vAlign w:val="center"/>
          </w:tcPr>
          <w:p w14:paraId="6E76A0F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Ⅳ □</w:t>
            </w:r>
          </w:p>
        </w:tc>
        <w:tc>
          <w:tcPr>
            <w:tcW w:w="731" w:type="pct"/>
            <w:gridSpan w:val="5"/>
            <w:noWrap w:val="0"/>
            <w:vAlign w:val="center"/>
          </w:tcPr>
          <w:p w14:paraId="408949CF">
            <w:pPr>
              <w:topLinePunct w:val="0"/>
              <w:adjustRightInd/>
              <w:spacing w:before="31" w:beforeLines="10" w:after="31" w:afterLines="10" w:line="0" w:lineRule="atLeast"/>
              <w:ind w:left="0" w:leftChars="0" w:firstLine="0" w:firstLineChars="0"/>
              <w:jc w:val="center"/>
              <w:rPr>
                <w:rFonts w:hint="eastAsia" w:ascii="Times New Roman" w:hAnsi="Times New Roman" w:eastAsia="宋体" w:cs="Times New Roman"/>
                <w:color w:val="auto"/>
                <w:kern w:val="2"/>
                <w:sz w:val="18"/>
                <w:szCs w:val="21"/>
                <w:lang w:eastAsia="zh-CN"/>
              </w:rPr>
            </w:pPr>
            <w:r>
              <w:rPr>
                <w:rFonts w:hint="default" w:ascii="Times New Roman" w:hAnsi="Times New Roman" w:eastAsia="宋体" w:cs="Times New Roman"/>
                <w:color w:val="auto"/>
                <w:kern w:val="2"/>
                <w:sz w:val="18"/>
                <w:szCs w:val="21"/>
              </w:rPr>
              <w:t xml:space="preserve">Ⅲ </w:t>
            </w:r>
            <w:r>
              <w:rPr>
                <w:rFonts w:hint="eastAsia" w:ascii="Times New Roman" w:hAnsi="Times New Roman" w:eastAsia="宋体" w:cs="Times New Roman"/>
                <w:color w:val="auto"/>
                <w:kern w:val="2"/>
                <w:sz w:val="18"/>
                <w:szCs w:val="21"/>
                <w:lang w:eastAsia="zh-CN"/>
              </w:rPr>
              <w:t>□</w:t>
            </w:r>
          </w:p>
        </w:tc>
        <w:tc>
          <w:tcPr>
            <w:tcW w:w="730" w:type="pct"/>
            <w:gridSpan w:val="7"/>
            <w:noWrap w:val="0"/>
            <w:vAlign w:val="center"/>
          </w:tcPr>
          <w:p w14:paraId="0088EE8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Ⅱ </w:t>
            </w:r>
            <w:r>
              <w:rPr>
                <w:rFonts w:hint="default" w:ascii="Times New Roman" w:hAnsi="Times New Roman" w:eastAsia="宋体" w:cs="Times New Roman"/>
                <w:color w:val="auto"/>
                <w:kern w:val="2"/>
                <w:sz w:val="18"/>
                <w:szCs w:val="21"/>
              </w:rPr>
              <w:sym w:font="Wingdings 2" w:char="00A3"/>
            </w:r>
          </w:p>
        </w:tc>
        <w:tc>
          <w:tcPr>
            <w:tcW w:w="764" w:type="pct"/>
            <w:gridSpan w:val="2"/>
            <w:noWrap w:val="0"/>
            <w:vAlign w:val="center"/>
          </w:tcPr>
          <w:p w14:paraId="7CF8586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I </w:t>
            </w:r>
            <w:r>
              <w:rPr>
                <w:rFonts w:hint="default" w:ascii="Times New Roman" w:hAnsi="Times New Roman" w:eastAsia="宋体" w:cs="Times New Roman"/>
                <w:color w:val="auto"/>
                <w:kern w:val="2"/>
                <w:sz w:val="18"/>
                <w:szCs w:val="21"/>
              </w:rPr>
              <w:sym w:font="Wingdings 2" w:char="0052"/>
            </w:r>
          </w:p>
        </w:tc>
      </w:tr>
      <w:tr w14:paraId="17BB7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14" w:type="pct"/>
            <w:gridSpan w:val="2"/>
            <w:noWrap w:val="0"/>
            <w:vAlign w:val="center"/>
          </w:tcPr>
          <w:p w14:paraId="5811DB1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评价等级</w:t>
            </w:r>
          </w:p>
        </w:tc>
        <w:tc>
          <w:tcPr>
            <w:tcW w:w="919" w:type="pct"/>
            <w:gridSpan w:val="3"/>
            <w:noWrap w:val="0"/>
            <w:vAlign w:val="center"/>
          </w:tcPr>
          <w:p w14:paraId="37285CC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一级 □</w:t>
            </w:r>
          </w:p>
        </w:tc>
        <w:tc>
          <w:tcPr>
            <w:tcW w:w="916" w:type="pct"/>
            <w:gridSpan w:val="5"/>
            <w:noWrap w:val="0"/>
            <w:vAlign w:val="center"/>
          </w:tcPr>
          <w:p w14:paraId="7681A9CF">
            <w:pPr>
              <w:topLinePunct w:val="0"/>
              <w:adjustRightInd/>
              <w:spacing w:before="31" w:beforeLines="10" w:after="31" w:afterLines="10" w:line="0" w:lineRule="atLeast"/>
              <w:ind w:left="0" w:leftChars="0" w:firstLine="0" w:firstLineChars="0"/>
              <w:jc w:val="center"/>
              <w:rPr>
                <w:rFonts w:hint="eastAsia" w:ascii="Times New Roman" w:hAnsi="Times New Roman" w:eastAsia="宋体" w:cs="Times New Roman"/>
                <w:color w:val="auto"/>
                <w:kern w:val="2"/>
                <w:sz w:val="18"/>
                <w:szCs w:val="21"/>
                <w:lang w:eastAsia="zh-CN"/>
              </w:rPr>
            </w:pPr>
            <w:r>
              <w:rPr>
                <w:rFonts w:hint="default" w:ascii="Times New Roman" w:hAnsi="Times New Roman" w:eastAsia="宋体" w:cs="Times New Roman"/>
                <w:color w:val="auto"/>
                <w:kern w:val="2"/>
                <w:sz w:val="18"/>
                <w:szCs w:val="21"/>
              </w:rPr>
              <w:t xml:space="preserve">二级 </w:t>
            </w:r>
            <w:r>
              <w:rPr>
                <w:rFonts w:hint="eastAsia" w:ascii="Times New Roman" w:hAnsi="Times New Roman" w:eastAsia="宋体" w:cs="Times New Roman"/>
                <w:color w:val="auto"/>
                <w:kern w:val="2"/>
                <w:sz w:val="18"/>
                <w:szCs w:val="21"/>
                <w:lang w:eastAsia="zh-CN"/>
              </w:rPr>
              <w:t>□</w:t>
            </w:r>
          </w:p>
        </w:tc>
        <w:tc>
          <w:tcPr>
            <w:tcW w:w="911" w:type="pct"/>
            <w:gridSpan w:val="7"/>
            <w:noWrap w:val="0"/>
            <w:vAlign w:val="center"/>
          </w:tcPr>
          <w:p w14:paraId="4098F21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三级 </w:t>
            </w:r>
            <w:r>
              <w:rPr>
                <w:rFonts w:hint="default" w:ascii="Times New Roman" w:hAnsi="Times New Roman" w:eastAsia="宋体" w:cs="Times New Roman"/>
                <w:color w:val="auto"/>
                <w:kern w:val="2"/>
                <w:sz w:val="18"/>
                <w:szCs w:val="21"/>
              </w:rPr>
              <w:sym w:font="Wingdings 2" w:char="00A3"/>
            </w:r>
          </w:p>
        </w:tc>
        <w:tc>
          <w:tcPr>
            <w:tcW w:w="938" w:type="pct"/>
            <w:gridSpan w:val="5"/>
            <w:noWrap w:val="0"/>
            <w:vAlign w:val="center"/>
          </w:tcPr>
          <w:p w14:paraId="3E8F88F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简单分析 </w:t>
            </w:r>
            <w:r>
              <w:rPr>
                <w:rFonts w:hint="default" w:ascii="Times New Roman" w:hAnsi="Times New Roman" w:eastAsia="宋体" w:cs="Times New Roman"/>
                <w:color w:val="auto"/>
                <w:kern w:val="2"/>
                <w:sz w:val="18"/>
                <w:szCs w:val="21"/>
              </w:rPr>
              <w:sym w:font="Wingdings 2" w:char="0052"/>
            </w:r>
          </w:p>
        </w:tc>
      </w:tr>
      <w:tr w14:paraId="360AB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restart"/>
            <w:noWrap w:val="0"/>
            <w:vAlign w:val="center"/>
          </w:tcPr>
          <w:p w14:paraId="46CCD85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风险识别</w:t>
            </w:r>
          </w:p>
        </w:tc>
        <w:tc>
          <w:tcPr>
            <w:tcW w:w="766" w:type="pct"/>
            <w:noWrap w:val="0"/>
            <w:vAlign w:val="center"/>
          </w:tcPr>
          <w:p w14:paraId="5937D72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物质危险性</w:t>
            </w:r>
          </w:p>
        </w:tc>
        <w:tc>
          <w:tcPr>
            <w:tcW w:w="1835" w:type="pct"/>
            <w:gridSpan w:val="8"/>
            <w:noWrap w:val="0"/>
            <w:vAlign w:val="center"/>
          </w:tcPr>
          <w:p w14:paraId="324AECA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有毒有害 </w:t>
            </w:r>
            <w:r>
              <w:rPr>
                <w:rFonts w:hint="default" w:ascii="Times New Roman" w:hAnsi="Times New Roman" w:eastAsia="宋体" w:cs="Times New Roman"/>
                <w:color w:val="auto"/>
                <w:kern w:val="2"/>
                <w:sz w:val="18"/>
                <w:szCs w:val="21"/>
              </w:rPr>
              <w:sym w:font="Wingdings 2" w:char="0052"/>
            </w:r>
          </w:p>
        </w:tc>
        <w:tc>
          <w:tcPr>
            <w:tcW w:w="1849" w:type="pct"/>
            <w:gridSpan w:val="12"/>
            <w:noWrap w:val="0"/>
            <w:vAlign w:val="center"/>
          </w:tcPr>
          <w:p w14:paraId="5B080AB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易燃易爆 </w:t>
            </w:r>
            <w:r>
              <w:rPr>
                <w:rFonts w:hint="default" w:ascii="Times New Roman" w:hAnsi="Times New Roman" w:eastAsia="宋体" w:cs="Times New Roman"/>
                <w:color w:val="auto"/>
                <w:kern w:val="2"/>
                <w:sz w:val="18"/>
                <w:szCs w:val="21"/>
              </w:rPr>
              <w:sym w:font="Wingdings 2" w:char="0052"/>
            </w:r>
          </w:p>
        </w:tc>
      </w:tr>
      <w:tr w14:paraId="4C08C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547" w:type="pct"/>
            <w:vMerge w:val="continue"/>
            <w:noWrap w:val="0"/>
            <w:vAlign w:val="center"/>
          </w:tcPr>
          <w:p w14:paraId="5E1418EF">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noWrap w:val="0"/>
            <w:vAlign w:val="center"/>
          </w:tcPr>
          <w:p w14:paraId="0D15627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环境风险类型</w:t>
            </w:r>
          </w:p>
        </w:tc>
        <w:tc>
          <w:tcPr>
            <w:tcW w:w="1835" w:type="pct"/>
            <w:gridSpan w:val="8"/>
            <w:noWrap w:val="0"/>
            <w:vAlign w:val="center"/>
          </w:tcPr>
          <w:p w14:paraId="4C206B8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泄漏 </w:t>
            </w:r>
            <w:r>
              <w:rPr>
                <w:rFonts w:hint="default" w:ascii="Times New Roman" w:hAnsi="Times New Roman" w:eastAsia="宋体" w:cs="Times New Roman"/>
                <w:color w:val="auto"/>
                <w:kern w:val="2"/>
                <w:sz w:val="18"/>
                <w:szCs w:val="21"/>
              </w:rPr>
              <w:sym w:font="Wingdings 2" w:char="0052"/>
            </w:r>
            <w:r>
              <w:rPr>
                <w:rFonts w:hint="default" w:ascii="Times New Roman" w:hAnsi="Times New Roman" w:eastAsia="宋体" w:cs="Times New Roman"/>
                <w:color w:val="auto"/>
                <w:kern w:val="2"/>
                <w:sz w:val="18"/>
                <w:szCs w:val="21"/>
              </w:rPr>
              <w:t xml:space="preserve"> </w:t>
            </w:r>
          </w:p>
        </w:tc>
        <w:tc>
          <w:tcPr>
            <w:tcW w:w="1849" w:type="pct"/>
            <w:gridSpan w:val="12"/>
            <w:noWrap w:val="0"/>
            <w:vAlign w:val="center"/>
          </w:tcPr>
          <w:p w14:paraId="5D9C1A3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火灾、爆炸引发伴生/次生污染物排放 </w:t>
            </w:r>
            <w:r>
              <w:rPr>
                <w:rFonts w:hint="default" w:ascii="Times New Roman" w:hAnsi="Times New Roman" w:eastAsia="宋体" w:cs="Times New Roman"/>
                <w:color w:val="auto"/>
                <w:kern w:val="2"/>
                <w:sz w:val="18"/>
                <w:szCs w:val="21"/>
              </w:rPr>
              <w:sym w:font="Wingdings 2" w:char="0052"/>
            </w:r>
          </w:p>
        </w:tc>
      </w:tr>
      <w:tr w14:paraId="3F237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547" w:type="pct"/>
            <w:vMerge w:val="continue"/>
            <w:noWrap w:val="0"/>
            <w:vAlign w:val="center"/>
          </w:tcPr>
          <w:p w14:paraId="307519B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noWrap w:val="0"/>
            <w:vAlign w:val="center"/>
          </w:tcPr>
          <w:p w14:paraId="1BF7F71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影响途径</w:t>
            </w:r>
          </w:p>
        </w:tc>
        <w:tc>
          <w:tcPr>
            <w:tcW w:w="1221" w:type="pct"/>
            <w:gridSpan w:val="5"/>
            <w:noWrap w:val="0"/>
            <w:vAlign w:val="center"/>
          </w:tcPr>
          <w:p w14:paraId="2F2556F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大气 </w:t>
            </w:r>
            <w:r>
              <w:rPr>
                <w:rFonts w:hint="default" w:ascii="Times New Roman" w:hAnsi="Times New Roman" w:eastAsia="宋体" w:cs="Times New Roman"/>
                <w:color w:val="auto"/>
                <w:kern w:val="2"/>
                <w:sz w:val="18"/>
                <w:szCs w:val="21"/>
              </w:rPr>
              <w:sym w:font="Wingdings 2" w:char="0052"/>
            </w:r>
          </w:p>
        </w:tc>
        <w:tc>
          <w:tcPr>
            <w:tcW w:w="1216" w:type="pct"/>
            <w:gridSpan w:val="7"/>
            <w:noWrap w:val="0"/>
            <w:vAlign w:val="center"/>
          </w:tcPr>
          <w:p w14:paraId="5613CCEE">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地表水 </w:t>
            </w:r>
            <w:r>
              <w:rPr>
                <w:rFonts w:hint="default" w:ascii="Times New Roman" w:hAnsi="Times New Roman" w:eastAsia="宋体" w:cs="Times New Roman"/>
                <w:color w:val="auto"/>
                <w:kern w:val="2"/>
                <w:sz w:val="18"/>
                <w:szCs w:val="21"/>
              </w:rPr>
              <w:sym w:font="Wingdings 2" w:char="00A3"/>
            </w:r>
          </w:p>
        </w:tc>
        <w:tc>
          <w:tcPr>
            <w:tcW w:w="1247" w:type="pct"/>
            <w:gridSpan w:val="8"/>
            <w:noWrap w:val="0"/>
            <w:vAlign w:val="center"/>
          </w:tcPr>
          <w:p w14:paraId="3747C530">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地下水 </w:t>
            </w:r>
            <w:r>
              <w:rPr>
                <w:rFonts w:hint="default" w:ascii="Times New Roman" w:hAnsi="Times New Roman" w:eastAsia="宋体" w:cs="Times New Roman"/>
                <w:color w:val="auto"/>
                <w:kern w:val="2"/>
                <w:sz w:val="18"/>
                <w:szCs w:val="21"/>
              </w:rPr>
              <w:sym w:font="Wingdings 2" w:char="0052"/>
            </w:r>
          </w:p>
        </w:tc>
      </w:tr>
      <w:tr w14:paraId="7F290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1314" w:type="pct"/>
            <w:gridSpan w:val="2"/>
            <w:noWrap w:val="0"/>
            <w:vAlign w:val="center"/>
          </w:tcPr>
          <w:p w14:paraId="7493670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事故情形分析 </w:t>
            </w:r>
          </w:p>
        </w:tc>
        <w:tc>
          <w:tcPr>
            <w:tcW w:w="919" w:type="pct"/>
            <w:gridSpan w:val="3"/>
            <w:noWrap w:val="0"/>
            <w:vAlign w:val="center"/>
          </w:tcPr>
          <w:p w14:paraId="03BBC37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源强设定方法</w:t>
            </w:r>
          </w:p>
        </w:tc>
        <w:tc>
          <w:tcPr>
            <w:tcW w:w="916" w:type="pct"/>
            <w:gridSpan w:val="5"/>
            <w:noWrap w:val="0"/>
            <w:vAlign w:val="center"/>
          </w:tcPr>
          <w:p w14:paraId="099FDE8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计算法 </w:t>
            </w:r>
            <w:r>
              <w:rPr>
                <w:rFonts w:hint="default" w:ascii="Times New Roman" w:hAnsi="Times New Roman" w:eastAsia="宋体" w:cs="Times New Roman"/>
                <w:color w:val="auto"/>
                <w:kern w:val="2"/>
                <w:sz w:val="18"/>
                <w:szCs w:val="21"/>
              </w:rPr>
              <w:sym w:font="Wingdings 2" w:char="00A3"/>
            </w:r>
          </w:p>
        </w:tc>
        <w:tc>
          <w:tcPr>
            <w:tcW w:w="911" w:type="pct"/>
            <w:gridSpan w:val="7"/>
            <w:noWrap w:val="0"/>
            <w:vAlign w:val="center"/>
          </w:tcPr>
          <w:p w14:paraId="221C2A4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经验估算法 </w:t>
            </w:r>
            <w:r>
              <w:rPr>
                <w:rFonts w:hint="default" w:ascii="Times New Roman" w:hAnsi="Times New Roman" w:eastAsia="宋体" w:cs="Times New Roman"/>
                <w:color w:val="auto"/>
                <w:kern w:val="2"/>
                <w:sz w:val="18"/>
                <w:szCs w:val="21"/>
              </w:rPr>
              <w:sym w:font="Wingdings 2" w:char="00A3"/>
            </w:r>
          </w:p>
        </w:tc>
        <w:tc>
          <w:tcPr>
            <w:tcW w:w="938" w:type="pct"/>
            <w:gridSpan w:val="5"/>
            <w:noWrap w:val="0"/>
            <w:vAlign w:val="center"/>
          </w:tcPr>
          <w:p w14:paraId="700FFAE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其他估算法 □</w:t>
            </w:r>
          </w:p>
        </w:tc>
      </w:tr>
      <w:tr w14:paraId="00DDD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547" w:type="pct"/>
            <w:vMerge w:val="restart"/>
            <w:noWrap w:val="0"/>
            <w:vAlign w:val="center"/>
          </w:tcPr>
          <w:p w14:paraId="764DD18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风险预测</w:t>
            </w:r>
          </w:p>
          <w:p w14:paraId="3C622CE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与评价</w:t>
            </w:r>
          </w:p>
        </w:tc>
        <w:tc>
          <w:tcPr>
            <w:tcW w:w="766" w:type="pct"/>
            <w:vMerge w:val="restart"/>
            <w:noWrap w:val="0"/>
            <w:vAlign w:val="center"/>
          </w:tcPr>
          <w:p w14:paraId="302530A6">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大气</w:t>
            </w:r>
          </w:p>
        </w:tc>
        <w:tc>
          <w:tcPr>
            <w:tcW w:w="919" w:type="pct"/>
            <w:gridSpan w:val="3"/>
            <w:noWrap w:val="0"/>
            <w:vAlign w:val="center"/>
          </w:tcPr>
          <w:p w14:paraId="3245CD03">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预测模型</w:t>
            </w:r>
          </w:p>
        </w:tc>
        <w:tc>
          <w:tcPr>
            <w:tcW w:w="916" w:type="pct"/>
            <w:gridSpan w:val="5"/>
            <w:noWrap w:val="0"/>
            <w:vAlign w:val="center"/>
          </w:tcPr>
          <w:p w14:paraId="2A3A636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SLAB □</w:t>
            </w:r>
          </w:p>
        </w:tc>
        <w:tc>
          <w:tcPr>
            <w:tcW w:w="911" w:type="pct"/>
            <w:gridSpan w:val="7"/>
            <w:noWrap w:val="0"/>
            <w:vAlign w:val="center"/>
          </w:tcPr>
          <w:p w14:paraId="6CFC709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AFTOX </w:t>
            </w:r>
            <w:r>
              <w:rPr>
                <w:rFonts w:hint="default" w:ascii="Times New Roman" w:hAnsi="Times New Roman" w:eastAsia="宋体" w:cs="Times New Roman"/>
                <w:color w:val="auto"/>
                <w:kern w:val="2"/>
                <w:sz w:val="18"/>
                <w:szCs w:val="21"/>
              </w:rPr>
              <w:sym w:font="Wingdings 2" w:char="00A3"/>
            </w:r>
          </w:p>
        </w:tc>
        <w:tc>
          <w:tcPr>
            <w:tcW w:w="938" w:type="pct"/>
            <w:gridSpan w:val="5"/>
            <w:noWrap w:val="0"/>
            <w:vAlign w:val="center"/>
          </w:tcPr>
          <w:p w14:paraId="3752E50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其他 □</w:t>
            </w:r>
          </w:p>
        </w:tc>
      </w:tr>
      <w:tr w14:paraId="2A735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547" w:type="pct"/>
            <w:vMerge w:val="continue"/>
            <w:noWrap w:val="0"/>
            <w:vAlign w:val="center"/>
          </w:tcPr>
          <w:p w14:paraId="7B3373E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6392DA9F">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919" w:type="pct"/>
            <w:gridSpan w:val="3"/>
            <w:vMerge w:val="restart"/>
            <w:noWrap w:val="0"/>
            <w:vAlign w:val="center"/>
          </w:tcPr>
          <w:p w14:paraId="24BE3CD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预测结果</w:t>
            </w:r>
          </w:p>
        </w:tc>
        <w:tc>
          <w:tcPr>
            <w:tcW w:w="2766" w:type="pct"/>
            <w:gridSpan w:val="17"/>
            <w:noWrap w:val="0"/>
            <w:vAlign w:val="center"/>
          </w:tcPr>
          <w:p w14:paraId="2A57D01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大气毒性终点浓度-1 最大影响范围  </w:t>
            </w:r>
            <w:r>
              <w:rPr>
                <w:rFonts w:hint="default" w:ascii="Times New Roman" w:hAnsi="Times New Roman" w:eastAsia="宋体" w:cs="Times New Roman"/>
                <w:color w:val="auto"/>
                <w:kern w:val="2"/>
                <w:sz w:val="18"/>
                <w:szCs w:val="21"/>
                <w:lang w:val="en-US" w:eastAsia="zh-CN"/>
              </w:rPr>
              <w:t xml:space="preserve">/ </w:t>
            </w:r>
            <w:r>
              <w:rPr>
                <w:rFonts w:hint="default" w:ascii="Times New Roman" w:hAnsi="Times New Roman" w:eastAsia="宋体" w:cs="Times New Roman"/>
                <w:color w:val="auto"/>
                <w:kern w:val="2"/>
                <w:sz w:val="18"/>
                <w:szCs w:val="21"/>
              </w:rPr>
              <w:t xml:space="preserve"> m</w:t>
            </w:r>
          </w:p>
        </w:tc>
      </w:tr>
      <w:tr w14:paraId="0BCE6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547" w:type="pct"/>
            <w:vMerge w:val="continue"/>
            <w:noWrap w:val="0"/>
            <w:vAlign w:val="center"/>
          </w:tcPr>
          <w:p w14:paraId="7B2F675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1BD5B2C5">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919" w:type="pct"/>
            <w:gridSpan w:val="3"/>
            <w:vMerge w:val="continue"/>
            <w:noWrap w:val="0"/>
            <w:vAlign w:val="center"/>
          </w:tcPr>
          <w:p w14:paraId="01D24D5D">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2766" w:type="pct"/>
            <w:gridSpan w:val="17"/>
            <w:noWrap w:val="0"/>
            <w:vAlign w:val="center"/>
          </w:tcPr>
          <w:p w14:paraId="1F2B2C3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大气毒性终点浓度-2 最大影响范围 </w:t>
            </w:r>
            <w:r>
              <w:rPr>
                <w:rFonts w:hint="default" w:ascii="Times New Roman" w:hAnsi="Times New Roman" w:eastAsia="宋体" w:cs="Times New Roman"/>
                <w:color w:val="auto"/>
                <w:kern w:val="2"/>
                <w:sz w:val="18"/>
                <w:szCs w:val="21"/>
                <w:lang w:val="en-US" w:eastAsia="zh-CN"/>
              </w:rPr>
              <w:t>/</w:t>
            </w:r>
            <w:r>
              <w:rPr>
                <w:rFonts w:hint="default" w:ascii="Times New Roman" w:hAnsi="Times New Roman" w:eastAsia="宋体" w:cs="Times New Roman"/>
                <w:color w:val="auto"/>
                <w:kern w:val="2"/>
                <w:sz w:val="18"/>
                <w:szCs w:val="21"/>
              </w:rPr>
              <w:t xml:space="preserve">  m</w:t>
            </w:r>
          </w:p>
        </w:tc>
      </w:tr>
      <w:tr w14:paraId="19E21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547" w:type="pct"/>
            <w:vMerge w:val="continue"/>
            <w:noWrap w:val="0"/>
            <w:vAlign w:val="center"/>
          </w:tcPr>
          <w:p w14:paraId="46687CE9">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noWrap w:val="0"/>
            <w:vAlign w:val="center"/>
          </w:tcPr>
          <w:p w14:paraId="644AEBE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地表水</w:t>
            </w:r>
          </w:p>
        </w:tc>
        <w:tc>
          <w:tcPr>
            <w:tcW w:w="3685" w:type="pct"/>
            <w:gridSpan w:val="20"/>
            <w:noWrap w:val="0"/>
            <w:vAlign w:val="center"/>
          </w:tcPr>
          <w:p w14:paraId="2BECB6C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最近环境敏感目标   </w:t>
            </w:r>
            <w:r>
              <w:rPr>
                <w:rFonts w:hint="default" w:ascii="Times New Roman" w:hAnsi="Times New Roman" w:eastAsia="宋体" w:cs="Times New Roman"/>
                <w:color w:val="auto"/>
                <w:kern w:val="2"/>
                <w:sz w:val="18"/>
                <w:szCs w:val="21"/>
                <w:lang w:val="en-US" w:eastAsia="zh-CN"/>
              </w:rPr>
              <w:t>/</w:t>
            </w:r>
            <w:r>
              <w:rPr>
                <w:rFonts w:hint="default" w:ascii="Times New Roman" w:hAnsi="Times New Roman" w:eastAsia="宋体" w:cs="Times New Roman"/>
                <w:color w:val="auto"/>
                <w:kern w:val="2"/>
                <w:sz w:val="18"/>
                <w:szCs w:val="21"/>
              </w:rPr>
              <w:t xml:space="preserve">   ，到达时间    </w:t>
            </w:r>
            <w:r>
              <w:rPr>
                <w:rFonts w:hint="default" w:ascii="Times New Roman" w:hAnsi="Times New Roman" w:eastAsia="宋体" w:cs="Times New Roman"/>
                <w:color w:val="auto"/>
                <w:kern w:val="2"/>
                <w:sz w:val="18"/>
                <w:szCs w:val="21"/>
                <w:lang w:val="en-US" w:eastAsia="zh-CN"/>
              </w:rPr>
              <w:t>/</w:t>
            </w:r>
            <w:r>
              <w:rPr>
                <w:rFonts w:hint="default" w:ascii="Times New Roman" w:hAnsi="Times New Roman" w:eastAsia="宋体" w:cs="Times New Roman"/>
                <w:color w:val="auto"/>
                <w:kern w:val="2"/>
                <w:sz w:val="18"/>
                <w:szCs w:val="21"/>
              </w:rPr>
              <w:t xml:space="preserve">  h</w:t>
            </w:r>
          </w:p>
        </w:tc>
      </w:tr>
      <w:tr w14:paraId="70DF2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547" w:type="pct"/>
            <w:vMerge w:val="continue"/>
            <w:noWrap w:val="0"/>
            <w:vAlign w:val="center"/>
          </w:tcPr>
          <w:p w14:paraId="1B7FBE8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restart"/>
            <w:noWrap w:val="0"/>
            <w:vAlign w:val="center"/>
          </w:tcPr>
          <w:p w14:paraId="1C5C6BD8">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地下水</w:t>
            </w:r>
          </w:p>
        </w:tc>
        <w:tc>
          <w:tcPr>
            <w:tcW w:w="3685" w:type="pct"/>
            <w:gridSpan w:val="20"/>
            <w:noWrap w:val="0"/>
            <w:vAlign w:val="center"/>
          </w:tcPr>
          <w:p w14:paraId="57268A7C">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下游厂区边界到达时间   </w:t>
            </w:r>
            <w:r>
              <w:rPr>
                <w:rFonts w:hint="default" w:ascii="Times New Roman" w:hAnsi="Times New Roman" w:eastAsia="宋体" w:cs="Times New Roman"/>
                <w:color w:val="auto"/>
                <w:kern w:val="2"/>
                <w:sz w:val="18"/>
                <w:szCs w:val="21"/>
                <w:lang w:val="en-US" w:eastAsia="zh-CN"/>
              </w:rPr>
              <w:t>/</w:t>
            </w:r>
            <w:r>
              <w:rPr>
                <w:rFonts w:hint="default" w:ascii="Times New Roman" w:hAnsi="Times New Roman" w:eastAsia="宋体" w:cs="Times New Roman"/>
                <w:color w:val="auto"/>
                <w:kern w:val="2"/>
                <w:sz w:val="18"/>
                <w:szCs w:val="21"/>
              </w:rPr>
              <w:t xml:space="preserve">   d</w:t>
            </w:r>
          </w:p>
        </w:tc>
      </w:tr>
      <w:tr w14:paraId="27174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547" w:type="pct"/>
            <w:vMerge w:val="continue"/>
            <w:noWrap w:val="0"/>
            <w:vAlign w:val="center"/>
          </w:tcPr>
          <w:p w14:paraId="7CB3137A">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766" w:type="pct"/>
            <w:vMerge w:val="continue"/>
            <w:noWrap w:val="0"/>
            <w:vAlign w:val="center"/>
          </w:tcPr>
          <w:p w14:paraId="5E451F5B">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p>
        </w:tc>
        <w:tc>
          <w:tcPr>
            <w:tcW w:w="3685" w:type="pct"/>
            <w:gridSpan w:val="20"/>
            <w:noWrap w:val="0"/>
            <w:vAlign w:val="center"/>
          </w:tcPr>
          <w:p w14:paraId="62BFF672">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 xml:space="preserve">最近环境敏感目标  </w:t>
            </w:r>
            <w:r>
              <w:rPr>
                <w:rFonts w:hint="default" w:ascii="Times New Roman" w:hAnsi="Times New Roman" w:eastAsia="宋体" w:cs="Times New Roman"/>
                <w:color w:val="auto"/>
                <w:kern w:val="2"/>
                <w:sz w:val="18"/>
                <w:szCs w:val="21"/>
                <w:lang w:val="en-US" w:eastAsia="zh-CN"/>
              </w:rPr>
              <w:t>/</w:t>
            </w:r>
            <w:r>
              <w:rPr>
                <w:rFonts w:hint="default" w:ascii="Times New Roman" w:hAnsi="Times New Roman" w:eastAsia="宋体" w:cs="Times New Roman"/>
                <w:color w:val="auto"/>
                <w:kern w:val="2"/>
                <w:sz w:val="18"/>
                <w:szCs w:val="21"/>
              </w:rPr>
              <w:t xml:space="preserve">    ，到达时间  </w:t>
            </w:r>
            <w:r>
              <w:rPr>
                <w:rFonts w:hint="default" w:ascii="Times New Roman" w:hAnsi="Times New Roman" w:eastAsia="宋体" w:cs="Times New Roman"/>
                <w:color w:val="auto"/>
                <w:kern w:val="2"/>
                <w:sz w:val="18"/>
                <w:szCs w:val="21"/>
                <w:lang w:val="en-US" w:eastAsia="zh-CN"/>
              </w:rPr>
              <w:t>/</w:t>
            </w:r>
            <w:r>
              <w:rPr>
                <w:rFonts w:hint="default" w:ascii="Times New Roman" w:hAnsi="Times New Roman" w:eastAsia="宋体" w:cs="Times New Roman"/>
                <w:color w:val="auto"/>
                <w:kern w:val="2"/>
                <w:sz w:val="18"/>
                <w:szCs w:val="21"/>
              </w:rPr>
              <w:t xml:space="preserve">    d</w:t>
            </w:r>
          </w:p>
        </w:tc>
      </w:tr>
      <w:tr w14:paraId="64EB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1314" w:type="pct"/>
            <w:gridSpan w:val="2"/>
            <w:noWrap w:val="0"/>
            <w:vAlign w:val="center"/>
          </w:tcPr>
          <w:p w14:paraId="58DBE451">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重点风险防范措施</w:t>
            </w:r>
          </w:p>
        </w:tc>
        <w:tc>
          <w:tcPr>
            <w:tcW w:w="3685" w:type="pct"/>
            <w:gridSpan w:val="20"/>
            <w:noWrap w:val="0"/>
            <w:vAlign w:val="center"/>
          </w:tcPr>
          <w:p w14:paraId="18D0842D">
            <w:pPr>
              <w:topLinePunct w:val="0"/>
              <w:adjustRightInd/>
              <w:spacing w:before="31" w:beforeLines="10" w:after="31" w:afterLines="10" w:line="0" w:lineRule="atLeast"/>
              <w:ind w:left="0" w:leftChars="0" w:firstLine="0" w:firstLineChars="0"/>
              <w:jc w:val="both"/>
              <w:rPr>
                <w:rFonts w:hint="default" w:ascii="Times New Roman" w:hAnsi="Times New Roman" w:eastAsia="宋体" w:cs="Times New Roman"/>
                <w:color w:val="auto"/>
                <w:kern w:val="2"/>
                <w:sz w:val="18"/>
                <w:szCs w:val="21"/>
                <w:lang w:eastAsia="zh-CN"/>
              </w:rPr>
            </w:pPr>
            <w:r>
              <w:rPr>
                <w:rFonts w:hint="default" w:ascii="Times New Roman" w:hAnsi="Times New Roman" w:eastAsia="宋体" w:cs="Times New Roman"/>
                <w:color w:val="auto"/>
                <w:kern w:val="2"/>
                <w:sz w:val="18"/>
                <w:szCs w:val="21"/>
              </w:rPr>
              <w:t>锅炉启炉点火采用炉下油点火系统，本</w:t>
            </w:r>
            <w:r>
              <w:rPr>
                <w:rFonts w:hint="default" w:ascii="Times New Roman" w:hAnsi="Times New Roman" w:eastAsia="宋体" w:cs="Times New Roman"/>
                <w:color w:val="auto"/>
                <w:kern w:val="2"/>
                <w:sz w:val="18"/>
                <w:szCs w:val="21"/>
                <w:lang w:val="en-US" w:eastAsia="zh-CN"/>
              </w:rPr>
              <w:t>期工程厂区内</w:t>
            </w:r>
            <w:r>
              <w:rPr>
                <w:rFonts w:hint="default" w:ascii="Times New Roman" w:hAnsi="Times New Roman" w:eastAsia="宋体" w:cs="Times New Roman"/>
                <w:color w:val="auto"/>
                <w:kern w:val="2"/>
                <w:sz w:val="18"/>
                <w:szCs w:val="21"/>
              </w:rPr>
              <w:t>不设储油罐，由燃油公司的油罐车将</w:t>
            </w:r>
            <w:r>
              <w:rPr>
                <w:rFonts w:hint="default" w:ascii="Times New Roman" w:hAnsi="Times New Roman" w:eastAsia="宋体" w:cs="Times New Roman"/>
                <w:color w:val="auto"/>
                <w:kern w:val="2"/>
                <w:sz w:val="18"/>
                <w:szCs w:val="21"/>
                <w:lang w:val="en-US" w:eastAsia="zh-CN"/>
              </w:rPr>
              <w:t>柴油</w:t>
            </w:r>
            <w:r>
              <w:rPr>
                <w:rFonts w:hint="default" w:ascii="Times New Roman" w:hAnsi="Times New Roman" w:eastAsia="宋体" w:cs="Times New Roman"/>
                <w:color w:val="auto"/>
                <w:kern w:val="2"/>
                <w:sz w:val="18"/>
                <w:szCs w:val="21"/>
              </w:rPr>
              <w:t>直接运至厂内，</w:t>
            </w:r>
            <w:r>
              <w:rPr>
                <w:rFonts w:hint="default" w:ascii="Times New Roman" w:hAnsi="Times New Roman" w:eastAsia="宋体" w:cs="Times New Roman"/>
                <w:color w:val="auto"/>
                <w:kern w:val="2"/>
                <w:sz w:val="18"/>
                <w:szCs w:val="21"/>
                <w:lang w:val="en-US" w:eastAsia="zh-CN"/>
              </w:rPr>
              <w:t>柴</w:t>
            </w:r>
            <w:r>
              <w:rPr>
                <w:rFonts w:hint="default" w:ascii="Times New Roman" w:hAnsi="Times New Roman" w:eastAsia="宋体" w:cs="Times New Roman"/>
                <w:color w:val="auto"/>
                <w:kern w:val="2"/>
                <w:sz w:val="18"/>
                <w:szCs w:val="21"/>
              </w:rPr>
              <w:t>油经燃油泵升压点火即可满足要求</w:t>
            </w:r>
            <w:r>
              <w:rPr>
                <w:rFonts w:hint="eastAsia" w:ascii="Times New Roman" w:hAnsi="Times New Roman" w:eastAsia="宋体" w:cs="Times New Roman"/>
                <w:color w:val="auto"/>
                <w:kern w:val="2"/>
                <w:sz w:val="18"/>
                <w:szCs w:val="21"/>
                <w:lang w:eastAsia="zh-CN"/>
              </w:rPr>
              <w:t>。危险废物贮存点采取重点防渗，防止地下水污染。</w:t>
            </w:r>
            <w:r>
              <w:rPr>
                <w:rFonts w:hint="default" w:ascii="Times New Roman" w:hAnsi="Times New Roman" w:eastAsia="宋体" w:cs="Times New Roman"/>
                <w:color w:val="auto"/>
                <w:kern w:val="2"/>
                <w:sz w:val="18"/>
                <w:szCs w:val="21"/>
                <w:lang w:val="en-US" w:eastAsia="zh-CN"/>
              </w:rPr>
              <w:t>本项目对环境风险影响较小。</w:t>
            </w:r>
          </w:p>
        </w:tc>
      </w:tr>
      <w:tr w14:paraId="212ED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314" w:type="pct"/>
            <w:gridSpan w:val="2"/>
            <w:noWrap w:val="0"/>
            <w:vAlign w:val="center"/>
          </w:tcPr>
          <w:p w14:paraId="01ED1797">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评价结论与建议</w:t>
            </w:r>
          </w:p>
        </w:tc>
        <w:tc>
          <w:tcPr>
            <w:tcW w:w="3685" w:type="pct"/>
            <w:gridSpan w:val="20"/>
            <w:noWrap w:val="0"/>
            <w:vAlign w:val="center"/>
          </w:tcPr>
          <w:p w14:paraId="27FDC7BD">
            <w:pPr>
              <w:topLinePunct w:val="0"/>
              <w:adjustRightInd/>
              <w:spacing w:before="31" w:beforeLines="10" w:after="31" w:afterLines="10" w:line="0" w:lineRule="atLeast"/>
              <w:ind w:left="0" w:leftChars="0" w:firstLine="0" w:firstLineChars="0"/>
              <w:jc w:val="both"/>
              <w:rPr>
                <w:rFonts w:hint="default" w:ascii="Times New Roman" w:hAnsi="Times New Roman" w:eastAsia="宋体" w:cs="Times New Roman"/>
                <w:color w:val="auto"/>
                <w:kern w:val="2"/>
                <w:sz w:val="18"/>
                <w:szCs w:val="21"/>
                <w:lang w:eastAsia="zh-CN"/>
              </w:rPr>
            </w:pPr>
            <w:r>
              <w:rPr>
                <w:rFonts w:hint="default" w:ascii="Times New Roman" w:hAnsi="Times New Roman" w:eastAsia="宋体" w:cs="Times New Roman"/>
                <w:color w:val="auto"/>
                <w:kern w:val="2"/>
                <w:sz w:val="18"/>
                <w:szCs w:val="21"/>
              </w:rPr>
              <w:t>针对各类危险物料的性质和可能发生的事故类型，本评价提出相应的风险防范措施和应急预案，在落实报告书中提出的事故风险防范措施，完善应急预案的，严格执行遵守风险管理制度和操作规程，就能保证本项目生产区及贮存区的环境风险防范水平，满足国家有关环境保护和安全法规、标准的要求，使本项目的环境风险达到可接受的水平，本项目环境风险事故为可接受水平</w:t>
            </w:r>
            <w:r>
              <w:rPr>
                <w:rFonts w:hint="default" w:ascii="Times New Roman" w:hAnsi="Times New Roman" w:eastAsia="宋体" w:cs="Times New Roman"/>
                <w:color w:val="auto"/>
                <w:kern w:val="2"/>
                <w:sz w:val="18"/>
                <w:szCs w:val="21"/>
                <w:lang w:eastAsia="zh-CN"/>
              </w:rPr>
              <w:t>。</w:t>
            </w:r>
          </w:p>
        </w:tc>
      </w:tr>
      <w:tr w14:paraId="7104B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5000" w:type="pct"/>
            <w:gridSpan w:val="22"/>
            <w:noWrap w:val="0"/>
            <w:vAlign w:val="center"/>
          </w:tcPr>
          <w:p w14:paraId="11A37014">
            <w:pPr>
              <w:topLinePunct w:val="0"/>
              <w:adjustRightInd/>
              <w:spacing w:before="31" w:beforeLines="10" w:after="31" w:afterLines="10" w:line="0" w:lineRule="atLeast"/>
              <w:ind w:left="0" w:leftChars="0" w:firstLine="0" w:firstLineChars="0"/>
              <w:jc w:val="center"/>
              <w:rPr>
                <w:rFonts w:hint="default" w:ascii="Times New Roman" w:hAnsi="Times New Roman" w:eastAsia="宋体" w:cs="Times New Roman"/>
                <w:color w:val="auto"/>
                <w:kern w:val="2"/>
                <w:sz w:val="18"/>
                <w:szCs w:val="21"/>
              </w:rPr>
            </w:pPr>
            <w:r>
              <w:rPr>
                <w:rFonts w:hint="default" w:ascii="Times New Roman" w:hAnsi="Times New Roman" w:eastAsia="宋体" w:cs="Times New Roman"/>
                <w:color w:val="auto"/>
                <w:kern w:val="2"/>
                <w:sz w:val="18"/>
                <w:szCs w:val="21"/>
              </w:rPr>
              <w:t>注：“□”为勾选项，“ ”为填写项。</w:t>
            </w:r>
          </w:p>
        </w:tc>
      </w:tr>
    </w:tbl>
    <w:p w14:paraId="52C9506E">
      <w:pPr>
        <w:keepNext w:val="0"/>
        <w:keepLines w:val="0"/>
        <w:pageBreakBefore w:val="0"/>
        <w:widowControl w:val="0"/>
        <w:kinsoku/>
        <w:wordWrap/>
        <w:overflowPunct/>
        <w:topLinePunct w:val="0"/>
        <w:autoSpaceDE/>
        <w:autoSpaceDN/>
        <w:bidi w:val="0"/>
        <w:adjustRightInd/>
        <w:snapToGrid/>
        <w:spacing w:before="60" w:beforeLines="25" w:after="60" w:afterLines="25" w:line="240" w:lineRule="auto"/>
        <w:ind w:firstLine="0" w:firstLineChars="0"/>
        <w:jc w:val="center"/>
        <w:textAlignment w:val="auto"/>
        <w:outlineLvl w:val="1"/>
        <w:rPr>
          <w:rFonts w:hint="default" w:ascii="Times New Roman" w:hAnsi="Times New Roman" w:eastAsia="宋体" w:cs="Times New Roman"/>
          <w:b/>
          <w:color w:val="auto"/>
          <w:sz w:val="24"/>
          <w:szCs w:val="24"/>
          <w:lang w:val="en-US" w:eastAsia="zh-CN"/>
        </w:rPr>
      </w:pPr>
      <w:bookmarkStart w:id="724" w:name="_Toc10810"/>
      <w:r>
        <w:rPr>
          <w:rFonts w:hint="eastAsia" w:ascii="Times New Roman" w:hAnsi="Times New Roman" w:eastAsia="宋体" w:cs="Times New Roman"/>
          <w:b/>
          <w:color w:val="auto"/>
          <w:sz w:val="24"/>
          <w:szCs w:val="24"/>
          <w:lang w:val="en-US" w:eastAsia="zh-CN"/>
        </w:rPr>
        <w:t>附表6 土壤</w:t>
      </w:r>
      <w:r>
        <w:rPr>
          <w:rFonts w:hint="default" w:ascii="Times New Roman" w:hAnsi="Times New Roman" w:eastAsia="宋体" w:cs="Times New Roman"/>
          <w:b/>
          <w:color w:val="auto"/>
          <w:sz w:val="24"/>
          <w:szCs w:val="24"/>
          <w:lang w:val="en-US" w:eastAsia="zh-CN"/>
        </w:rPr>
        <w:t>环境影响评价自查表</w:t>
      </w:r>
      <w:bookmarkEnd w:id="724"/>
    </w:p>
    <w:tbl>
      <w:tblPr>
        <w:tblStyle w:val="40"/>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5"/>
        <w:gridCol w:w="1537"/>
        <w:gridCol w:w="1540"/>
        <w:gridCol w:w="742"/>
        <w:gridCol w:w="931"/>
        <w:gridCol w:w="708"/>
        <w:gridCol w:w="899"/>
        <w:gridCol w:w="1037"/>
        <w:gridCol w:w="999"/>
      </w:tblGrid>
      <w:tr w14:paraId="2EBE5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102" w:type="dxa"/>
            <w:gridSpan w:val="2"/>
            <w:noWrap w:val="0"/>
            <w:vAlign w:val="center"/>
          </w:tcPr>
          <w:p w14:paraId="3072D106">
            <w:pPr>
              <w:pStyle w:val="153"/>
              <w:snapToGrid w:val="0"/>
              <w:spacing w:line="240" w:lineRule="auto"/>
              <w:ind w:firstLine="0"/>
              <w:jc w:val="center"/>
              <w:textAlignment w:val="auto"/>
              <w:rPr>
                <w:rFonts w:ascii="Times New Roman" w:hAnsi="Times New Roman" w:eastAsia="宋体" w:cs="Times New Roman"/>
                <w:b/>
                <w:color w:val="auto"/>
                <w:sz w:val="18"/>
                <w:szCs w:val="18"/>
              </w:rPr>
            </w:pPr>
            <w:r>
              <w:rPr>
                <w:rFonts w:ascii="Times New Roman" w:hAnsi="Times New Roman" w:eastAsia="宋体" w:cs="Times New Roman"/>
                <w:b/>
                <w:color w:val="auto"/>
                <w:sz w:val="18"/>
                <w:szCs w:val="18"/>
              </w:rPr>
              <w:t>工作内容</w:t>
            </w:r>
          </w:p>
        </w:tc>
        <w:tc>
          <w:tcPr>
            <w:tcW w:w="5857" w:type="dxa"/>
            <w:gridSpan w:val="6"/>
            <w:noWrap w:val="0"/>
            <w:vAlign w:val="center"/>
          </w:tcPr>
          <w:p w14:paraId="468DE8C0">
            <w:pPr>
              <w:pStyle w:val="153"/>
              <w:snapToGrid w:val="0"/>
              <w:spacing w:line="240" w:lineRule="auto"/>
              <w:ind w:left="0" w:leftChars="0" w:firstLine="0" w:firstLineChars="0"/>
              <w:jc w:val="center"/>
              <w:textAlignment w:val="auto"/>
              <w:rPr>
                <w:rFonts w:hint="eastAsia" w:ascii="Times New Roman" w:hAnsi="Times New Roman" w:eastAsia="宋体" w:cs="Times New Roman"/>
                <w:b/>
                <w:color w:val="auto"/>
                <w:sz w:val="18"/>
                <w:szCs w:val="18"/>
                <w:lang w:eastAsia="zh-CN"/>
              </w:rPr>
            </w:pPr>
            <w:r>
              <w:rPr>
                <w:rFonts w:hint="eastAsia" w:eastAsia="宋体" w:cs="Times New Roman"/>
                <w:b/>
                <w:color w:val="auto"/>
                <w:sz w:val="18"/>
                <w:szCs w:val="18"/>
                <w:lang w:eastAsia="zh-CN"/>
              </w:rPr>
              <w:t>完成情况</w:t>
            </w:r>
          </w:p>
        </w:tc>
        <w:tc>
          <w:tcPr>
            <w:tcW w:w="999" w:type="dxa"/>
            <w:noWrap w:val="0"/>
            <w:vAlign w:val="center"/>
          </w:tcPr>
          <w:p w14:paraId="1D7ED306">
            <w:pPr>
              <w:pStyle w:val="153"/>
              <w:snapToGrid w:val="0"/>
              <w:spacing w:line="240" w:lineRule="auto"/>
              <w:ind w:left="0" w:leftChars="0" w:firstLine="0" w:firstLineChars="0"/>
              <w:jc w:val="center"/>
              <w:textAlignment w:val="auto"/>
              <w:rPr>
                <w:rFonts w:hint="eastAsia" w:ascii="Times New Roman" w:hAnsi="Times New Roman" w:eastAsia="宋体" w:cs="Times New Roman"/>
                <w:b/>
                <w:color w:val="auto"/>
                <w:sz w:val="18"/>
                <w:szCs w:val="18"/>
                <w:lang w:eastAsia="zh-CN"/>
              </w:rPr>
            </w:pPr>
            <w:r>
              <w:rPr>
                <w:rFonts w:hint="eastAsia" w:eastAsia="宋体" w:cs="Times New Roman"/>
                <w:b/>
                <w:color w:val="auto"/>
                <w:sz w:val="18"/>
                <w:szCs w:val="18"/>
                <w:lang w:eastAsia="zh-CN"/>
              </w:rPr>
              <w:t>备注</w:t>
            </w:r>
          </w:p>
        </w:tc>
      </w:tr>
      <w:tr w14:paraId="02049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restart"/>
            <w:noWrap w:val="0"/>
            <w:vAlign w:val="center"/>
          </w:tcPr>
          <w:p w14:paraId="2DB71B13">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影响识别</w:t>
            </w:r>
          </w:p>
        </w:tc>
        <w:tc>
          <w:tcPr>
            <w:tcW w:w="1537" w:type="dxa"/>
            <w:noWrap w:val="0"/>
            <w:vAlign w:val="center"/>
          </w:tcPr>
          <w:p w14:paraId="6A84300C">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影响类型</w:t>
            </w:r>
          </w:p>
        </w:tc>
        <w:tc>
          <w:tcPr>
            <w:tcW w:w="5857" w:type="dxa"/>
            <w:gridSpan w:val="6"/>
            <w:noWrap w:val="0"/>
            <w:vAlign w:val="center"/>
          </w:tcPr>
          <w:p w14:paraId="66460350">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污染影响型</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；生态影响型</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；两种兼有</w:t>
            </w:r>
            <w:r>
              <w:rPr>
                <w:rFonts w:hint="eastAsia" w:ascii="Times New Roman" w:hAnsi="Times New Roman" w:eastAsia="宋体" w:cs="Times New Roman"/>
                <w:color w:val="auto"/>
                <w:sz w:val="18"/>
                <w:szCs w:val="18"/>
                <w:lang w:eastAsia="zh-CN"/>
              </w:rPr>
              <w:sym w:font="Wingdings 2" w:char="00A3"/>
            </w:r>
          </w:p>
        </w:tc>
        <w:tc>
          <w:tcPr>
            <w:tcW w:w="999" w:type="dxa"/>
            <w:noWrap w:val="0"/>
            <w:vAlign w:val="center"/>
          </w:tcPr>
          <w:p w14:paraId="637A2F62">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0B106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565" w:type="dxa"/>
            <w:vMerge w:val="continue"/>
            <w:noWrap w:val="0"/>
            <w:vAlign w:val="center"/>
          </w:tcPr>
          <w:p w14:paraId="75BC10C2">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4157EF11">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土地利用类型</w:t>
            </w:r>
          </w:p>
        </w:tc>
        <w:tc>
          <w:tcPr>
            <w:tcW w:w="5857" w:type="dxa"/>
            <w:gridSpan w:val="6"/>
            <w:noWrap w:val="0"/>
            <w:vAlign w:val="center"/>
          </w:tcPr>
          <w:p w14:paraId="436C4B9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建设用地</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；农用地</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；未利用地</w:t>
            </w:r>
            <w:r>
              <w:rPr>
                <w:rFonts w:hint="eastAsia" w:ascii="Times New Roman" w:hAnsi="Times New Roman" w:eastAsia="宋体" w:cs="Times New Roman"/>
                <w:color w:val="auto"/>
                <w:sz w:val="18"/>
                <w:szCs w:val="18"/>
                <w:lang w:eastAsia="zh-CN"/>
              </w:rPr>
              <w:sym w:font="Wingdings 2" w:char="00A3"/>
            </w:r>
          </w:p>
        </w:tc>
        <w:tc>
          <w:tcPr>
            <w:tcW w:w="999" w:type="dxa"/>
            <w:noWrap w:val="0"/>
            <w:vAlign w:val="center"/>
          </w:tcPr>
          <w:p w14:paraId="7CA3CF65">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土地利用类型图</w:t>
            </w:r>
          </w:p>
        </w:tc>
      </w:tr>
      <w:tr w14:paraId="40749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613BE8A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39A6108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占地规模</w:t>
            </w:r>
          </w:p>
        </w:tc>
        <w:tc>
          <w:tcPr>
            <w:tcW w:w="5857" w:type="dxa"/>
            <w:gridSpan w:val="6"/>
            <w:noWrap w:val="0"/>
            <w:vAlign w:val="center"/>
          </w:tcPr>
          <w:p w14:paraId="4680C59F">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3.44</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hm</w:t>
            </w:r>
            <w:r>
              <w:rPr>
                <w:rFonts w:hint="eastAsia" w:ascii="Times New Roman" w:hAnsi="Times New Roman" w:eastAsia="宋体" w:cs="Times New Roman"/>
                <w:color w:val="auto"/>
                <w:sz w:val="18"/>
                <w:szCs w:val="18"/>
                <w:vertAlign w:val="superscript"/>
                <w:lang w:val="en-US" w:eastAsia="zh-CN"/>
              </w:rPr>
              <w:t>2</w:t>
            </w:r>
          </w:p>
        </w:tc>
        <w:tc>
          <w:tcPr>
            <w:tcW w:w="999" w:type="dxa"/>
            <w:noWrap w:val="0"/>
            <w:vAlign w:val="center"/>
          </w:tcPr>
          <w:p w14:paraId="00F3D07C">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18610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565" w:type="dxa"/>
            <w:vMerge w:val="continue"/>
            <w:noWrap w:val="0"/>
            <w:vAlign w:val="center"/>
          </w:tcPr>
          <w:p w14:paraId="6B2100D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6EB824E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敏感目标信息</w:t>
            </w:r>
          </w:p>
        </w:tc>
        <w:tc>
          <w:tcPr>
            <w:tcW w:w="5857" w:type="dxa"/>
            <w:gridSpan w:val="6"/>
            <w:noWrap w:val="0"/>
            <w:vAlign w:val="center"/>
          </w:tcPr>
          <w:p w14:paraId="4E28B3F9">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敏感目标（厂区占地范围内土壤环境以及厂界四周 0.</w:t>
            </w:r>
            <w:r>
              <w:rPr>
                <w:rFonts w:hint="eastAsia" w:eastAsia="宋体" w:cs="Times New Roman"/>
                <w:color w:val="auto"/>
                <w:sz w:val="18"/>
                <w:szCs w:val="18"/>
                <w:lang w:val="en-US" w:eastAsia="zh-CN"/>
              </w:rPr>
              <w:t>0</w:t>
            </w:r>
            <w:r>
              <w:rPr>
                <w:rFonts w:hint="eastAsia" w:ascii="Times New Roman" w:hAnsi="Times New Roman" w:eastAsia="宋体" w:cs="Times New Roman"/>
                <w:color w:val="auto"/>
                <w:sz w:val="18"/>
                <w:szCs w:val="18"/>
                <w:lang w:eastAsia="zh-CN"/>
              </w:rPr>
              <w:t>5km 范</w:t>
            </w:r>
          </w:p>
          <w:p w14:paraId="7CD4A3B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围内）、方位（）、距离（）</w:t>
            </w:r>
          </w:p>
        </w:tc>
        <w:tc>
          <w:tcPr>
            <w:tcW w:w="999" w:type="dxa"/>
            <w:noWrap w:val="0"/>
            <w:vAlign w:val="center"/>
          </w:tcPr>
          <w:p w14:paraId="3BBF05A3">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467DD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0BD15807">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052B306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影响途径</w:t>
            </w:r>
          </w:p>
        </w:tc>
        <w:tc>
          <w:tcPr>
            <w:tcW w:w="5857" w:type="dxa"/>
            <w:gridSpan w:val="6"/>
            <w:noWrap w:val="0"/>
            <w:vAlign w:val="center"/>
          </w:tcPr>
          <w:p w14:paraId="62C88753">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大气沉降</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；地面漫流</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；垂直入渗</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；地下水位</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；其他（</w:t>
            </w:r>
            <w:r>
              <w:rPr>
                <w:rFonts w:hint="eastAsia" w:ascii="Times New Roman" w:hAnsi="Times New Roman" w:eastAsia="宋体" w:cs="Times New Roman"/>
                <w:color w:val="auto"/>
                <w:sz w:val="18"/>
                <w:szCs w:val="18"/>
                <w:lang w:val="en-US" w:eastAsia="zh-CN"/>
              </w:rPr>
              <w:t xml:space="preserve">   </w:t>
            </w:r>
            <w:r>
              <w:rPr>
                <w:rFonts w:hint="eastAsia" w:ascii="Times New Roman" w:hAnsi="Times New Roman" w:eastAsia="宋体" w:cs="Times New Roman"/>
                <w:color w:val="auto"/>
                <w:sz w:val="18"/>
                <w:szCs w:val="18"/>
                <w:lang w:eastAsia="zh-CN"/>
              </w:rPr>
              <w:t>）</w:t>
            </w:r>
          </w:p>
        </w:tc>
        <w:tc>
          <w:tcPr>
            <w:tcW w:w="999" w:type="dxa"/>
            <w:noWrap w:val="0"/>
            <w:vAlign w:val="center"/>
          </w:tcPr>
          <w:p w14:paraId="51C9FD95">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04B47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2" w:hRule="atLeast"/>
          <w:jc w:val="center"/>
        </w:trPr>
        <w:tc>
          <w:tcPr>
            <w:tcW w:w="565" w:type="dxa"/>
            <w:vMerge w:val="continue"/>
            <w:noWrap w:val="0"/>
            <w:vAlign w:val="center"/>
          </w:tcPr>
          <w:p w14:paraId="41F8D510">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30291DA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全部污染物</w:t>
            </w:r>
          </w:p>
        </w:tc>
        <w:tc>
          <w:tcPr>
            <w:tcW w:w="5857" w:type="dxa"/>
            <w:gridSpan w:val="6"/>
            <w:noWrap w:val="0"/>
            <w:vAlign w:val="center"/>
          </w:tcPr>
          <w:p w14:paraId="32880623">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又名1，2-苯并菲）、二苯并[a,h]蒽、茚并[1,2,3-cd]芘、萘、pH</w:t>
            </w:r>
          </w:p>
        </w:tc>
        <w:tc>
          <w:tcPr>
            <w:tcW w:w="999" w:type="dxa"/>
            <w:noWrap w:val="0"/>
            <w:vAlign w:val="center"/>
          </w:tcPr>
          <w:p w14:paraId="0E78A1A9">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16AD8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0CC4D99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7BF02EB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特征因子</w:t>
            </w:r>
          </w:p>
        </w:tc>
        <w:tc>
          <w:tcPr>
            <w:tcW w:w="5857" w:type="dxa"/>
            <w:gridSpan w:val="6"/>
            <w:noWrap w:val="0"/>
            <w:vAlign w:val="center"/>
          </w:tcPr>
          <w:p w14:paraId="1DBD7EB8">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汞</w:t>
            </w:r>
          </w:p>
        </w:tc>
        <w:tc>
          <w:tcPr>
            <w:tcW w:w="999" w:type="dxa"/>
            <w:noWrap w:val="0"/>
            <w:vAlign w:val="center"/>
          </w:tcPr>
          <w:p w14:paraId="2AEBE06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25D69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565" w:type="dxa"/>
            <w:vMerge w:val="continue"/>
            <w:noWrap w:val="0"/>
            <w:vAlign w:val="center"/>
          </w:tcPr>
          <w:p w14:paraId="42526D57">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34010B8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所属土壤环境影响评价项目类别</w:t>
            </w:r>
          </w:p>
        </w:tc>
        <w:tc>
          <w:tcPr>
            <w:tcW w:w="5857" w:type="dxa"/>
            <w:gridSpan w:val="6"/>
            <w:noWrap w:val="0"/>
            <w:vAlign w:val="center"/>
          </w:tcPr>
          <w:p w14:paraId="30E13D29">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Ⅰ类</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；Ⅱ类</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；Ⅲ类</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；Ⅳ类</w:t>
            </w:r>
            <w:r>
              <w:rPr>
                <w:rFonts w:hint="eastAsia" w:ascii="Times New Roman" w:hAnsi="Times New Roman" w:eastAsia="宋体" w:cs="Times New Roman"/>
                <w:color w:val="auto"/>
                <w:sz w:val="18"/>
                <w:szCs w:val="18"/>
                <w:lang w:eastAsia="zh-CN"/>
              </w:rPr>
              <w:sym w:font="Wingdings 2" w:char="00A3"/>
            </w:r>
          </w:p>
        </w:tc>
        <w:tc>
          <w:tcPr>
            <w:tcW w:w="999" w:type="dxa"/>
            <w:noWrap w:val="0"/>
            <w:vAlign w:val="center"/>
          </w:tcPr>
          <w:p w14:paraId="644B1111">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6C35E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37E288E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2F9708A4">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敏感程度</w:t>
            </w:r>
          </w:p>
        </w:tc>
        <w:tc>
          <w:tcPr>
            <w:tcW w:w="5857" w:type="dxa"/>
            <w:gridSpan w:val="6"/>
            <w:noWrap w:val="0"/>
            <w:vAlign w:val="center"/>
          </w:tcPr>
          <w:p w14:paraId="34B44AF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敏感</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；较敏感</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；不敏感</w:t>
            </w:r>
            <w:r>
              <w:rPr>
                <w:rFonts w:hint="eastAsia" w:ascii="Times New Roman" w:hAnsi="Times New Roman" w:eastAsia="宋体" w:cs="Times New Roman"/>
                <w:color w:val="auto"/>
                <w:sz w:val="18"/>
                <w:szCs w:val="18"/>
                <w:lang w:eastAsia="zh-CN"/>
              </w:rPr>
              <w:sym w:font="Wingdings 2" w:char="00A3"/>
            </w:r>
          </w:p>
        </w:tc>
        <w:tc>
          <w:tcPr>
            <w:tcW w:w="999" w:type="dxa"/>
            <w:noWrap w:val="0"/>
            <w:vAlign w:val="center"/>
          </w:tcPr>
          <w:p w14:paraId="07D824E9">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587F9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102" w:type="dxa"/>
            <w:gridSpan w:val="2"/>
            <w:noWrap w:val="0"/>
            <w:vAlign w:val="center"/>
          </w:tcPr>
          <w:p w14:paraId="344F73A0">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评价工作等级</w:t>
            </w:r>
          </w:p>
        </w:tc>
        <w:tc>
          <w:tcPr>
            <w:tcW w:w="5857" w:type="dxa"/>
            <w:gridSpan w:val="6"/>
            <w:noWrap w:val="0"/>
            <w:vAlign w:val="center"/>
          </w:tcPr>
          <w:p w14:paraId="3BAB35AC">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一级</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；二级</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；三级</w:t>
            </w:r>
            <w:r>
              <w:rPr>
                <w:rFonts w:hint="eastAsia" w:ascii="Times New Roman" w:hAnsi="Times New Roman" w:eastAsia="宋体" w:cs="Times New Roman"/>
                <w:color w:val="auto"/>
                <w:sz w:val="18"/>
                <w:szCs w:val="18"/>
                <w:lang w:eastAsia="zh-CN"/>
              </w:rPr>
              <w:sym w:font="Wingdings 2" w:char="0052"/>
            </w:r>
          </w:p>
        </w:tc>
        <w:tc>
          <w:tcPr>
            <w:tcW w:w="999" w:type="dxa"/>
            <w:noWrap w:val="0"/>
            <w:vAlign w:val="center"/>
          </w:tcPr>
          <w:p w14:paraId="039ECBA2">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05131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restart"/>
            <w:noWrap w:val="0"/>
            <w:vAlign w:val="center"/>
          </w:tcPr>
          <w:p w14:paraId="3E59BBA1">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现状调查内容</w:t>
            </w:r>
          </w:p>
        </w:tc>
        <w:tc>
          <w:tcPr>
            <w:tcW w:w="1537" w:type="dxa"/>
            <w:noWrap w:val="0"/>
            <w:vAlign w:val="center"/>
          </w:tcPr>
          <w:p w14:paraId="079B7E27">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资料收集</w:t>
            </w:r>
          </w:p>
        </w:tc>
        <w:tc>
          <w:tcPr>
            <w:tcW w:w="5857" w:type="dxa"/>
            <w:gridSpan w:val="6"/>
            <w:noWrap w:val="0"/>
            <w:vAlign w:val="center"/>
          </w:tcPr>
          <w:p w14:paraId="07358F72">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a）</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b）</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c）</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d）</w:t>
            </w:r>
            <w:r>
              <w:rPr>
                <w:rFonts w:hint="eastAsia" w:ascii="Times New Roman" w:hAnsi="Times New Roman" w:eastAsia="宋体" w:cs="Times New Roman"/>
                <w:color w:val="auto"/>
                <w:sz w:val="18"/>
                <w:szCs w:val="18"/>
                <w:lang w:eastAsia="zh-CN"/>
              </w:rPr>
              <w:sym w:font="Wingdings 2" w:char="0052"/>
            </w:r>
          </w:p>
        </w:tc>
        <w:tc>
          <w:tcPr>
            <w:tcW w:w="999" w:type="dxa"/>
            <w:noWrap w:val="0"/>
            <w:vAlign w:val="center"/>
          </w:tcPr>
          <w:p w14:paraId="7F2BE2EF">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4CB30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7F994BC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71F6383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理化特性</w:t>
            </w:r>
          </w:p>
        </w:tc>
        <w:tc>
          <w:tcPr>
            <w:tcW w:w="5857" w:type="dxa"/>
            <w:gridSpan w:val="6"/>
            <w:noWrap w:val="0"/>
            <w:vAlign w:val="center"/>
          </w:tcPr>
          <w:p w14:paraId="5AFAC3C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eastAsia="宋体" w:cs="Times New Roman"/>
                <w:color w:val="auto"/>
                <w:sz w:val="18"/>
                <w:szCs w:val="18"/>
                <w:lang w:val="en-US" w:eastAsia="zh-CN"/>
              </w:rPr>
              <w:t>检测报告</w:t>
            </w:r>
          </w:p>
        </w:tc>
        <w:tc>
          <w:tcPr>
            <w:tcW w:w="999" w:type="dxa"/>
            <w:noWrap w:val="0"/>
            <w:vAlign w:val="center"/>
          </w:tcPr>
          <w:p w14:paraId="5F8D726A">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同附录</w:t>
            </w:r>
            <w:r>
              <w:rPr>
                <w:rFonts w:hint="eastAsia" w:ascii="Times New Roman" w:hAnsi="Times New Roman" w:eastAsia="宋体" w:cs="Times New Roman"/>
                <w:color w:val="auto"/>
                <w:sz w:val="18"/>
                <w:szCs w:val="18"/>
                <w:lang w:val="en-US" w:eastAsia="zh-CN"/>
              </w:rPr>
              <w:t>C</w:t>
            </w:r>
          </w:p>
        </w:tc>
      </w:tr>
      <w:tr w14:paraId="3AEDD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1C04DA14">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vMerge w:val="restart"/>
            <w:noWrap w:val="0"/>
            <w:vAlign w:val="center"/>
          </w:tcPr>
          <w:p w14:paraId="48B9E38D">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现状监测点位</w:t>
            </w:r>
          </w:p>
        </w:tc>
        <w:tc>
          <w:tcPr>
            <w:tcW w:w="1540" w:type="dxa"/>
            <w:noWrap w:val="0"/>
            <w:vAlign w:val="center"/>
          </w:tcPr>
          <w:p w14:paraId="6285D7B3">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673" w:type="dxa"/>
            <w:gridSpan w:val="2"/>
            <w:noWrap w:val="0"/>
            <w:vAlign w:val="center"/>
          </w:tcPr>
          <w:p w14:paraId="578BD9C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占地范围内</w:t>
            </w:r>
          </w:p>
        </w:tc>
        <w:tc>
          <w:tcPr>
            <w:tcW w:w="1607" w:type="dxa"/>
            <w:gridSpan w:val="2"/>
            <w:noWrap w:val="0"/>
            <w:vAlign w:val="center"/>
          </w:tcPr>
          <w:p w14:paraId="1D63497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占地范围外</w:t>
            </w:r>
          </w:p>
        </w:tc>
        <w:tc>
          <w:tcPr>
            <w:tcW w:w="1037" w:type="dxa"/>
            <w:noWrap w:val="0"/>
            <w:vAlign w:val="center"/>
          </w:tcPr>
          <w:p w14:paraId="51075C75">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深度</w:t>
            </w:r>
          </w:p>
        </w:tc>
        <w:tc>
          <w:tcPr>
            <w:tcW w:w="999" w:type="dxa"/>
            <w:vMerge w:val="restart"/>
            <w:noWrap w:val="0"/>
            <w:vAlign w:val="center"/>
          </w:tcPr>
          <w:p w14:paraId="0A36F447">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点位</w:t>
            </w:r>
          </w:p>
          <w:p w14:paraId="501B437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布置图</w:t>
            </w:r>
          </w:p>
        </w:tc>
      </w:tr>
      <w:tr w14:paraId="2BD5E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7097DB2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vMerge w:val="continue"/>
            <w:noWrap w:val="0"/>
            <w:vAlign w:val="center"/>
          </w:tcPr>
          <w:p w14:paraId="764C84CC">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40" w:type="dxa"/>
            <w:noWrap w:val="0"/>
            <w:vAlign w:val="center"/>
          </w:tcPr>
          <w:p w14:paraId="5120AAE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表层样点数</w:t>
            </w:r>
          </w:p>
        </w:tc>
        <w:tc>
          <w:tcPr>
            <w:tcW w:w="1673" w:type="dxa"/>
            <w:gridSpan w:val="2"/>
            <w:noWrap w:val="0"/>
            <w:vAlign w:val="center"/>
          </w:tcPr>
          <w:p w14:paraId="61E7FFBB">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w:t>
            </w:r>
          </w:p>
        </w:tc>
        <w:tc>
          <w:tcPr>
            <w:tcW w:w="1607" w:type="dxa"/>
            <w:gridSpan w:val="2"/>
            <w:noWrap w:val="0"/>
            <w:vAlign w:val="center"/>
          </w:tcPr>
          <w:p w14:paraId="2E87B4E9">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1037" w:type="dxa"/>
            <w:noWrap w:val="0"/>
            <w:vAlign w:val="center"/>
          </w:tcPr>
          <w:p w14:paraId="397A0879">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0~0.2</w:t>
            </w:r>
          </w:p>
        </w:tc>
        <w:tc>
          <w:tcPr>
            <w:tcW w:w="999" w:type="dxa"/>
            <w:vMerge w:val="continue"/>
            <w:noWrap w:val="0"/>
            <w:vAlign w:val="center"/>
          </w:tcPr>
          <w:p w14:paraId="06348522">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78CEB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2" w:hRule="atLeast"/>
          <w:jc w:val="center"/>
        </w:trPr>
        <w:tc>
          <w:tcPr>
            <w:tcW w:w="565" w:type="dxa"/>
            <w:vMerge w:val="continue"/>
            <w:noWrap w:val="0"/>
            <w:vAlign w:val="center"/>
          </w:tcPr>
          <w:p w14:paraId="7D98D3F1">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6E46CEA3">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现状监测因子</w:t>
            </w:r>
          </w:p>
        </w:tc>
        <w:tc>
          <w:tcPr>
            <w:tcW w:w="5857" w:type="dxa"/>
            <w:gridSpan w:val="6"/>
            <w:noWrap w:val="0"/>
            <w:vAlign w:val="center"/>
          </w:tcPr>
          <w:p w14:paraId="5AD1EBCA">
            <w:pPr>
              <w:pStyle w:val="150"/>
              <w:keepNext w:val="0"/>
              <w:keepLines w:val="0"/>
              <w:pageBreakBefore w:val="0"/>
              <w:widowControl w:val="0"/>
              <w:kinsoku/>
              <w:wordWrap/>
              <w:overflowPunct w:val="0"/>
              <w:topLinePunct w:val="0"/>
              <w:autoSpaceDE/>
              <w:autoSpaceDN/>
              <w:bidi w:val="0"/>
              <w:adjustRightInd w:val="0"/>
              <w:snapToGrid/>
              <w:spacing w:before="0" w:after="0"/>
              <w:ind w:firstLine="0" w:firstLineChars="0"/>
              <w:jc w:val="left"/>
              <w:textAlignment w:val="baseline"/>
              <w:rPr>
                <w:rFonts w:hint="default" w:ascii="Times New Roman" w:hAnsi="Times New Roman" w:eastAsia="宋体" w:cs="Times New Roman"/>
                <w:b w:val="0"/>
                <w:bCs/>
                <w:color w:val="auto"/>
                <w:sz w:val="18"/>
                <w:szCs w:val="18"/>
                <w:highlight w:val="none"/>
                <w:lang w:val="en-US" w:eastAsia="zh-CN"/>
              </w:rPr>
            </w:pPr>
            <w:r>
              <w:rPr>
                <w:rFonts w:hint="default" w:ascii="Times New Roman" w:hAnsi="Times New Roman" w:eastAsia="宋体" w:cs="Times New Roman"/>
                <w:b w:val="0"/>
                <w:bCs/>
                <w:color w:val="auto"/>
                <w:sz w:val="18"/>
                <w:szCs w:val="18"/>
                <w:highlight w:val="none"/>
                <w:lang w:val="en-US" w:eastAsia="zh-CN"/>
              </w:rPr>
              <w:t>重金属和无机物：砷、镉、铬（六价）、铜、铅、汞、镍、钴、氰化物；</w:t>
            </w:r>
          </w:p>
          <w:p w14:paraId="4944C730">
            <w:pPr>
              <w:pStyle w:val="150"/>
              <w:keepNext w:val="0"/>
              <w:keepLines w:val="0"/>
              <w:pageBreakBefore w:val="0"/>
              <w:widowControl w:val="0"/>
              <w:kinsoku/>
              <w:wordWrap/>
              <w:overflowPunct w:val="0"/>
              <w:topLinePunct w:val="0"/>
              <w:autoSpaceDE/>
              <w:autoSpaceDN/>
              <w:bidi w:val="0"/>
              <w:adjustRightInd w:val="0"/>
              <w:snapToGrid/>
              <w:spacing w:before="0" w:after="0"/>
              <w:ind w:firstLine="0" w:firstLineChars="0"/>
              <w:jc w:val="left"/>
              <w:textAlignment w:val="baseline"/>
              <w:rPr>
                <w:rFonts w:hint="default" w:ascii="Times New Roman" w:hAnsi="Times New Roman" w:eastAsia="宋体" w:cs="Times New Roman"/>
                <w:b w:val="0"/>
                <w:bCs/>
                <w:color w:val="auto"/>
                <w:sz w:val="18"/>
                <w:szCs w:val="18"/>
                <w:highlight w:val="none"/>
                <w:lang w:val="en-US" w:eastAsia="zh-CN"/>
              </w:rPr>
            </w:pPr>
            <w:r>
              <w:rPr>
                <w:rFonts w:hint="default" w:ascii="Times New Roman" w:hAnsi="Times New Roman" w:eastAsia="宋体" w:cs="Times New Roman"/>
                <w:b w:val="0"/>
                <w:bCs/>
                <w:color w:val="auto"/>
                <w:sz w:val="18"/>
                <w:szCs w:val="18"/>
                <w:highlight w:val="none"/>
                <w:lang w:val="en-US" w:eastAsia="zh-CN"/>
              </w:rPr>
              <w:t>挥发性有机物：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w:t>
            </w:r>
          </w:p>
          <w:p w14:paraId="2E21D291">
            <w:pPr>
              <w:pStyle w:val="150"/>
              <w:keepNext w:val="0"/>
              <w:keepLines w:val="0"/>
              <w:pageBreakBefore w:val="0"/>
              <w:widowControl w:val="0"/>
              <w:kinsoku/>
              <w:wordWrap/>
              <w:overflowPunct w:val="0"/>
              <w:topLinePunct w:val="0"/>
              <w:autoSpaceDE/>
              <w:autoSpaceDN/>
              <w:bidi w:val="0"/>
              <w:adjustRightInd w:val="0"/>
              <w:snapToGrid/>
              <w:spacing w:before="0" w:after="0"/>
              <w:ind w:firstLine="0" w:firstLineChars="0"/>
              <w:jc w:val="left"/>
              <w:textAlignment w:val="baseline"/>
              <w:rPr>
                <w:rFonts w:hint="default" w:ascii="Times New Roman" w:hAnsi="Times New Roman" w:eastAsia="宋体" w:cs="Times New Roman"/>
                <w:b w:val="0"/>
                <w:bCs/>
                <w:color w:val="auto"/>
                <w:sz w:val="18"/>
                <w:szCs w:val="18"/>
                <w:highlight w:val="none"/>
                <w:lang w:val="en-US" w:eastAsia="zh-CN"/>
              </w:rPr>
            </w:pPr>
            <w:r>
              <w:rPr>
                <w:rFonts w:hint="default" w:ascii="Times New Roman" w:hAnsi="Times New Roman" w:eastAsia="宋体" w:cs="Times New Roman"/>
                <w:b w:val="0"/>
                <w:bCs/>
                <w:color w:val="auto"/>
                <w:sz w:val="18"/>
                <w:szCs w:val="18"/>
                <w:highlight w:val="none"/>
                <w:lang w:val="en-US" w:eastAsia="zh-CN"/>
              </w:rPr>
              <w:t>半挥发性有机物：硝基苯、苯胺、2-氯酚、苯并[a]蒽、苯并[a]芘、苯并[b]荧蒽、苯并[k]荧蒽、䓛、二苯并[a，h]蒽、茚并[1，2，3-cd]芘、萘</w:t>
            </w:r>
          </w:p>
          <w:p w14:paraId="151E109E">
            <w:pPr>
              <w:pStyle w:val="153"/>
              <w:keepNext w:val="0"/>
              <w:keepLines w:val="0"/>
              <w:pageBreakBefore w:val="0"/>
              <w:widowControl w:val="0"/>
              <w:kinsoku/>
              <w:wordWrap/>
              <w:topLinePunct w:val="0"/>
              <w:autoSpaceDE/>
              <w:autoSpaceDN/>
              <w:bidi w:val="0"/>
              <w:adjustRightInd w:val="0"/>
              <w:snapToGrid w:val="0"/>
              <w:spacing w:line="240" w:lineRule="auto"/>
              <w:ind w:left="0" w:leftChars="0" w:firstLine="0" w:firstLineChars="0"/>
              <w:jc w:val="left"/>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b w:val="0"/>
                <w:bCs/>
                <w:color w:val="auto"/>
                <w:sz w:val="18"/>
                <w:szCs w:val="18"/>
                <w:highlight w:val="none"/>
                <w:lang w:val="en-US" w:eastAsia="zh-CN"/>
              </w:rPr>
              <w:t>石油烃类：石油烃</w:t>
            </w:r>
          </w:p>
        </w:tc>
        <w:tc>
          <w:tcPr>
            <w:tcW w:w="999" w:type="dxa"/>
            <w:noWrap w:val="0"/>
            <w:vAlign w:val="center"/>
          </w:tcPr>
          <w:p w14:paraId="7389ACD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70905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restart"/>
            <w:noWrap w:val="0"/>
            <w:vAlign w:val="center"/>
          </w:tcPr>
          <w:p w14:paraId="27E949FC">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现状评价</w:t>
            </w:r>
          </w:p>
        </w:tc>
        <w:tc>
          <w:tcPr>
            <w:tcW w:w="1537" w:type="dxa"/>
            <w:noWrap w:val="0"/>
            <w:vAlign w:val="center"/>
          </w:tcPr>
          <w:p w14:paraId="0F8C6E90">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评价因子</w:t>
            </w:r>
          </w:p>
        </w:tc>
        <w:tc>
          <w:tcPr>
            <w:tcW w:w="5857" w:type="dxa"/>
            <w:gridSpan w:val="6"/>
            <w:noWrap w:val="0"/>
            <w:vAlign w:val="center"/>
          </w:tcPr>
          <w:p w14:paraId="4E63ABD9">
            <w:pPr>
              <w:pStyle w:val="150"/>
              <w:keepNext w:val="0"/>
              <w:keepLines w:val="0"/>
              <w:pageBreakBefore w:val="0"/>
              <w:widowControl w:val="0"/>
              <w:kinsoku/>
              <w:wordWrap/>
              <w:overflowPunct w:val="0"/>
              <w:topLinePunct w:val="0"/>
              <w:autoSpaceDE/>
              <w:autoSpaceDN/>
              <w:bidi w:val="0"/>
              <w:adjustRightInd w:val="0"/>
              <w:snapToGrid/>
              <w:spacing w:before="0" w:after="0"/>
              <w:ind w:firstLine="0" w:firstLineChars="0"/>
              <w:jc w:val="left"/>
              <w:textAlignment w:val="baseline"/>
              <w:rPr>
                <w:rFonts w:hint="default" w:ascii="Times New Roman" w:hAnsi="Times New Roman" w:eastAsia="宋体" w:cs="Times New Roman"/>
                <w:b w:val="0"/>
                <w:bCs/>
                <w:color w:val="auto"/>
                <w:sz w:val="18"/>
                <w:szCs w:val="18"/>
                <w:highlight w:val="none"/>
                <w:lang w:val="en-US" w:eastAsia="zh-CN"/>
              </w:rPr>
            </w:pPr>
            <w:r>
              <w:rPr>
                <w:rFonts w:hint="default" w:ascii="Times New Roman" w:hAnsi="Times New Roman" w:eastAsia="宋体" w:cs="Times New Roman"/>
                <w:b w:val="0"/>
                <w:bCs/>
                <w:color w:val="auto"/>
                <w:sz w:val="18"/>
                <w:szCs w:val="18"/>
                <w:highlight w:val="none"/>
                <w:lang w:val="en-US" w:eastAsia="zh-CN"/>
              </w:rPr>
              <w:t>重金属和无机物：砷、镉、铬（六价）、铜、铅、汞、镍、钴、氰化物；</w:t>
            </w:r>
          </w:p>
          <w:p w14:paraId="6459A0B9">
            <w:pPr>
              <w:pStyle w:val="150"/>
              <w:keepNext w:val="0"/>
              <w:keepLines w:val="0"/>
              <w:pageBreakBefore w:val="0"/>
              <w:widowControl w:val="0"/>
              <w:kinsoku/>
              <w:wordWrap/>
              <w:overflowPunct w:val="0"/>
              <w:topLinePunct w:val="0"/>
              <w:autoSpaceDE/>
              <w:autoSpaceDN/>
              <w:bidi w:val="0"/>
              <w:adjustRightInd w:val="0"/>
              <w:snapToGrid/>
              <w:spacing w:before="0" w:after="0"/>
              <w:ind w:firstLine="0" w:firstLineChars="0"/>
              <w:jc w:val="left"/>
              <w:textAlignment w:val="baseline"/>
              <w:rPr>
                <w:rFonts w:hint="default" w:ascii="Times New Roman" w:hAnsi="Times New Roman" w:eastAsia="宋体" w:cs="Times New Roman"/>
                <w:b w:val="0"/>
                <w:bCs/>
                <w:color w:val="auto"/>
                <w:sz w:val="18"/>
                <w:szCs w:val="18"/>
                <w:highlight w:val="none"/>
                <w:lang w:val="en-US" w:eastAsia="zh-CN"/>
              </w:rPr>
            </w:pPr>
            <w:r>
              <w:rPr>
                <w:rFonts w:hint="default" w:ascii="Times New Roman" w:hAnsi="Times New Roman" w:eastAsia="宋体" w:cs="Times New Roman"/>
                <w:b w:val="0"/>
                <w:bCs/>
                <w:color w:val="auto"/>
                <w:sz w:val="18"/>
                <w:szCs w:val="18"/>
                <w:highlight w:val="none"/>
                <w:lang w:val="en-US" w:eastAsia="zh-CN"/>
              </w:rPr>
              <w:t>挥发性有机物：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w:t>
            </w:r>
          </w:p>
          <w:p w14:paraId="75270407">
            <w:pPr>
              <w:pStyle w:val="150"/>
              <w:keepNext w:val="0"/>
              <w:keepLines w:val="0"/>
              <w:pageBreakBefore w:val="0"/>
              <w:widowControl w:val="0"/>
              <w:kinsoku/>
              <w:wordWrap/>
              <w:overflowPunct w:val="0"/>
              <w:topLinePunct w:val="0"/>
              <w:autoSpaceDE/>
              <w:autoSpaceDN/>
              <w:bidi w:val="0"/>
              <w:adjustRightInd w:val="0"/>
              <w:snapToGrid/>
              <w:spacing w:before="0" w:after="0"/>
              <w:ind w:firstLine="0" w:firstLineChars="0"/>
              <w:jc w:val="left"/>
              <w:textAlignment w:val="baseline"/>
              <w:rPr>
                <w:rFonts w:hint="default" w:ascii="Times New Roman" w:hAnsi="Times New Roman" w:eastAsia="宋体" w:cs="Times New Roman"/>
                <w:b w:val="0"/>
                <w:bCs/>
                <w:color w:val="auto"/>
                <w:sz w:val="18"/>
                <w:szCs w:val="18"/>
                <w:highlight w:val="none"/>
                <w:lang w:val="en-US" w:eastAsia="zh-CN"/>
              </w:rPr>
            </w:pPr>
            <w:r>
              <w:rPr>
                <w:rFonts w:hint="default" w:ascii="Times New Roman" w:hAnsi="Times New Roman" w:eastAsia="宋体" w:cs="Times New Roman"/>
                <w:b w:val="0"/>
                <w:bCs/>
                <w:color w:val="auto"/>
                <w:sz w:val="18"/>
                <w:szCs w:val="18"/>
                <w:highlight w:val="none"/>
                <w:lang w:val="en-US" w:eastAsia="zh-CN"/>
              </w:rPr>
              <w:t>半挥发性有机物：硝基苯、苯胺、2-氯酚、苯并[a]蒽、苯并[a]芘、苯并[b]荧蒽、苯并[k]荧蒽、䓛、二苯并[a，h]蒽、茚并[1，2，3-cd]芘、萘</w:t>
            </w:r>
          </w:p>
          <w:p w14:paraId="2D280A1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b w:val="0"/>
                <w:bCs/>
                <w:color w:val="auto"/>
                <w:sz w:val="18"/>
                <w:szCs w:val="18"/>
                <w:highlight w:val="none"/>
                <w:lang w:val="en-US" w:eastAsia="zh-CN"/>
              </w:rPr>
              <w:t>石油烃类：石油烃</w:t>
            </w:r>
          </w:p>
        </w:tc>
        <w:tc>
          <w:tcPr>
            <w:tcW w:w="999" w:type="dxa"/>
            <w:noWrap w:val="0"/>
            <w:vAlign w:val="center"/>
          </w:tcPr>
          <w:p w14:paraId="628360C1">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123A2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57A72A7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206E4127">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评价标准</w:t>
            </w:r>
          </w:p>
        </w:tc>
        <w:tc>
          <w:tcPr>
            <w:tcW w:w="5857" w:type="dxa"/>
            <w:gridSpan w:val="6"/>
            <w:noWrap w:val="0"/>
            <w:vAlign w:val="center"/>
          </w:tcPr>
          <w:p w14:paraId="6408947F">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GB15618</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GB36600</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；表</w:t>
            </w:r>
            <w:r>
              <w:rPr>
                <w:rFonts w:hint="eastAsia" w:ascii="Times New Roman" w:hAnsi="Times New Roman" w:eastAsia="宋体" w:cs="Times New Roman"/>
                <w:color w:val="auto"/>
                <w:sz w:val="18"/>
                <w:szCs w:val="18"/>
                <w:lang w:val="en-US" w:eastAsia="zh-CN"/>
              </w:rPr>
              <w:t>D.1</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；表</w:t>
            </w:r>
            <w:r>
              <w:rPr>
                <w:rFonts w:hint="eastAsia" w:ascii="Times New Roman" w:hAnsi="Times New Roman" w:eastAsia="宋体" w:cs="Times New Roman"/>
                <w:color w:val="auto"/>
                <w:sz w:val="18"/>
                <w:szCs w:val="18"/>
                <w:lang w:val="en-US" w:eastAsia="zh-CN"/>
              </w:rPr>
              <w:t>D.2</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；其他（</w:t>
            </w:r>
            <w:r>
              <w:rPr>
                <w:rFonts w:hint="eastAsia" w:ascii="Times New Roman" w:hAnsi="Times New Roman" w:eastAsia="宋体" w:cs="Times New Roman"/>
                <w:color w:val="auto"/>
                <w:sz w:val="18"/>
                <w:szCs w:val="18"/>
                <w:lang w:val="en-US" w:eastAsia="zh-CN"/>
              </w:rPr>
              <w:t xml:space="preserve">   </w:t>
            </w:r>
            <w:r>
              <w:rPr>
                <w:rFonts w:hint="eastAsia" w:ascii="Times New Roman" w:hAnsi="Times New Roman" w:eastAsia="宋体" w:cs="Times New Roman"/>
                <w:color w:val="auto"/>
                <w:sz w:val="18"/>
                <w:szCs w:val="18"/>
                <w:lang w:eastAsia="zh-CN"/>
              </w:rPr>
              <w:t>）</w:t>
            </w:r>
          </w:p>
        </w:tc>
        <w:tc>
          <w:tcPr>
            <w:tcW w:w="999" w:type="dxa"/>
            <w:noWrap w:val="0"/>
            <w:vAlign w:val="center"/>
          </w:tcPr>
          <w:p w14:paraId="7BB26D95">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37A5D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565" w:type="dxa"/>
            <w:vMerge w:val="continue"/>
            <w:noWrap w:val="0"/>
            <w:vAlign w:val="center"/>
          </w:tcPr>
          <w:p w14:paraId="1BD6C06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74254C2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现状评价结论</w:t>
            </w:r>
          </w:p>
        </w:tc>
        <w:tc>
          <w:tcPr>
            <w:tcW w:w="5857" w:type="dxa"/>
            <w:gridSpan w:val="6"/>
            <w:noWrap w:val="0"/>
            <w:vAlign w:val="center"/>
          </w:tcPr>
          <w:p w14:paraId="1D2E2E5C">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达标</w:t>
            </w:r>
            <w:r>
              <w:rPr>
                <w:rFonts w:hint="eastAsia" w:ascii="Times New Roman" w:hAnsi="Times New Roman" w:eastAsia="宋体" w:cs="Times New Roman"/>
                <w:color w:val="auto"/>
                <w:sz w:val="18"/>
                <w:szCs w:val="18"/>
                <w:lang w:val="en-US" w:eastAsia="zh-CN"/>
              </w:rPr>
              <w:t xml:space="preserve"> </w:t>
            </w:r>
          </w:p>
        </w:tc>
        <w:tc>
          <w:tcPr>
            <w:tcW w:w="999" w:type="dxa"/>
            <w:noWrap w:val="0"/>
            <w:vAlign w:val="center"/>
          </w:tcPr>
          <w:p w14:paraId="7708F5C7">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18C34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restart"/>
            <w:noWrap w:val="0"/>
            <w:vAlign w:val="center"/>
          </w:tcPr>
          <w:p w14:paraId="6F7E229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影响预测</w:t>
            </w:r>
          </w:p>
        </w:tc>
        <w:tc>
          <w:tcPr>
            <w:tcW w:w="1537" w:type="dxa"/>
            <w:noWrap w:val="0"/>
            <w:vAlign w:val="center"/>
          </w:tcPr>
          <w:p w14:paraId="4FC55A09">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预测因子</w:t>
            </w:r>
          </w:p>
        </w:tc>
        <w:tc>
          <w:tcPr>
            <w:tcW w:w="5857" w:type="dxa"/>
            <w:gridSpan w:val="6"/>
            <w:noWrap w:val="0"/>
            <w:vAlign w:val="center"/>
          </w:tcPr>
          <w:p w14:paraId="6C112F3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汞</w:t>
            </w:r>
          </w:p>
        </w:tc>
        <w:tc>
          <w:tcPr>
            <w:tcW w:w="999" w:type="dxa"/>
            <w:noWrap w:val="0"/>
            <w:vAlign w:val="center"/>
          </w:tcPr>
          <w:p w14:paraId="2E0A2810">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357B9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3D79CAB5">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3A18235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预测方法</w:t>
            </w:r>
          </w:p>
        </w:tc>
        <w:tc>
          <w:tcPr>
            <w:tcW w:w="5857" w:type="dxa"/>
            <w:gridSpan w:val="6"/>
            <w:noWrap w:val="0"/>
            <w:vAlign w:val="center"/>
          </w:tcPr>
          <w:p w14:paraId="7404E774">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附录</w:t>
            </w:r>
            <w:r>
              <w:rPr>
                <w:rFonts w:hint="eastAsia" w:ascii="Times New Roman" w:hAnsi="Times New Roman" w:eastAsia="宋体" w:cs="Times New Roman"/>
                <w:color w:val="auto"/>
                <w:sz w:val="18"/>
                <w:szCs w:val="18"/>
                <w:lang w:val="en-US" w:eastAsia="zh-CN"/>
              </w:rPr>
              <w:t>E</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；附录</w:t>
            </w:r>
            <w:r>
              <w:rPr>
                <w:rFonts w:hint="eastAsia" w:ascii="Times New Roman" w:hAnsi="Times New Roman" w:eastAsia="宋体" w:cs="Times New Roman"/>
                <w:color w:val="auto"/>
                <w:sz w:val="18"/>
                <w:szCs w:val="18"/>
                <w:lang w:val="en-US" w:eastAsia="zh-CN"/>
              </w:rPr>
              <w:t>F</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；其他（</w:t>
            </w:r>
            <w:r>
              <w:rPr>
                <w:rFonts w:hint="eastAsia" w:ascii="Times New Roman" w:hAnsi="Times New Roman" w:eastAsia="宋体" w:cs="Times New Roman"/>
                <w:color w:val="auto"/>
                <w:sz w:val="18"/>
                <w:szCs w:val="18"/>
                <w:lang w:val="en-US" w:eastAsia="zh-CN"/>
              </w:rPr>
              <w:t xml:space="preserve">   </w:t>
            </w:r>
            <w:r>
              <w:rPr>
                <w:rFonts w:hint="eastAsia" w:ascii="Times New Roman" w:hAnsi="Times New Roman" w:eastAsia="宋体" w:cs="Times New Roman"/>
                <w:color w:val="auto"/>
                <w:sz w:val="18"/>
                <w:szCs w:val="18"/>
                <w:lang w:eastAsia="zh-CN"/>
              </w:rPr>
              <w:t>）</w:t>
            </w:r>
          </w:p>
        </w:tc>
        <w:tc>
          <w:tcPr>
            <w:tcW w:w="999" w:type="dxa"/>
            <w:noWrap w:val="0"/>
            <w:vAlign w:val="center"/>
          </w:tcPr>
          <w:p w14:paraId="1CA7844D">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1EC49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565" w:type="dxa"/>
            <w:vMerge w:val="continue"/>
            <w:noWrap w:val="0"/>
            <w:vAlign w:val="center"/>
          </w:tcPr>
          <w:p w14:paraId="57B00F2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3980E2A7">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预测分析内容</w:t>
            </w:r>
          </w:p>
        </w:tc>
        <w:tc>
          <w:tcPr>
            <w:tcW w:w="5857" w:type="dxa"/>
            <w:gridSpan w:val="6"/>
            <w:noWrap w:val="0"/>
            <w:vAlign w:val="center"/>
          </w:tcPr>
          <w:p w14:paraId="337374E3">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影响范围（厂界外</w:t>
            </w:r>
            <w:r>
              <w:rPr>
                <w:rFonts w:hint="eastAsia" w:ascii="Times New Roman" w:hAnsi="Times New Roman" w:eastAsia="宋体" w:cs="Times New Roman"/>
                <w:color w:val="auto"/>
                <w:sz w:val="18"/>
                <w:szCs w:val="18"/>
                <w:lang w:val="en-US" w:eastAsia="zh-CN"/>
              </w:rPr>
              <w:t>0.05km</w:t>
            </w:r>
            <w:r>
              <w:rPr>
                <w:rFonts w:hint="eastAsia" w:ascii="Times New Roman" w:hAnsi="Times New Roman" w:eastAsia="宋体" w:cs="Times New Roman"/>
                <w:color w:val="auto"/>
                <w:sz w:val="18"/>
                <w:szCs w:val="18"/>
                <w:lang w:eastAsia="zh-CN"/>
              </w:rPr>
              <w:t>）</w:t>
            </w:r>
          </w:p>
          <w:p w14:paraId="5AC954A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影响程度（</w:t>
            </w:r>
            <w:r>
              <w:rPr>
                <w:rFonts w:hint="eastAsia" w:ascii="Times New Roman" w:hAnsi="Times New Roman" w:eastAsia="宋体" w:cs="Times New Roman"/>
                <w:color w:val="auto"/>
                <w:sz w:val="18"/>
                <w:szCs w:val="18"/>
                <w:lang w:val="en-US" w:eastAsia="zh-CN"/>
              </w:rPr>
              <w:t>较小</w:t>
            </w:r>
            <w:r>
              <w:rPr>
                <w:rFonts w:hint="eastAsia" w:ascii="Times New Roman" w:hAnsi="Times New Roman" w:eastAsia="宋体" w:cs="Times New Roman"/>
                <w:color w:val="auto"/>
                <w:sz w:val="18"/>
                <w:szCs w:val="18"/>
                <w:lang w:eastAsia="zh-CN"/>
              </w:rPr>
              <w:t>）</w:t>
            </w:r>
          </w:p>
        </w:tc>
        <w:tc>
          <w:tcPr>
            <w:tcW w:w="999" w:type="dxa"/>
            <w:noWrap w:val="0"/>
            <w:vAlign w:val="center"/>
          </w:tcPr>
          <w:p w14:paraId="035763C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4279A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565" w:type="dxa"/>
            <w:vMerge w:val="continue"/>
            <w:noWrap w:val="0"/>
            <w:vAlign w:val="center"/>
          </w:tcPr>
          <w:p w14:paraId="45A0481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72B3BF7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预测结论</w:t>
            </w:r>
          </w:p>
        </w:tc>
        <w:tc>
          <w:tcPr>
            <w:tcW w:w="5857" w:type="dxa"/>
            <w:gridSpan w:val="6"/>
            <w:noWrap w:val="0"/>
            <w:vAlign w:val="center"/>
          </w:tcPr>
          <w:p w14:paraId="68FBAE8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达标结论：</w:t>
            </w:r>
            <w:r>
              <w:rPr>
                <w:rFonts w:hint="eastAsia" w:ascii="Times New Roman" w:hAnsi="Times New Roman" w:eastAsia="宋体" w:cs="Times New Roman"/>
                <w:color w:val="auto"/>
                <w:sz w:val="18"/>
                <w:szCs w:val="18"/>
                <w:lang w:val="en-US" w:eastAsia="zh-CN"/>
              </w:rPr>
              <w:t>a）</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b）</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c）</w:t>
            </w:r>
            <w:r>
              <w:rPr>
                <w:rFonts w:hint="eastAsia" w:ascii="Times New Roman" w:hAnsi="Times New Roman" w:eastAsia="宋体" w:cs="Times New Roman"/>
                <w:color w:val="auto"/>
                <w:sz w:val="18"/>
                <w:szCs w:val="18"/>
                <w:lang w:eastAsia="zh-CN"/>
              </w:rPr>
              <w:sym w:font="Wingdings 2" w:char="00A3"/>
            </w:r>
          </w:p>
          <w:p w14:paraId="455689BB">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不达标结论：</w:t>
            </w:r>
            <w:r>
              <w:rPr>
                <w:rFonts w:hint="eastAsia" w:ascii="Times New Roman" w:hAnsi="Times New Roman" w:eastAsia="宋体" w:cs="Times New Roman"/>
                <w:color w:val="auto"/>
                <w:sz w:val="18"/>
                <w:szCs w:val="18"/>
                <w:lang w:val="en-US" w:eastAsia="zh-CN"/>
              </w:rPr>
              <w:t>a）</w:t>
            </w:r>
            <w:r>
              <w:rPr>
                <w:rFonts w:hint="eastAsia" w:ascii="Times New Roman" w:hAnsi="Times New Roman" w:eastAsia="宋体" w:cs="Times New Roman"/>
                <w:color w:val="auto"/>
                <w:sz w:val="18"/>
                <w:szCs w:val="18"/>
                <w:lang w:eastAsia="zh-CN"/>
              </w:rPr>
              <w:sym w:font="Wingdings 2" w:char="00A3"/>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b）</w:t>
            </w:r>
            <w:r>
              <w:rPr>
                <w:rFonts w:hint="eastAsia" w:ascii="Times New Roman" w:hAnsi="Times New Roman" w:eastAsia="宋体" w:cs="Times New Roman"/>
                <w:color w:val="auto"/>
                <w:sz w:val="18"/>
                <w:szCs w:val="18"/>
                <w:lang w:eastAsia="zh-CN"/>
              </w:rPr>
              <w:sym w:font="Wingdings 2" w:char="00A3"/>
            </w:r>
          </w:p>
        </w:tc>
        <w:tc>
          <w:tcPr>
            <w:tcW w:w="999" w:type="dxa"/>
            <w:noWrap w:val="0"/>
            <w:vAlign w:val="center"/>
          </w:tcPr>
          <w:p w14:paraId="5C434650">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0D164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restart"/>
            <w:noWrap w:val="0"/>
            <w:vAlign w:val="center"/>
          </w:tcPr>
          <w:p w14:paraId="37E60E41">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防治措施</w:t>
            </w:r>
          </w:p>
        </w:tc>
        <w:tc>
          <w:tcPr>
            <w:tcW w:w="1537" w:type="dxa"/>
            <w:noWrap w:val="0"/>
            <w:vAlign w:val="center"/>
          </w:tcPr>
          <w:p w14:paraId="2EA2E330">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防控措施</w:t>
            </w:r>
          </w:p>
        </w:tc>
        <w:tc>
          <w:tcPr>
            <w:tcW w:w="5857" w:type="dxa"/>
            <w:gridSpan w:val="6"/>
            <w:noWrap w:val="0"/>
            <w:vAlign w:val="center"/>
          </w:tcPr>
          <w:p w14:paraId="78B4EEE1">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土壤环境质量现状保障</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；源头控制</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；过程防控</w:t>
            </w:r>
            <w:r>
              <w:rPr>
                <w:rFonts w:hint="eastAsia" w:ascii="Times New Roman" w:hAnsi="Times New Roman" w:eastAsia="宋体" w:cs="Times New Roman"/>
                <w:color w:val="auto"/>
                <w:sz w:val="18"/>
                <w:szCs w:val="18"/>
                <w:lang w:eastAsia="zh-CN"/>
              </w:rPr>
              <w:sym w:font="Wingdings 2" w:char="0052"/>
            </w:r>
            <w:r>
              <w:rPr>
                <w:rFonts w:hint="eastAsia" w:ascii="Times New Roman" w:hAnsi="Times New Roman" w:eastAsia="宋体" w:cs="Times New Roman"/>
                <w:color w:val="auto"/>
                <w:sz w:val="18"/>
                <w:szCs w:val="18"/>
                <w:lang w:eastAsia="zh-CN"/>
              </w:rPr>
              <w:t>；其他（</w:t>
            </w:r>
            <w:r>
              <w:rPr>
                <w:rFonts w:hint="eastAsia" w:ascii="Times New Roman" w:hAnsi="Times New Roman" w:eastAsia="宋体" w:cs="Times New Roman"/>
                <w:color w:val="auto"/>
                <w:sz w:val="18"/>
                <w:szCs w:val="18"/>
                <w:lang w:val="en-US" w:eastAsia="zh-CN"/>
              </w:rPr>
              <w:t xml:space="preserve">    </w:t>
            </w:r>
            <w:r>
              <w:rPr>
                <w:rFonts w:hint="eastAsia" w:ascii="Times New Roman" w:hAnsi="Times New Roman" w:eastAsia="宋体" w:cs="Times New Roman"/>
                <w:color w:val="auto"/>
                <w:sz w:val="18"/>
                <w:szCs w:val="18"/>
                <w:lang w:eastAsia="zh-CN"/>
              </w:rPr>
              <w:t>）</w:t>
            </w:r>
          </w:p>
        </w:tc>
        <w:tc>
          <w:tcPr>
            <w:tcW w:w="999" w:type="dxa"/>
            <w:noWrap w:val="0"/>
            <w:vAlign w:val="center"/>
          </w:tcPr>
          <w:p w14:paraId="309D4AF4">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13540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4D132EA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vMerge w:val="restart"/>
            <w:noWrap w:val="0"/>
            <w:vAlign w:val="center"/>
          </w:tcPr>
          <w:p w14:paraId="4E09735D">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跟踪监测</w:t>
            </w:r>
          </w:p>
        </w:tc>
        <w:tc>
          <w:tcPr>
            <w:tcW w:w="2282" w:type="dxa"/>
            <w:gridSpan w:val="2"/>
            <w:noWrap w:val="0"/>
            <w:vAlign w:val="center"/>
          </w:tcPr>
          <w:p w14:paraId="50BDE55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监测点数</w:t>
            </w:r>
          </w:p>
        </w:tc>
        <w:tc>
          <w:tcPr>
            <w:tcW w:w="1639" w:type="dxa"/>
            <w:gridSpan w:val="2"/>
            <w:noWrap w:val="0"/>
            <w:vAlign w:val="center"/>
          </w:tcPr>
          <w:p w14:paraId="453EE91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监测指标</w:t>
            </w:r>
          </w:p>
        </w:tc>
        <w:tc>
          <w:tcPr>
            <w:tcW w:w="1936" w:type="dxa"/>
            <w:gridSpan w:val="2"/>
            <w:noWrap w:val="0"/>
            <w:vAlign w:val="center"/>
          </w:tcPr>
          <w:p w14:paraId="3C22165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监测频次</w:t>
            </w:r>
          </w:p>
        </w:tc>
        <w:tc>
          <w:tcPr>
            <w:tcW w:w="999" w:type="dxa"/>
            <w:noWrap w:val="0"/>
            <w:vAlign w:val="center"/>
          </w:tcPr>
          <w:p w14:paraId="6E6C970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3E653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11CAF2A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vMerge w:val="continue"/>
            <w:noWrap w:val="0"/>
            <w:vAlign w:val="center"/>
          </w:tcPr>
          <w:p w14:paraId="675F27E5">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2282" w:type="dxa"/>
            <w:gridSpan w:val="2"/>
            <w:noWrap w:val="0"/>
            <w:vAlign w:val="center"/>
          </w:tcPr>
          <w:p w14:paraId="7DBC2549">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w:t>
            </w:r>
          </w:p>
        </w:tc>
        <w:tc>
          <w:tcPr>
            <w:tcW w:w="1639" w:type="dxa"/>
            <w:gridSpan w:val="2"/>
            <w:noWrap w:val="0"/>
            <w:vAlign w:val="center"/>
          </w:tcPr>
          <w:p w14:paraId="0ED57532">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汞</w:t>
            </w:r>
          </w:p>
        </w:tc>
        <w:tc>
          <w:tcPr>
            <w:tcW w:w="1936" w:type="dxa"/>
            <w:gridSpan w:val="2"/>
            <w:noWrap w:val="0"/>
            <w:vAlign w:val="center"/>
          </w:tcPr>
          <w:p w14:paraId="0FF04D76">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5年一次</w:t>
            </w:r>
          </w:p>
        </w:tc>
        <w:tc>
          <w:tcPr>
            <w:tcW w:w="999" w:type="dxa"/>
            <w:noWrap w:val="0"/>
            <w:vAlign w:val="center"/>
          </w:tcPr>
          <w:p w14:paraId="6D76C5DB">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2271B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565" w:type="dxa"/>
            <w:vMerge w:val="continue"/>
            <w:noWrap w:val="0"/>
            <w:vAlign w:val="center"/>
          </w:tcPr>
          <w:p w14:paraId="7A5E19B6">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c>
          <w:tcPr>
            <w:tcW w:w="1537" w:type="dxa"/>
            <w:noWrap w:val="0"/>
            <w:vAlign w:val="center"/>
          </w:tcPr>
          <w:p w14:paraId="28CC16F9">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信息公开指标</w:t>
            </w:r>
          </w:p>
        </w:tc>
        <w:tc>
          <w:tcPr>
            <w:tcW w:w="5857" w:type="dxa"/>
            <w:gridSpan w:val="6"/>
            <w:noWrap w:val="0"/>
            <w:vAlign w:val="center"/>
          </w:tcPr>
          <w:p w14:paraId="6431520F">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土壤环境跟踪监测达标情况</w:t>
            </w:r>
          </w:p>
        </w:tc>
        <w:tc>
          <w:tcPr>
            <w:tcW w:w="999" w:type="dxa"/>
            <w:noWrap w:val="0"/>
            <w:vAlign w:val="center"/>
          </w:tcPr>
          <w:p w14:paraId="0E9A441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0FAE4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102" w:type="dxa"/>
            <w:gridSpan w:val="2"/>
            <w:noWrap w:val="0"/>
            <w:vAlign w:val="center"/>
          </w:tcPr>
          <w:p w14:paraId="7FF30B2E">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评价结论</w:t>
            </w:r>
          </w:p>
        </w:tc>
        <w:tc>
          <w:tcPr>
            <w:tcW w:w="5857" w:type="dxa"/>
            <w:gridSpan w:val="6"/>
            <w:noWrap w:val="0"/>
            <w:vAlign w:val="center"/>
          </w:tcPr>
          <w:p w14:paraId="3AFA9EE5">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可接受</w:t>
            </w:r>
          </w:p>
        </w:tc>
        <w:tc>
          <w:tcPr>
            <w:tcW w:w="999" w:type="dxa"/>
            <w:noWrap w:val="0"/>
            <w:vAlign w:val="center"/>
          </w:tcPr>
          <w:p w14:paraId="083F2CEA">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r w14:paraId="252B8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959" w:type="dxa"/>
            <w:gridSpan w:val="8"/>
            <w:noWrap w:val="0"/>
            <w:vAlign w:val="center"/>
          </w:tcPr>
          <w:p w14:paraId="5DA078C8">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注</w:t>
            </w:r>
            <w:r>
              <w:rPr>
                <w:rFonts w:hint="eastAsia" w:ascii="Times New Roman" w:hAnsi="Times New Roman" w:eastAsia="宋体" w:cs="Times New Roman"/>
                <w:color w:val="auto"/>
                <w:sz w:val="18"/>
                <w:szCs w:val="18"/>
                <w:lang w:val="en-US" w:eastAsia="zh-CN"/>
              </w:rPr>
              <w:t>1：</w:t>
            </w:r>
            <w:r>
              <w:rPr>
                <w:rFonts w:hint="eastAsia" w:ascii="Times New Roman" w:hAnsi="Times New Roman" w:eastAsia="宋体" w:cs="Times New Roman"/>
                <w:color w:val="auto"/>
                <w:sz w:val="18"/>
                <w:szCs w:val="18"/>
                <w:lang w:eastAsia="zh-CN"/>
              </w:rPr>
              <w:t>“□”为勾选项，可√；“（  ）”为内容填写项；“备注”为其他补充内容。</w:t>
            </w:r>
          </w:p>
          <w:p w14:paraId="3599591B">
            <w:pPr>
              <w:pStyle w:val="153"/>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注</w:t>
            </w:r>
            <w:r>
              <w:rPr>
                <w:rFonts w:hint="eastAsia" w:ascii="Times New Roman" w:hAnsi="Times New Roman" w:eastAsia="宋体" w:cs="Times New Roman"/>
                <w:color w:val="auto"/>
                <w:sz w:val="18"/>
                <w:szCs w:val="18"/>
                <w:lang w:val="en-US" w:eastAsia="zh-CN"/>
              </w:rPr>
              <w:t>2：需要分别开展土壤环境影响评级工作的，分别填写自查表。</w:t>
            </w:r>
          </w:p>
        </w:tc>
        <w:tc>
          <w:tcPr>
            <w:tcW w:w="999" w:type="dxa"/>
            <w:noWrap w:val="0"/>
            <w:vAlign w:val="center"/>
          </w:tcPr>
          <w:p w14:paraId="181BD784">
            <w:pPr>
              <w:pStyle w:val="153"/>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8"/>
                <w:lang w:eastAsia="zh-CN"/>
              </w:rPr>
            </w:pPr>
          </w:p>
        </w:tc>
      </w:tr>
    </w:tbl>
    <w:p w14:paraId="4D84758D">
      <w:pPr>
        <w:rPr>
          <w:color w:val="auto"/>
        </w:rPr>
      </w:pPr>
    </w:p>
    <w:p w14:paraId="7DF66073">
      <w:pPr>
        <w:rPr>
          <w:rFonts w:hint="default"/>
          <w:color w:val="auto"/>
          <w:lang w:val="en-US" w:eastAsia="zh-CN"/>
        </w:rPr>
      </w:pPr>
    </w:p>
    <w:p w14:paraId="7C9BFD38">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p>
    <w:p w14:paraId="397706E4">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p>
    <w:p w14:paraId="65B4238D">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p>
    <w:p w14:paraId="5B1F8EFD">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p>
    <w:p w14:paraId="70E6C9D8">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p>
    <w:p w14:paraId="57887EF3">
      <w:pPr>
        <w:rPr>
          <w:rFonts w:hint="default"/>
          <w:color w:val="auto"/>
          <w:lang w:val="en-US" w:eastAsia="zh-CN"/>
        </w:rPr>
      </w:pPr>
    </w:p>
    <w:p w14:paraId="48C7B898">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jc w:val="center"/>
        <w:textAlignment w:val="auto"/>
        <w:rPr>
          <w:rFonts w:hint="default" w:ascii="Times New Roman" w:hAnsi="Times New Roman"/>
          <w:color w:val="auto"/>
          <w:lang w:val="en-US" w:eastAsia="zh-CN"/>
        </w:rPr>
      </w:pPr>
    </w:p>
    <w:p w14:paraId="5C9B7E8D">
      <w:pPr>
        <w:pStyle w:val="2"/>
        <w:keepNext w:val="0"/>
        <w:keepLines w:val="0"/>
        <w:pageBreakBefore w:val="0"/>
        <w:widowControl w:val="0"/>
        <w:kinsoku/>
        <w:wordWrap/>
        <w:overflowPunct/>
        <w:topLinePunct w:val="0"/>
        <w:autoSpaceDE/>
        <w:autoSpaceDN/>
        <w:bidi w:val="0"/>
        <w:spacing w:after="0" w:line="240" w:lineRule="auto"/>
        <w:ind w:left="0" w:leftChars="0" w:firstLine="0" w:firstLineChars="0"/>
        <w:textAlignment w:val="auto"/>
        <w:rPr>
          <w:rFonts w:hint="eastAsia" w:ascii="Times New Roman" w:hAnsi="Times New Roman"/>
          <w:color w:val="auto"/>
          <w:lang w:val="zh-CN" w:eastAsia="zh-CN"/>
        </w:rPr>
      </w:pP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ingLiU">
    <w:panose1 w:val="02010609000101010101"/>
    <w:charset w:val="88"/>
    <w:family w:val="modern"/>
    <w:pitch w:val="default"/>
    <w:sig w:usb0="80000001" w:usb1="28091800" w:usb2="00000016" w:usb3="00000000" w:csb0="00100001"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089725"/>
    </w:sdtPr>
    <w:sdtContent>
      <w:p w14:paraId="051BAFFB">
        <w:pPr>
          <w:pStyle w:val="30"/>
          <w:ind w:firstLine="360"/>
          <w:jc w:val="center"/>
        </w:pPr>
        <w:r>
          <w:fldChar w:fldCharType="begin"/>
        </w:r>
        <w:r>
          <w:instrText xml:space="preserve">PAGE   \* MERGEFORMAT</w:instrText>
        </w:r>
        <w:r>
          <w:fldChar w:fldCharType="separate"/>
        </w:r>
        <w:r>
          <w:rPr>
            <w:lang w:val="zh-CN"/>
          </w:rPr>
          <w:t>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B5E0AF">
    <w:pPr>
      <w:pStyle w:val="3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BDDA2A">
    <w:pPr>
      <w:pStyle w:val="3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80680"/>
    </w:sdtPr>
    <w:sdtContent>
      <w:p w14:paraId="026CC867">
        <w:pPr>
          <w:pStyle w:val="30"/>
          <w:ind w:firstLine="360"/>
          <w:jc w:val="center"/>
        </w:pPr>
        <w:r>
          <w:fldChar w:fldCharType="begin"/>
        </w:r>
        <w:r>
          <w:instrText xml:space="preserve">PAGE   \* MERGEFORMAT</w:instrText>
        </w:r>
        <w:r>
          <w:fldChar w:fldCharType="separate"/>
        </w:r>
        <w:r>
          <w:rPr>
            <w:lang w:val="zh-CN"/>
          </w:rPr>
          <w:t>III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3E7DE">
    <w:pPr>
      <w:pStyle w:val="30"/>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922267">
                          <w:pPr>
                            <w:pStyle w:val="30"/>
                            <w:ind w:firstLine="360"/>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3E922267">
                    <w:pPr>
                      <w:pStyle w:val="30"/>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AB0AC">
    <w:pPr>
      <w:pStyle w:val="30"/>
      <w:ind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E0C0D8">
                          <w:pPr>
                            <w:pStyle w:val="30"/>
                            <w:ind w:firstLine="360"/>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15E0C0D8">
                    <w:pPr>
                      <w:pStyle w:val="30"/>
                      <w:ind w:firstLine="360"/>
                    </w:pPr>
                    <w:r>
                      <w:fldChar w:fldCharType="begin"/>
                    </w:r>
                    <w:r>
                      <w:instrText xml:space="preserve"> PAGE  \* MERGEFORMAT </w:instrText>
                    </w:r>
                    <w:r>
                      <w:fldChar w:fldCharType="separate"/>
                    </w:r>
                    <w:r>
                      <w:t>45</w:t>
                    </w:r>
                    <w:r>
                      <w:fldChar w:fldCharType="end"/>
                    </w:r>
                  </w:p>
                </w:txbxContent>
              </v:textbox>
            </v:shape>
          </w:pict>
        </mc:Fallback>
      </mc:AlternateContent>
    </w:r>
  </w:p>
  <w:p w14:paraId="7AFFF71C">
    <w:pPr>
      <w:pStyle w:val="30"/>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7B9D39">
    <w:pPr>
      <w:spacing w:line="176" w:lineRule="auto"/>
      <w:ind w:left="442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C1E317">
                          <w:pPr>
                            <w:pStyle w:val="30"/>
                          </w:pPr>
                          <w:r>
                            <w:fldChar w:fldCharType="begin"/>
                          </w:r>
                          <w:r>
                            <w:instrText xml:space="preserve"> PAGE  \* MERGEFORMAT </w:instrText>
                          </w:r>
                          <w:r>
                            <w:fldChar w:fldCharType="separate"/>
                          </w:r>
                          <w:r>
                            <w:t>117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05C1E317">
                    <w:pPr>
                      <w:pStyle w:val="30"/>
                    </w:pPr>
                    <w:r>
                      <w:fldChar w:fldCharType="begin"/>
                    </w:r>
                    <w:r>
                      <w:instrText xml:space="preserve"> PAGE  \* MERGEFORMAT </w:instrText>
                    </w:r>
                    <w:r>
                      <w:fldChar w:fldCharType="separate"/>
                    </w:r>
                    <w:r>
                      <w:t>117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62CADF">
    <w:pPr>
      <w:pStyle w:val="30"/>
      <w:pBdr>
        <w:top w:val="none" w:color="auto" w:sz="0" w:space="1"/>
      </w:pBdr>
      <w:wordWrap w:val="0"/>
      <w:ind w:firstLine="360"/>
      <w:jc w:val="both"/>
      <w:rPr>
        <w:rFonts w:eastAsia="宋体"/>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94306C">
                          <w:pPr>
                            <w:pStyle w:val="30"/>
                            <w:ind w:firstLine="360"/>
                          </w:pPr>
                          <w:r>
                            <w:fldChar w:fldCharType="begin"/>
                          </w:r>
                          <w:r>
                            <w:instrText xml:space="preserve"> PAGE  \* MERGEFORMAT </w:instrText>
                          </w:r>
                          <w:r>
                            <w:fldChar w:fldCharType="separate"/>
                          </w:r>
                          <w:r>
                            <w:t>248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7HhYs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JbSjRTqPjpx/fT&#10;z4fTr28EZxCotX6GuHuLyNC9Mx2Ch3OPw8i7q5yKXzAi8EPe40Ve0QXC46XpZDrN4eLwDRvgZ4/X&#10;rfPhvTCKRKOgDvVLsrLDxoc+dAiJ2bRZN1KmGkpN2oJevX6T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0zseFiwCAABXBAAADgAAAAAAAAABACAAAAAfAQAAZHJzL2Uyb0RvYy54bWxQSwUGAAAAAAYA&#10;BgBZAQAAvQUAAAAA&#10;">
              <v:fill on="f" focussize="0,0"/>
              <v:stroke on="f" weight="0.5pt"/>
              <v:imagedata o:title=""/>
              <o:lock v:ext="edit" aspectratio="f"/>
              <v:textbox inset="0mm,0mm,0mm,0mm" style="mso-fit-shape-to-text:t;">
                <w:txbxContent>
                  <w:p w14:paraId="6E94306C">
                    <w:pPr>
                      <w:pStyle w:val="30"/>
                      <w:ind w:firstLine="360"/>
                    </w:pPr>
                    <w:r>
                      <w:fldChar w:fldCharType="begin"/>
                    </w:r>
                    <w:r>
                      <w:instrText xml:space="preserve"> PAGE  \* MERGEFORMAT </w:instrText>
                    </w:r>
                    <w:r>
                      <w:fldChar w:fldCharType="separate"/>
                    </w:r>
                    <w:r>
                      <w:t>248</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C07DD9">
    <w:pPr>
      <w:pStyle w:val="4"/>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92629">
    <w:pPr>
      <w:pStyle w:val="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49BDF">
    <w:pPr>
      <w:pStyle w:val="4"/>
      <w:ind w:firstLine="0" w:firstLineChars="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66B965">
    <w:pPr>
      <w:pStyle w:val="4"/>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AA97F2">
    <w:pPr>
      <w:pStyle w:val="4"/>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7B86F">
    <w:pPr>
      <w:pStyle w:val="4"/>
      <w:pBdr>
        <w:bottom w:val="none" w:color="auto" w:sz="0" w:space="1"/>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9A206CA"/>
    <w:multiLevelType w:val="singleLevel"/>
    <w:tmpl w:val="D9A206CA"/>
    <w:lvl w:ilvl="0" w:tentative="0">
      <w:start w:val="1"/>
      <w:numFmt w:val="upperLetter"/>
      <w:suff w:val="nothing"/>
      <w:lvlText w:val="%1-"/>
      <w:lvlJc w:val="left"/>
    </w:lvl>
  </w:abstractNum>
  <w:abstractNum w:abstractNumId="1">
    <w:nsid w:val="E1865DA1"/>
    <w:multiLevelType w:val="singleLevel"/>
    <w:tmpl w:val="E1865DA1"/>
    <w:lvl w:ilvl="0" w:tentative="0">
      <w:start w:val="4"/>
      <w:numFmt w:val="upperLetter"/>
      <w:suff w:val="nothing"/>
      <w:lvlText w:val="%1-"/>
      <w:lvlJc w:val="left"/>
    </w:lvl>
  </w:abstractNum>
  <w:abstractNum w:abstractNumId="2">
    <w:nsid w:val="E8B97C05"/>
    <w:multiLevelType w:val="singleLevel"/>
    <w:tmpl w:val="E8B97C05"/>
    <w:lvl w:ilvl="0" w:tentative="0">
      <w:start w:val="1"/>
      <w:numFmt w:val="bullet"/>
      <w:pStyle w:val="19"/>
      <w:lvlText w:val=""/>
      <w:lvlJc w:val="left"/>
      <w:pPr>
        <w:tabs>
          <w:tab w:val="left" w:pos="360"/>
        </w:tabs>
        <w:ind w:left="360" w:hanging="360"/>
      </w:pPr>
      <w:rPr>
        <w:rFonts w:hint="default" w:ascii="Wingdings" w:hAnsi="Wingdings"/>
      </w:rPr>
    </w:lvl>
  </w:abstractNum>
  <w:abstractNum w:abstractNumId="3">
    <w:nsid w:val="7B8BBFE8"/>
    <w:multiLevelType w:val="singleLevel"/>
    <w:tmpl w:val="7B8BBFE8"/>
    <w:lvl w:ilvl="0" w:tentative="0">
      <w:start w:val="1"/>
      <w:numFmt w:val="lowerLetter"/>
      <w:lvlText w:val="%1)"/>
      <w:lvlJc w:val="left"/>
      <w:pPr>
        <w:tabs>
          <w:tab w:val="left" w:pos="312"/>
        </w:tabs>
      </w:pPr>
    </w:lvl>
  </w:abstractNum>
  <w:abstractNum w:abstractNumId="4">
    <w:nsid w:val="7D46DAD5"/>
    <w:multiLevelType w:val="singleLevel"/>
    <w:tmpl w:val="7D46DAD5"/>
    <w:lvl w:ilvl="0" w:tentative="0">
      <w:start w:val="1"/>
      <w:numFmt w:val="bullet"/>
      <w:pStyle w:val="25"/>
      <w:lvlText w:val=""/>
      <w:lvlJc w:val="left"/>
      <w:pPr>
        <w:tabs>
          <w:tab w:val="left" w:pos="2040"/>
        </w:tabs>
        <w:ind w:left="2040" w:hanging="360"/>
      </w:pPr>
      <w:rPr>
        <w:rFonts w:hint="default" w:ascii="Wingdings" w:hAnsi="Wingdings"/>
      </w:rPr>
    </w:lvl>
  </w:abstractNum>
  <w:num w:numId="1">
    <w:abstractNumId w:val="2"/>
  </w:num>
  <w:num w:numId="2">
    <w:abstractNumId w:val="4"/>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hideSpellingErrors/>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Q3NDk5YjI5MjVlZDk2ODNiNTYwODc4MTA2NDQwMTAifQ=="/>
  </w:docVars>
  <w:rsids>
    <w:rsidRoot w:val="00172A27"/>
    <w:rsid w:val="000043E4"/>
    <w:rsid w:val="000058F6"/>
    <w:rsid w:val="00011763"/>
    <w:rsid w:val="00011EB7"/>
    <w:rsid w:val="00014F0C"/>
    <w:rsid w:val="0002112A"/>
    <w:rsid w:val="000250CC"/>
    <w:rsid w:val="00040FFA"/>
    <w:rsid w:val="000430F9"/>
    <w:rsid w:val="00044622"/>
    <w:rsid w:val="000542A3"/>
    <w:rsid w:val="00062BBA"/>
    <w:rsid w:val="000677C7"/>
    <w:rsid w:val="000707C3"/>
    <w:rsid w:val="000878F1"/>
    <w:rsid w:val="00095398"/>
    <w:rsid w:val="00097C06"/>
    <w:rsid w:val="000C03D3"/>
    <w:rsid w:val="000D210C"/>
    <w:rsid w:val="000D58BB"/>
    <w:rsid w:val="000D6D95"/>
    <w:rsid w:val="000E153C"/>
    <w:rsid w:val="000E31A0"/>
    <w:rsid w:val="000E4478"/>
    <w:rsid w:val="000E621F"/>
    <w:rsid w:val="000F3B5D"/>
    <w:rsid w:val="000F5A59"/>
    <w:rsid w:val="000F7DFB"/>
    <w:rsid w:val="0010204F"/>
    <w:rsid w:val="00116D3B"/>
    <w:rsid w:val="0012185B"/>
    <w:rsid w:val="0012408C"/>
    <w:rsid w:val="00127921"/>
    <w:rsid w:val="001302CB"/>
    <w:rsid w:val="0013146E"/>
    <w:rsid w:val="001337E7"/>
    <w:rsid w:val="00141502"/>
    <w:rsid w:val="001437D1"/>
    <w:rsid w:val="001525F7"/>
    <w:rsid w:val="001539EA"/>
    <w:rsid w:val="001557BD"/>
    <w:rsid w:val="00163455"/>
    <w:rsid w:val="00164EE1"/>
    <w:rsid w:val="00165794"/>
    <w:rsid w:val="00172A27"/>
    <w:rsid w:val="00173087"/>
    <w:rsid w:val="00174005"/>
    <w:rsid w:val="00175319"/>
    <w:rsid w:val="00177B4B"/>
    <w:rsid w:val="00181505"/>
    <w:rsid w:val="00184582"/>
    <w:rsid w:val="00190168"/>
    <w:rsid w:val="0019053E"/>
    <w:rsid w:val="001A0CF2"/>
    <w:rsid w:val="001A0E75"/>
    <w:rsid w:val="001A1D47"/>
    <w:rsid w:val="001A22E4"/>
    <w:rsid w:val="001A23A4"/>
    <w:rsid w:val="001B0EC4"/>
    <w:rsid w:val="001B1E89"/>
    <w:rsid w:val="001B40AA"/>
    <w:rsid w:val="001B659C"/>
    <w:rsid w:val="001C0BA7"/>
    <w:rsid w:val="001C1832"/>
    <w:rsid w:val="001C2ACB"/>
    <w:rsid w:val="001C72DD"/>
    <w:rsid w:val="001C7671"/>
    <w:rsid w:val="001D3E86"/>
    <w:rsid w:val="001E4633"/>
    <w:rsid w:val="001E7D25"/>
    <w:rsid w:val="001F15A4"/>
    <w:rsid w:val="001F1D8A"/>
    <w:rsid w:val="001F2F04"/>
    <w:rsid w:val="001F4723"/>
    <w:rsid w:val="001F52F3"/>
    <w:rsid w:val="002124FE"/>
    <w:rsid w:val="0021604E"/>
    <w:rsid w:val="00216743"/>
    <w:rsid w:val="0022436E"/>
    <w:rsid w:val="00225A91"/>
    <w:rsid w:val="00226D89"/>
    <w:rsid w:val="0022715D"/>
    <w:rsid w:val="002337A5"/>
    <w:rsid w:val="00237A6E"/>
    <w:rsid w:val="00240193"/>
    <w:rsid w:val="002408F6"/>
    <w:rsid w:val="00244013"/>
    <w:rsid w:val="00253035"/>
    <w:rsid w:val="00254511"/>
    <w:rsid w:val="0025706D"/>
    <w:rsid w:val="00260583"/>
    <w:rsid w:val="00263635"/>
    <w:rsid w:val="00266C24"/>
    <w:rsid w:val="00280D0A"/>
    <w:rsid w:val="00281BDA"/>
    <w:rsid w:val="0029288A"/>
    <w:rsid w:val="0029793F"/>
    <w:rsid w:val="002A0F02"/>
    <w:rsid w:val="002A1A31"/>
    <w:rsid w:val="002A1D7D"/>
    <w:rsid w:val="002A2334"/>
    <w:rsid w:val="002A3973"/>
    <w:rsid w:val="002B6178"/>
    <w:rsid w:val="002C0683"/>
    <w:rsid w:val="002C1372"/>
    <w:rsid w:val="002C5E58"/>
    <w:rsid w:val="002C6FB0"/>
    <w:rsid w:val="002D12C2"/>
    <w:rsid w:val="002D72EA"/>
    <w:rsid w:val="002E1A36"/>
    <w:rsid w:val="002E422B"/>
    <w:rsid w:val="002E586E"/>
    <w:rsid w:val="002E5C3F"/>
    <w:rsid w:val="002F0D32"/>
    <w:rsid w:val="002F20E5"/>
    <w:rsid w:val="002F5300"/>
    <w:rsid w:val="002F7FE4"/>
    <w:rsid w:val="00302BD8"/>
    <w:rsid w:val="00304350"/>
    <w:rsid w:val="00305BD7"/>
    <w:rsid w:val="00311921"/>
    <w:rsid w:val="003129FE"/>
    <w:rsid w:val="003165DA"/>
    <w:rsid w:val="00321EF2"/>
    <w:rsid w:val="00326F12"/>
    <w:rsid w:val="00330867"/>
    <w:rsid w:val="00332201"/>
    <w:rsid w:val="00334368"/>
    <w:rsid w:val="00335DDC"/>
    <w:rsid w:val="0033648D"/>
    <w:rsid w:val="003501CB"/>
    <w:rsid w:val="003513C9"/>
    <w:rsid w:val="00355388"/>
    <w:rsid w:val="00357B0A"/>
    <w:rsid w:val="00357BD2"/>
    <w:rsid w:val="003622A0"/>
    <w:rsid w:val="00370BEB"/>
    <w:rsid w:val="00371053"/>
    <w:rsid w:val="003713D8"/>
    <w:rsid w:val="00373FAC"/>
    <w:rsid w:val="00376175"/>
    <w:rsid w:val="003921BA"/>
    <w:rsid w:val="00392389"/>
    <w:rsid w:val="00396F76"/>
    <w:rsid w:val="003A0EB7"/>
    <w:rsid w:val="003A4DDA"/>
    <w:rsid w:val="003B1B7B"/>
    <w:rsid w:val="003B5A7F"/>
    <w:rsid w:val="003B66EF"/>
    <w:rsid w:val="003D3C69"/>
    <w:rsid w:val="003D3D05"/>
    <w:rsid w:val="003E0F77"/>
    <w:rsid w:val="003E2B27"/>
    <w:rsid w:val="003F3915"/>
    <w:rsid w:val="00406107"/>
    <w:rsid w:val="00406C73"/>
    <w:rsid w:val="00412C22"/>
    <w:rsid w:val="00415134"/>
    <w:rsid w:val="004160CE"/>
    <w:rsid w:val="00423DC3"/>
    <w:rsid w:val="00425283"/>
    <w:rsid w:val="0043099F"/>
    <w:rsid w:val="00442797"/>
    <w:rsid w:val="00443F35"/>
    <w:rsid w:val="00453584"/>
    <w:rsid w:val="0046161E"/>
    <w:rsid w:val="00464158"/>
    <w:rsid w:val="00465139"/>
    <w:rsid w:val="00465C7B"/>
    <w:rsid w:val="00483295"/>
    <w:rsid w:val="004839DE"/>
    <w:rsid w:val="004846E3"/>
    <w:rsid w:val="00485E74"/>
    <w:rsid w:val="00492C08"/>
    <w:rsid w:val="00493190"/>
    <w:rsid w:val="004948F4"/>
    <w:rsid w:val="00497043"/>
    <w:rsid w:val="004A08CA"/>
    <w:rsid w:val="004A09BD"/>
    <w:rsid w:val="004A0B56"/>
    <w:rsid w:val="004B3E06"/>
    <w:rsid w:val="004B5A64"/>
    <w:rsid w:val="004B7E12"/>
    <w:rsid w:val="004C021B"/>
    <w:rsid w:val="004C1D28"/>
    <w:rsid w:val="004C299B"/>
    <w:rsid w:val="004C5CEE"/>
    <w:rsid w:val="004C772F"/>
    <w:rsid w:val="004C79E1"/>
    <w:rsid w:val="004D3C16"/>
    <w:rsid w:val="004E3803"/>
    <w:rsid w:val="00522167"/>
    <w:rsid w:val="005318DC"/>
    <w:rsid w:val="0053402C"/>
    <w:rsid w:val="00537D39"/>
    <w:rsid w:val="0054013E"/>
    <w:rsid w:val="00540A2E"/>
    <w:rsid w:val="0054273A"/>
    <w:rsid w:val="0054598E"/>
    <w:rsid w:val="00550467"/>
    <w:rsid w:val="0055613A"/>
    <w:rsid w:val="00557083"/>
    <w:rsid w:val="005618C2"/>
    <w:rsid w:val="00563386"/>
    <w:rsid w:val="0057033F"/>
    <w:rsid w:val="00574866"/>
    <w:rsid w:val="00577814"/>
    <w:rsid w:val="00580964"/>
    <w:rsid w:val="005815AB"/>
    <w:rsid w:val="00581908"/>
    <w:rsid w:val="0059510E"/>
    <w:rsid w:val="00597C04"/>
    <w:rsid w:val="005A211C"/>
    <w:rsid w:val="005B631A"/>
    <w:rsid w:val="005C05AB"/>
    <w:rsid w:val="005C3891"/>
    <w:rsid w:val="005C56F7"/>
    <w:rsid w:val="005C700A"/>
    <w:rsid w:val="005D0C8E"/>
    <w:rsid w:val="005D5072"/>
    <w:rsid w:val="005D57E4"/>
    <w:rsid w:val="005D6335"/>
    <w:rsid w:val="005D6C5F"/>
    <w:rsid w:val="005F10EE"/>
    <w:rsid w:val="005F2600"/>
    <w:rsid w:val="005F3104"/>
    <w:rsid w:val="005F407D"/>
    <w:rsid w:val="005F5C55"/>
    <w:rsid w:val="005F6FB4"/>
    <w:rsid w:val="006014FF"/>
    <w:rsid w:val="00601CF9"/>
    <w:rsid w:val="006038CA"/>
    <w:rsid w:val="00604FBA"/>
    <w:rsid w:val="0060590C"/>
    <w:rsid w:val="00611707"/>
    <w:rsid w:val="00613410"/>
    <w:rsid w:val="006207D2"/>
    <w:rsid w:val="006215F0"/>
    <w:rsid w:val="00630B74"/>
    <w:rsid w:val="0063613B"/>
    <w:rsid w:val="00650033"/>
    <w:rsid w:val="006518D5"/>
    <w:rsid w:val="00652ED7"/>
    <w:rsid w:val="006542F6"/>
    <w:rsid w:val="00667406"/>
    <w:rsid w:val="00667CBC"/>
    <w:rsid w:val="00670B8D"/>
    <w:rsid w:val="0067277F"/>
    <w:rsid w:val="00673095"/>
    <w:rsid w:val="00685C4E"/>
    <w:rsid w:val="00690979"/>
    <w:rsid w:val="006912CC"/>
    <w:rsid w:val="00692219"/>
    <w:rsid w:val="00692768"/>
    <w:rsid w:val="006B5738"/>
    <w:rsid w:val="006C3EAF"/>
    <w:rsid w:val="006C4B0C"/>
    <w:rsid w:val="006D4E06"/>
    <w:rsid w:val="006D539A"/>
    <w:rsid w:val="006D646F"/>
    <w:rsid w:val="006D715D"/>
    <w:rsid w:val="006E6F7F"/>
    <w:rsid w:val="006F0482"/>
    <w:rsid w:val="006F1A29"/>
    <w:rsid w:val="006F6635"/>
    <w:rsid w:val="006F69DF"/>
    <w:rsid w:val="007010BE"/>
    <w:rsid w:val="00703AA6"/>
    <w:rsid w:val="00704208"/>
    <w:rsid w:val="00704DAD"/>
    <w:rsid w:val="00707303"/>
    <w:rsid w:val="00710B80"/>
    <w:rsid w:val="0071100F"/>
    <w:rsid w:val="00712446"/>
    <w:rsid w:val="00715E8F"/>
    <w:rsid w:val="007339D5"/>
    <w:rsid w:val="00733B8B"/>
    <w:rsid w:val="0074328A"/>
    <w:rsid w:val="007579A2"/>
    <w:rsid w:val="00757A1B"/>
    <w:rsid w:val="00761DEA"/>
    <w:rsid w:val="00763020"/>
    <w:rsid w:val="0077217C"/>
    <w:rsid w:val="007727CE"/>
    <w:rsid w:val="00775721"/>
    <w:rsid w:val="007803C2"/>
    <w:rsid w:val="0078121B"/>
    <w:rsid w:val="00784B14"/>
    <w:rsid w:val="00785046"/>
    <w:rsid w:val="007942D2"/>
    <w:rsid w:val="0079599D"/>
    <w:rsid w:val="007965E8"/>
    <w:rsid w:val="007979D7"/>
    <w:rsid w:val="007A044A"/>
    <w:rsid w:val="007A07A3"/>
    <w:rsid w:val="007A1DCE"/>
    <w:rsid w:val="007A1EDA"/>
    <w:rsid w:val="007A3276"/>
    <w:rsid w:val="007A7FEA"/>
    <w:rsid w:val="007B421B"/>
    <w:rsid w:val="007B496E"/>
    <w:rsid w:val="007B7B22"/>
    <w:rsid w:val="007C0200"/>
    <w:rsid w:val="007C68B2"/>
    <w:rsid w:val="007D508E"/>
    <w:rsid w:val="007D52FB"/>
    <w:rsid w:val="007D61B2"/>
    <w:rsid w:val="007E0916"/>
    <w:rsid w:val="007E1ADA"/>
    <w:rsid w:val="007F4055"/>
    <w:rsid w:val="007F51B9"/>
    <w:rsid w:val="0080040D"/>
    <w:rsid w:val="00803B4F"/>
    <w:rsid w:val="00805424"/>
    <w:rsid w:val="00806285"/>
    <w:rsid w:val="008067B7"/>
    <w:rsid w:val="0080759D"/>
    <w:rsid w:val="00810642"/>
    <w:rsid w:val="0081164D"/>
    <w:rsid w:val="00814095"/>
    <w:rsid w:val="00816115"/>
    <w:rsid w:val="00817390"/>
    <w:rsid w:val="00817CA7"/>
    <w:rsid w:val="00824263"/>
    <w:rsid w:val="008316D8"/>
    <w:rsid w:val="00832573"/>
    <w:rsid w:val="00837DCE"/>
    <w:rsid w:val="0084409E"/>
    <w:rsid w:val="00844285"/>
    <w:rsid w:val="00846856"/>
    <w:rsid w:val="0084709D"/>
    <w:rsid w:val="00852861"/>
    <w:rsid w:val="00857570"/>
    <w:rsid w:val="00860F22"/>
    <w:rsid w:val="008716E3"/>
    <w:rsid w:val="008733FB"/>
    <w:rsid w:val="00873F7F"/>
    <w:rsid w:val="00874CF0"/>
    <w:rsid w:val="00876E4C"/>
    <w:rsid w:val="008834FB"/>
    <w:rsid w:val="0089229B"/>
    <w:rsid w:val="008B2CB9"/>
    <w:rsid w:val="008B41AB"/>
    <w:rsid w:val="008C0F76"/>
    <w:rsid w:val="008C1BE6"/>
    <w:rsid w:val="008D0989"/>
    <w:rsid w:val="008D2D60"/>
    <w:rsid w:val="008D5D67"/>
    <w:rsid w:val="008D6B03"/>
    <w:rsid w:val="008E065B"/>
    <w:rsid w:val="008E07BD"/>
    <w:rsid w:val="008E2499"/>
    <w:rsid w:val="008E5376"/>
    <w:rsid w:val="008F5461"/>
    <w:rsid w:val="009018BC"/>
    <w:rsid w:val="00907531"/>
    <w:rsid w:val="0090768A"/>
    <w:rsid w:val="00911D6F"/>
    <w:rsid w:val="00913BC7"/>
    <w:rsid w:val="00914119"/>
    <w:rsid w:val="00915450"/>
    <w:rsid w:val="0091641A"/>
    <w:rsid w:val="0092046B"/>
    <w:rsid w:val="00921E88"/>
    <w:rsid w:val="00923A6A"/>
    <w:rsid w:val="00926CEC"/>
    <w:rsid w:val="00931B52"/>
    <w:rsid w:val="00932C64"/>
    <w:rsid w:val="00933DA9"/>
    <w:rsid w:val="00934BF5"/>
    <w:rsid w:val="009369D4"/>
    <w:rsid w:val="009375BE"/>
    <w:rsid w:val="00941680"/>
    <w:rsid w:val="009512A3"/>
    <w:rsid w:val="00951760"/>
    <w:rsid w:val="009517A2"/>
    <w:rsid w:val="00953540"/>
    <w:rsid w:val="00956CE6"/>
    <w:rsid w:val="0096372F"/>
    <w:rsid w:val="00965E75"/>
    <w:rsid w:val="00974861"/>
    <w:rsid w:val="00975FAC"/>
    <w:rsid w:val="00983D3E"/>
    <w:rsid w:val="0098452E"/>
    <w:rsid w:val="00984A21"/>
    <w:rsid w:val="00991D89"/>
    <w:rsid w:val="009A1EEF"/>
    <w:rsid w:val="009A2D47"/>
    <w:rsid w:val="009A2FBD"/>
    <w:rsid w:val="009A41E7"/>
    <w:rsid w:val="009B29D3"/>
    <w:rsid w:val="009C3486"/>
    <w:rsid w:val="009C44C6"/>
    <w:rsid w:val="009C5612"/>
    <w:rsid w:val="009C769F"/>
    <w:rsid w:val="009C784E"/>
    <w:rsid w:val="009D661C"/>
    <w:rsid w:val="009D71F0"/>
    <w:rsid w:val="009E3BDA"/>
    <w:rsid w:val="009F2252"/>
    <w:rsid w:val="009F456A"/>
    <w:rsid w:val="009F5034"/>
    <w:rsid w:val="009F7207"/>
    <w:rsid w:val="00A21BF6"/>
    <w:rsid w:val="00A23D14"/>
    <w:rsid w:val="00A370EC"/>
    <w:rsid w:val="00A61312"/>
    <w:rsid w:val="00A61E0A"/>
    <w:rsid w:val="00A63C0D"/>
    <w:rsid w:val="00A7061D"/>
    <w:rsid w:val="00A70C71"/>
    <w:rsid w:val="00A74140"/>
    <w:rsid w:val="00A742B3"/>
    <w:rsid w:val="00A81BD1"/>
    <w:rsid w:val="00A82848"/>
    <w:rsid w:val="00A8304D"/>
    <w:rsid w:val="00A86BA1"/>
    <w:rsid w:val="00A921C8"/>
    <w:rsid w:val="00A939A4"/>
    <w:rsid w:val="00A94F6A"/>
    <w:rsid w:val="00A9769B"/>
    <w:rsid w:val="00AA551B"/>
    <w:rsid w:val="00AB22D6"/>
    <w:rsid w:val="00AB499F"/>
    <w:rsid w:val="00AB4C6E"/>
    <w:rsid w:val="00AC43CD"/>
    <w:rsid w:val="00AC571C"/>
    <w:rsid w:val="00AD19F5"/>
    <w:rsid w:val="00AD4C8B"/>
    <w:rsid w:val="00AD4E0D"/>
    <w:rsid w:val="00AE68CC"/>
    <w:rsid w:val="00AE6E56"/>
    <w:rsid w:val="00AF1CB2"/>
    <w:rsid w:val="00AF2B4A"/>
    <w:rsid w:val="00AF677F"/>
    <w:rsid w:val="00AF68E7"/>
    <w:rsid w:val="00AF6C06"/>
    <w:rsid w:val="00AF7C18"/>
    <w:rsid w:val="00B0086C"/>
    <w:rsid w:val="00B03E3F"/>
    <w:rsid w:val="00B04A21"/>
    <w:rsid w:val="00B05D59"/>
    <w:rsid w:val="00B11567"/>
    <w:rsid w:val="00B1380A"/>
    <w:rsid w:val="00B141CB"/>
    <w:rsid w:val="00B14807"/>
    <w:rsid w:val="00B1555A"/>
    <w:rsid w:val="00B16267"/>
    <w:rsid w:val="00B2110E"/>
    <w:rsid w:val="00B27739"/>
    <w:rsid w:val="00B31F99"/>
    <w:rsid w:val="00B324EB"/>
    <w:rsid w:val="00B334E7"/>
    <w:rsid w:val="00B41240"/>
    <w:rsid w:val="00B42424"/>
    <w:rsid w:val="00B42759"/>
    <w:rsid w:val="00B43FD9"/>
    <w:rsid w:val="00B45137"/>
    <w:rsid w:val="00B47D05"/>
    <w:rsid w:val="00B66D93"/>
    <w:rsid w:val="00B701F6"/>
    <w:rsid w:val="00B7051F"/>
    <w:rsid w:val="00B709E5"/>
    <w:rsid w:val="00B71AE7"/>
    <w:rsid w:val="00B73700"/>
    <w:rsid w:val="00B73CD3"/>
    <w:rsid w:val="00B7663C"/>
    <w:rsid w:val="00B7768A"/>
    <w:rsid w:val="00B84109"/>
    <w:rsid w:val="00B86546"/>
    <w:rsid w:val="00B9549F"/>
    <w:rsid w:val="00B96921"/>
    <w:rsid w:val="00BA14CA"/>
    <w:rsid w:val="00BA300E"/>
    <w:rsid w:val="00BA31AF"/>
    <w:rsid w:val="00BA37E7"/>
    <w:rsid w:val="00BA579C"/>
    <w:rsid w:val="00BA65A9"/>
    <w:rsid w:val="00BB3D5D"/>
    <w:rsid w:val="00BB64F4"/>
    <w:rsid w:val="00BC18E7"/>
    <w:rsid w:val="00BC23D9"/>
    <w:rsid w:val="00BC38D4"/>
    <w:rsid w:val="00BC41EA"/>
    <w:rsid w:val="00BC4B74"/>
    <w:rsid w:val="00BC4C7E"/>
    <w:rsid w:val="00BC6FAD"/>
    <w:rsid w:val="00BD41C0"/>
    <w:rsid w:val="00BD4DC1"/>
    <w:rsid w:val="00BE1CBE"/>
    <w:rsid w:val="00BE3062"/>
    <w:rsid w:val="00BE3B4E"/>
    <w:rsid w:val="00BE425C"/>
    <w:rsid w:val="00BE4C9F"/>
    <w:rsid w:val="00BE7383"/>
    <w:rsid w:val="00C00B79"/>
    <w:rsid w:val="00C020EC"/>
    <w:rsid w:val="00C02712"/>
    <w:rsid w:val="00C10103"/>
    <w:rsid w:val="00C12BD3"/>
    <w:rsid w:val="00C200C4"/>
    <w:rsid w:val="00C214AA"/>
    <w:rsid w:val="00C2231B"/>
    <w:rsid w:val="00C225FC"/>
    <w:rsid w:val="00C30E9F"/>
    <w:rsid w:val="00C33C1A"/>
    <w:rsid w:val="00C436D5"/>
    <w:rsid w:val="00C44304"/>
    <w:rsid w:val="00C45A61"/>
    <w:rsid w:val="00C50A89"/>
    <w:rsid w:val="00C55464"/>
    <w:rsid w:val="00C55606"/>
    <w:rsid w:val="00C558F1"/>
    <w:rsid w:val="00C56107"/>
    <w:rsid w:val="00C574D9"/>
    <w:rsid w:val="00C6154C"/>
    <w:rsid w:val="00C640F4"/>
    <w:rsid w:val="00C70C16"/>
    <w:rsid w:val="00C74456"/>
    <w:rsid w:val="00C74516"/>
    <w:rsid w:val="00C7715F"/>
    <w:rsid w:val="00C82CD2"/>
    <w:rsid w:val="00C904DE"/>
    <w:rsid w:val="00C95898"/>
    <w:rsid w:val="00C96B59"/>
    <w:rsid w:val="00CA12DB"/>
    <w:rsid w:val="00CA2DB4"/>
    <w:rsid w:val="00CA30EE"/>
    <w:rsid w:val="00CB75BE"/>
    <w:rsid w:val="00CC2369"/>
    <w:rsid w:val="00CD49D3"/>
    <w:rsid w:val="00CD6D1F"/>
    <w:rsid w:val="00CD7C0C"/>
    <w:rsid w:val="00CE691B"/>
    <w:rsid w:val="00CE7653"/>
    <w:rsid w:val="00CE7F65"/>
    <w:rsid w:val="00CF1B21"/>
    <w:rsid w:val="00CF3911"/>
    <w:rsid w:val="00CF47E2"/>
    <w:rsid w:val="00D01C4A"/>
    <w:rsid w:val="00D02108"/>
    <w:rsid w:val="00D03D42"/>
    <w:rsid w:val="00D10BBC"/>
    <w:rsid w:val="00D129E5"/>
    <w:rsid w:val="00D319FA"/>
    <w:rsid w:val="00D33143"/>
    <w:rsid w:val="00D414B1"/>
    <w:rsid w:val="00D41A2F"/>
    <w:rsid w:val="00D45864"/>
    <w:rsid w:val="00D55169"/>
    <w:rsid w:val="00D71421"/>
    <w:rsid w:val="00D73953"/>
    <w:rsid w:val="00D75E3C"/>
    <w:rsid w:val="00D80C91"/>
    <w:rsid w:val="00D80F3C"/>
    <w:rsid w:val="00D834AC"/>
    <w:rsid w:val="00D85A59"/>
    <w:rsid w:val="00D92E13"/>
    <w:rsid w:val="00D93A28"/>
    <w:rsid w:val="00D95027"/>
    <w:rsid w:val="00DA418C"/>
    <w:rsid w:val="00DB439D"/>
    <w:rsid w:val="00DB5E63"/>
    <w:rsid w:val="00DC0B63"/>
    <w:rsid w:val="00DC28DD"/>
    <w:rsid w:val="00DC3396"/>
    <w:rsid w:val="00DD3646"/>
    <w:rsid w:val="00DD620E"/>
    <w:rsid w:val="00DD62D3"/>
    <w:rsid w:val="00DD707F"/>
    <w:rsid w:val="00DD7B5A"/>
    <w:rsid w:val="00DE19DC"/>
    <w:rsid w:val="00DF2281"/>
    <w:rsid w:val="00DF2FDE"/>
    <w:rsid w:val="00DF334A"/>
    <w:rsid w:val="00DF66BD"/>
    <w:rsid w:val="00E0181A"/>
    <w:rsid w:val="00E028AF"/>
    <w:rsid w:val="00E105A3"/>
    <w:rsid w:val="00E11B7B"/>
    <w:rsid w:val="00E12914"/>
    <w:rsid w:val="00E13FD1"/>
    <w:rsid w:val="00E1452B"/>
    <w:rsid w:val="00E201BD"/>
    <w:rsid w:val="00E210DB"/>
    <w:rsid w:val="00E255F0"/>
    <w:rsid w:val="00E272BD"/>
    <w:rsid w:val="00E30B11"/>
    <w:rsid w:val="00E3179D"/>
    <w:rsid w:val="00E330ED"/>
    <w:rsid w:val="00E346A0"/>
    <w:rsid w:val="00E37EDB"/>
    <w:rsid w:val="00E4335D"/>
    <w:rsid w:val="00E4674D"/>
    <w:rsid w:val="00E4734B"/>
    <w:rsid w:val="00E50681"/>
    <w:rsid w:val="00E53768"/>
    <w:rsid w:val="00E541E2"/>
    <w:rsid w:val="00E55C1A"/>
    <w:rsid w:val="00E56445"/>
    <w:rsid w:val="00E60419"/>
    <w:rsid w:val="00E64D8A"/>
    <w:rsid w:val="00E65888"/>
    <w:rsid w:val="00E961DD"/>
    <w:rsid w:val="00EA00F8"/>
    <w:rsid w:val="00EA39DF"/>
    <w:rsid w:val="00EB048F"/>
    <w:rsid w:val="00EB411C"/>
    <w:rsid w:val="00EB4168"/>
    <w:rsid w:val="00EB41B1"/>
    <w:rsid w:val="00EB4B3A"/>
    <w:rsid w:val="00EB70A3"/>
    <w:rsid w:val="00EC170C"/>
    <w:rsid w:val="00EC2EDC"/>
    <w:rsid w:val="00EC5193"/>
    <w:rsid w:val="00ED00F9"/>
    <w:rsid w:val="00ED25A4"/>
    <w:rsid w:val="00ED6213"/>
    <w:rsid w:val="00ED7057"/>
    <w:rsid w:val="00EE1F1F"/>
    <w:rsid w:val="00EE76C8"/>
    <w:rsid w:val="00EE7A0D"/>
    <w:rsid w:val="00EE7C99"/>
    <w:rsid w:val="00EF1805"/>
    <w:rsid w:val="00EF1EEA"/>
    <w:rsid w:val="00EF66CF"/>
    <w:rsid w:val="00EF74EB"/>
    <w:rsid w:val="00F05D62"/>
    <w:rsid w:val="00F0643A"/>
    <w:rsid w:val="00F1742B"/>
    <w:rsid w:val="00F24640"/>
    <w:rsid w:val="00F251EE"/>
    <w:rsid w:val="00F25FF1"/>
    <w:rsid w:val="00F322BB"/>
    <w:rsid w:val="00F35421"/>
    <w:rsid w:val="00F42C89"/>
    <w:rsid w:val="00F432D3"/>
    <w:rsid w:val="00F459DC"/>
    <w:rsid w:val="00F5000F"/>
    <w:rsid w:val="00F511E0"/>
    <w:rsid w:val="00F555D1"/>
    <w:rsid w:val="00F61896"/>
    <w:rsid w:val="00F62CC0"/>
    <w:rsid w:val="00F666FE"/>
    <w:rsid w:val="00F676FA"/>
    <w:rsid w:val="00F7223F"/>
    <w:rsid w:val="00F72DA2"/>
    <w:rsid w:val="00F72DDA"/>
    <w:rsid w:val="00F72E1F"/>
    <w:rsid w:val="00F7312A"/>
    <w:rsid w:val="00F8137A"/>
    <w:rsid w:val="00F816CD"/>
    <w:rsid w:val="00F81F3C"/>
    <w:rsid w:val="00F94E8B"/>
    <w:rsid w:val="00FA27E3"/>
    <w:rsid w:val="00FB0CB1"/>
    <w:rsid w:val="00FC0265"/>
    <w:rsid w:val="00FC1B5E"/>
    <w:rsid w:val="00FD2841"/>
    <w:rsid w:val="00FD654E"/>
    <w:rsid w:val="00FD6F7C"/>
    <w:rsid w:val="00FE415E"/>
    <w:rsid w:val="00FF0375"/>
    <w:rsid w:val="00FF2309"/>
    <w:rsid w:val="00FF4840"/>
    <w:rsid w:val="00FF6727"/>
    <w:rsid w:val="0112363F"/>
    <w:rsid w:val="01155C9A"/>
    <w:rsid w:val="01357F39"/>
    <w:rsid w:val="01CF6C06"/>
    <w:rsid w:val="01D31214"/>
    <w:rsid w:val="01EA1863"/>
    <w:rsid w:val="02225B04"/>
    <w:rsid w:val="0246197F"/>
    <w:rsid w:val="02784BCE"/>
    <w:rsid w:val="02863FD0"/>
    <w:rsid w:val="0287615A"/>
    <w:rsid w:val="028B6675"/>
    <w:rsid w:val="029123C4"/>
    <w:rsid w:val="0295277A"/>
    <w:rsid w:val="02EA4873"/>
    <w:rsid w:val="03251029"/>
    <w:rsid w:val="032B2F0C"/>
    <w:rsid w:val="032C7F14"/>
    <w:rsid w:val="03304250"/>
    <w:rsid w:val="033124A2"/>
    <w:rsid w:val="034443F1"/>
    <w:rsid w:val="03563BF1"/>
    <w:rsid w:val="035D3297"/>
    <w:rsid w:val="036B7036"/>
    <w:rsid w:val="037B54CB"/>
    <w:rsid w:val="038A570F"/>
    <w:rsid w:val="03B10F7D"/>
    <w:rsid w:val="03E12A12"/>
    <w:rsid w:val="03EC0177"/>
    <w:rsid w:val="04152B52"/>
    <w:rsid w:val="04184D0C"/>
    <w:rsid w:val="04186B93"/>
    <w:rsid w:val="044E2BE0"/>
    <w:rsid w:val="048C54B6"/>
    <w:rsid w:val="04A863DD"/>
    <w:rsid w:val="04B305E5"/>
    <w:rsid w:val="04BD2E98"/>
    <w:rsid w:val="04D56F76"/>
    <w:rsid w:val="04DA7955"/>
    <w:rsid w:val="04E80917"/>
    <w:rsid w:val="04E83AB4"/>
    <w:rsid w:val="04F308D2"/>
    <w:rsid w:val="0523406D"/>
    <w:rsid w:val="05322502"/>
    <w:rsid w:val="05351CA6"/>
    <w:rsid w:val="053819B2"/>
    <w:rsid w:val="0548762F"/>
    <w:rsid w:val="05616943"/>
    <w:rsid w:val="0599432F"/>
    <w:rsid w:val="05A90A06"/>
    <w:rsid w:val="05C26DA0"/>
    <w:rsid w:val="05E25CD6"/>
    <w:rsid w:val="05E346CE"/>
    <w:rsid w:val="060B1104"/>
    <w:rsid w:val="061D3627"/>
    <w:rsid w:val="0626697C"/>
    <w:rsid w:val="065B5212"/>
    <w:rsid w:val="065D407D"/>
    <w:rsid w:val="06A70C98"/>
    <w:rsid w:val="06B61B93"/>
    <w:rsid w:val="06D03D80"/>
    <w:rsid w:val="070E034F"/>
    <w:rsid w:val="0728596A"/>
    <w:rsid w:val="07414C7E"/>
    <w:rsid w:val="07562ECD"/>
    <w:rsid w:val="07585D35"/>
    <w:rsid w:val="07746BCF"/>
    <w:rsid w:val="077A57C4"/>
    <w:rsid w:val="077E0924"/>
    <w:rsid w:val="07A36F89"/>
    <w:rsid w:val="07AB0349"/>
    <w:rsid w:val="07BD534B"/>
    <w:rsid w:val="07BE62CF"/>
    <w:rsid w:val="07E8334B"/>
    <w:rsid w:val="08040B54"/>
    <w:rsid w:val="080B0286"/>
    <w:rsid w:val="08145EEF"/>
    <w:rsid w:val="08381BDD"/>
    <w:rsid w:val="08423426"/>
    <w:rsid w:val="08571AD4"/>
    <w:rsid w:val="085B58CB"/>
    <w:rsid w:val="086D10C8"/>
    <w:rsid w:val="08763B51"/>
    <w:rsid w:val="08851DF3"/>
    <w:rsid w:val="08986B20"/>
    <w:rsid w:val="08AE0A94"/>
    <w:rsid w:val="08B576D2"/>
    <w:rsid w:val="08C77888"/>
    <w:rsid w:val="08D33112"/>
    <w:rsid w:val="08D56193"/>
    <w:rsid w:val="08F024B8"/>
    <w:rsid w:val="0916711E"/>
    <w:rsid w:val="09260C87"/>
    <w:rsid w:val="0926237D"/>
    <w:rsid w:val="093A017E"/>
    <w:rsid w:val="093D1475"/>
    <w:rsid w:val="09525558"/>
    <w:rsid w:val="095A5B83"/>
    <w:rsid w:val="097A332F"/>
    <w:rsid w:val="09C1086F"/>
    <w:rsid w:val="09E774E6"/>
    <w:rsid w:val="09E87633"/>
    <w:rsid w:val="09F17A71"/>
    <w:rsid w:val="0A145522"/>
    <w:rsid w:val="0A233B87"/>
    <w:rsid w:val="0A32494E"/>
    <w:rsid w:val="0A4B1903"/>
    <w:rsid w:val="0A5A289B"/>
    <w:rsid w:val="0A690774"/>
    <w:rsid w:val="0AD33E3F"/>
    <w:rsid w:val="0AF80FCF"/>
    <w:rsid w:val="0AFC2A87"/>
    <w:rsid w:val="0B0C699C"/>
    <w:rsid w:val="0B666A61"/>
    <w:rsid w:val="0BBB2DCC"/>
    <w:rsid w:val="0BBC4CB7"/>
    <w:rsid w:val="0BC47C2C"/>
    <w:rsid w:val="0C28640C"/>
    <w:rsid w:val="0C2B3D1C"/>
    <w:rsid w:val="0C5965C6"/>
    <w:rsid w:val="0C6A2581"/>
    <w:rsid w:val="0C8B7D07"/>
    <w:rsid w:val="0C8E3110"/>
    <w:rsid w:val="0CB70C04"/>
    <w:rsid w:val="0CE73BD2"/>
    <w:rsid w:val="0CFB142B"/>
    <w:rsid w:val="0D152959"/>
    <w:rsid w:val="0D3A00CE"/>
    <w:rsid w:val="0D4621B6"/>
    <w:rsid w:val="0D5D3E94"/>
    <w:rsid w:val="0D826595"/>
    <w:rsid w:val="0D925C8A"/>
    <w:rsid w:val="0D9C676A"/>
    <w:rsid w:val="0DA442E1"/>
    <w:rsid w:val="0DB527C9"/>
    <w:rsid w:val="0DD24882"/>
    <w:rsid w:val="0DDE5AC2"/>
    <w:rsid w:val="0DE70196"/>
    <w:rsid w:val="0DF31E19"/>
    <w:rsid w:val="0E1C78AB"/>
    <w:rsid w:val="0E2B3EA4"/>
    <w:rsid w:val="0E2D7D70"/>
    <w:rsid w:val="0E2F7A7F"/>
    <w:rsid w:val="0E30158E"/>
    <w:rsid w:val="0E37352D"/>
    <w:rsid w:val="0E460DCC"/>
    <w:rsid w:val="0E50525E"/>
    <w:rsid w:val="0E8617A4"/>
    <w:rsid w:val="0E8D69FB"/>
    <w:rsid w:val="0EBD7878"/>
    <w:rsid w:val="0ED2440E"/>
    <w:rsid w:val="0EFC0B9E"/>
    <w:rsid w:val="0EFC6224"/>
    <w:rsid w:val="0F340C24"/>
    <w:rsid w:val="0F4E618A"/>
    <w:rsid w:val="0F57773A"/>
    <w:rsid w:val="0FC95305"/>
    <w:rsid w:val="0FEB51E9"/>
    <w:rsid w:val="0FF07241"/>
    <w:rsid w:val="10352EA6"/>
    <w:rsid w:val="103D748A"/>
    <w:rsid w:val="10572BB3"/>
    <w:rsid w:val="1060160C"/>
    <w:rsid w:val="10637618"/>
    <w:rsid w:val="107240FA"/>
    <w:rsid w:val="10795489"/>
    <w:rsid w:val="108A4FA0"/>
    <w:rsid w:val="10A65B52"/>
    <w:rsid w:val="10CD35EA"/>
    <w:rsid w:val="10F3091B"/>
    <w:rsid w:val="11100A36"/>
    <w:rsid w:val="11204F9D"/>
    <w:rsid w:val="112E0881"/>
    <w:rsid w:val="112E6273"/>
    <w:rsid w:val="1151264E"/>
    <w:rsid w:val="11961033"/>
    <w:rsid w:val="11B00A36"/>
    <w:rsid w:val="11B61DC5"/>
    <w:rsid w:val="11BA18B5"/>
    <w:rsid w:val="11BA43A3"/>
    <w:rsid w:val="11E72E04"/>
    <w:rsid w:val="11ED1C8A"/>
    <w:rsid w:val="12475F8F"/>
    <w:rsid w:val="124F6188"/>
    <w:rsid w:val="125D07AF"/>
    <w:rsid w:val="126D1B09"/>
    <w:rsid w:val="127F665A"/>
    <w:rsid w:val="128E498E"/>
    <w:rsid w:val="12977E48"/>
    <w:rsid w:val="12AC38F3"/>
    <w:rsid w:val="12AD393E"/>
    <w:rsid w:val="12B97DBE"/>
    <w:rsid w:val="12D3295E"/>
    <w:rsid w:val="1319085D"/>
    <w:rsid w:val="1337424A"/>
    <w:rsid w:val="13616F81"/>
    <w:rsid w:val="136B3CC7"/>
    <w:rsid w:val="137F47EC"/>
    <w:rsid w:val="138008DC"/>
    <w:rsid w:val="13AF4D1D"/>
    <w:rsid w:val="13B642FE"/>
    <w:rsid w:val="13B80076"/>
    <w:rsid w:val="13E122AF"/>
    <w:rsid w:val="14074247"/>
    <w:rsid w:val="14164D9C"/>
    <w:rsid w:val="143D1571"/>
    <w:rsid w:val="144302DE"/>
    <w:rsid w:val="145B17C5"/>
    <w:rsid w:val="145D29CB"/>
    <w:rsid w:val="146D3D16"/>
    <w:rsid w:val="14777F31"/>
    <w:rsid w:val="147C5547"/>
    <w:rsid w:val="149E726C"/>
    <w:rsid w:val="149F62FB"/>
    <w:rsid w:val="14AB3F50"/>
    <w:rsid w:val="14BB78A8"/>
    <w:rsid w:val="14E05820"/>
    <w:rsid w:val="14FC3F92"/>
    <w:rsid w:val="15035321"/>
    <w:rsid w:val="15485AF9"/>
    <w:rsid w:val="154D4D90"/>
    <w:rsid w:val="155E61A1"/>
    <w:rsid w:val="156B3E48"/>
    <w:rsid w:val="15995524"/>
    <w:rsid w:val="15CC7688"/>
    <w:rsid w:val="15D55DE5"/>
    <w:rsid w:val="160B5A08"/>
    <w:rsid w:val="16273595"/>
    <w:rsid w:val="16465E0D"/>
    <w:rsid w:val="16473933"/>
    <w:rsid w:val="164B3423"/>
    <w:rsid w:val="165E23C1"/>
    <w:rsid w:val="166A5E6A"/>
    <w:rsid w:val="166F668F"/>
    <w:rsid w:val="167C538B"/>
    <w:rsid w:val="168035E6"/>
    <w:rsid w:val="16920812"/>
    <w:rsid w:val="16B8031D"/>
    <w:rsid w:val="16EB42BE"/>
    <w:rsid w:val="16ED1DAE"/>
    <w:rsid w:val="16F348E7"/>
    <w:rsid w:val="16FF7D6A"/>
    <w:rsid w:val="1710124D"/>
    <w:rsid w:val="17390876"/>
    <w:rsid w:val="174E307B"/>
    <w:rsid w:val="1763654B"/>
    <w:rsid w:val="176531A5"/>
    <w:rsid w:val="17681DB3"/>
    <w:rsid w:val="177B7D38"/>
    <w:rsid w:val="17D66D1D"/>
    <w:rsid w:val="18001862"/>
    <w:rsid w:val="181F7263"/>
    <w:rsid w:val="182E0907"/>
    <w:rsid w:val="184F41FC"/>
    <w:rsid w:val="185F31B6"/>
    <w:rsid w:val="188D22BD"/>
    <w:rsid w:val="18980476"/>
    <w:rsid w:val="189B076B"/>
    <w:rsid w:val="18EE7E86"/>
    <w:rsid w:val="18F123F8"/>
    <w:rsid w:val="18F156A4"/>
    <w:rsid w:val="190A7CF4"/>
    <w:rsid w:val="190B2632"/>
    <w:rsid w:val="191044B0"/>
    <w:rsid w:val="193D4FFE"/>
    <w:rsid w:val="19454464"/>
    <w:rsid w:val="19600AC2"/>
    <w:rsid w:val="196466C4"/>
    <w:rsid w:val="196A0064"/>
    <w:rsid w:val="19762565"/>
    <w:rsid w:val="19B14345"/>
    <w:rsid w:val="19E2747D"/>
    <w:rsid w:val="19E576EB"/>
    <w:rsid w:val="19E80F89"/>
    <w:rsid w:val="1A19705E"/>
    <w:rsid w:val="1A4C6D74"/>
    <w:rsid w:val="1A4F28E3"/>
    <w:rsid w:val="1A6C1BBA"/>
    <w:rsid w:val="1A805517"/>
    <w:rsid w:val="1A911621"/>
    <w:rsid w:val="1AED482B"/>
    <w:rsid w:val="1B27504D"/>
    <w:rsid w:val="1B2D74FD"/>
    <w:rsid w:val="1B6260CC"/>
    <w:rsid w:val="1B721452"/>
    <w:rsid w:val="1B8E6A16"/>
    <w:rsid w:val="1BB630ED"/>
    <w:rsid w:val="1BC54B1A"/>
    <w:rsid w:val="1BD34E66"/>
    <w:rsid w:val="1BED0F49"/>
    <w:rsid w:val="1BFB4FA4"/>
    <w:rsid w:val="1C044247"/>
    <w:rsid w:val="1C062A6C"/>
    <w:rsid w:val="1C072BF2"/>
    <w:rsid w:val="1C3C5A5F"/>
    <w:rsid w:val="1C60075F"/>
    <w:rsid w:val="1C634F91"/>
    <w:rsid w:val="1C7550B1"/>
    <w:rsid w:val="1C755A82"/>
    <w:rsid w:val="1C77788A"/>
    <w:rsid w:val="1C784846"/>
    <w:rsid w:val="1C88041F"/>
    <w:rsid w:val="1C9571A6"/>
    <w:rsid w:val="1C9C6787"/>
    <w:rsid w:val="1CBE152E"/>
    <w:rsid w:val="1CD326F1"/>
    <w:rsid w:val="1CEE4B08"/>
    <w:rsid w:val="1D0929C7"/>
    <w:rsid w:val="1D373FB2"/>
    <w:rsid w:val="1D4209B0"/>
    <w:rsid w:val="1D633229"/>
    <w:rsid w:val="1D982C88"/>
    <w:rsid w:val="1DA72E39"/>
    <w:rsid w:val="1DBC54C5"/>
    <w:rsid w:val="1DCA1E79"/>
    <w:rsid w:val="1DCB2575"/>
    <w:rsid w:val="1DE746B9"/>
    <w:rsid w:val="1E0B3CC6"/>
    <w:rsid w:val="1E256308"/>
    <w:rsid w:val="1E3438BB"/>
    <w:rsid w:val="1E5135A1"/>
    <w:rsid w:val="1E5E7A6C"/>
    <w:rsid w:val="1E94380D"/>
    <w:rsid w:val="1E9D79B4"/>
    <w:rsid w:val="1EAC3F47"/>
    <w:rsid w:val="1EE6018D"/>
    <w:rsid w:val="1EF06916"/>
    <w:rsid w:val="1F244811"/>
    <w:rsid w:val="1F2E743E"/>
    <w:rsid w:val="1F35643E"/>
    <w:rsid w:val="1F3C1B5B"/>
    <w:rsid w:val="1F666BD8"/>
    <w:rsid w:val="1F7623B1"/>
    <w:rsid w:val="1F813A12"/>
    <w:rsid w:val="1F917661"/>
    <w:rsid w:val="1F933745"/>
    <w:rsid w:val="1FE83A91"/>
    <w:rsid w:val="1FEA7809"/>
    <w:rsid w:val="1FEE50AE"/>
    <w:rsid w:val="20026F70"/>
    <w:rsid w:val="200F6DA8"/>
    <w:rsid w:val="200F7270"/>
    <w:rsid w:val="20254D46"/>
    <w:rsid w:val="205904EB"/>
    <w:rsid w:val="20655432"/>
    <w:rsid w:val="209D6559"/>
    <w:rsid w:val="20A35C0A"/>
    <w:rsid w:val="20AC4ABE"/>
    <w:rsid w:val="20C074F1"/>
    <w:rsid w:val="20DA3535"/>
    <w:rsid w:val="20DB53A4"/>
    <w:rsid w:val="20E73D48"/>
    <w:rsid w:val="21132D8F"/>
    <w:rsid w:val="2122788E"/>
    <w:rsid w:val="21385284"/>
    <w:rsid w:val="214D44F3"/>
    <w:rsid w:val="215D592A"/>
    <w:rsid w:val="216B6728"/>
    <w:rsid w:val="2175528F"/>
    <w:rsid w:val="217A2E0F"/>
    <w:rsid w:val="21817CF9"/>
    <w:rsid w:val="21A606D7"/>
    <w:rsid w:val="21BF4FC3"/>
    <w:rsid w:val="21C30312"/>
    <w:rsid w:val="21C37134"/>
    <w:rsid w:val="21E464DA"/>
    <w:rsid w:val="22346EEE"/>
    <w:rsid w:val="223B434C"/>
    <w:rsid w:val="22431452"/>
    <w:rsid w:val="22432FD4"/>
    <w:rsid w:val="2251554A"/>
    <w:rsid w:val="22552F34"/>
    <w:rsid w:val="22614D52"/>
    <w:rsid w:val="22B53BFC"/>
    <w:rsid w:val="22CA0D58"/>
    <w:rsid w:val="22DF73CD"/>
    <w:rsid w:val="22EB3FC4"/>
    <w:rsid w:val="23010991"/>
    <w:rsid w:val="2309269C"/>
    <w:rsid w:val="231D1CA3"/>
    <w:rsid w:val="23710B36"/>
    <w:rsid w:val="2373573B"/>
    <w:rsid w:val="23983A20"/>
    <w:rsid w:val="239A443F"/>
    <w:rsid w:val="23A30EBB"/>
    <w:rsid w:val="23A3264F"/>
    <w:rsid w:val="23D17653"/>
    <w:rsid w:val="244871F4"/>
    <w:rsid w:val="24575689"/>
    <w:rsid w:val="246D2328"/>
    <w:rsid w:val="248D262D"/>
    <w:rsid w:val="24AA0E73"/>
    <w:rsid w:val="24C4499A"/>
    <w:rsid w:val="24E011DB"/>
    <w:rsid w:val="25030CF8"/>
    <w:rsid w:val="250B6006"/>
    <w:rsid w:val="251A1320"/>
    <w:rsid w:val="252157F8"/>
    <w:rsid w:val="252C67BC"/>
    <w:rsid w:val="253A6130"/>
    <w:rsid w:val="2556149D"/>
    <w:rsid w:val="255F47F5"/>
    <w:rsid w:val="25740694"/>
    <w:rsid w:val="259C15A5"/>
    <w:rsid w:val="25A5387E"/>
    <w:rsid w:val="25A61F60"/>
    <w:rsid w:val="25E87DB6"/>
    <w:rsid w:val="262032E8"/>
    <w:rsid w:val="262C2703"/>
    <w:rsid w:val="263537A8"/>
    <w:rsid w:val="263F0183"/>
    <w:rsid w:val="264B2844"/>
    <w:rsid w:val="26577D78"/>
    <w:rsid w:val="265E0AC9"/>
    <w:rsid w:val="266B65D5"/>
    <w:rsid w:val="26737C48"/>
    <w:rsid w:val="267E0CAB"/>
    <w:rsid w:val="26812549"/>
    <w:rsid w:val="26867B60"/>
    <w:rsid w:val="268C786C"/>
    <w:rsid w:val="26A440C8"/>
    <w:rsid w:val="26BF34A4"/>
    <w:rsid w:val="26D703BB"/>
    <w:rsid w:val="26DE7F7F"/>
    <w:rsid w:val="26FC3E21"/>
    <w:rsid w:val="27027B2E"/>
    <w:rsid w:val="271138CD"/>
    <w:rsid w:val="27201D62"/>
    <w:rsid w:val="274E4B21"/>
    <w:rsid w:val="274F3656"/>
    <w:rsid w:val="275A1718"/>
    <w:rsid w:val="275A34C6"/>
    <w:rsid w:val="2786213D"/>
    <w:rsid w:val="278E0E5A"/>
    <w:rsid w:val="2791350F"/>
    <w:rsid w:val="27A449B4"/>
    <w:rsid w:val="27AB2B46"/>
    <w:rsid w:val="27B02500"/>
    <w:rsid w:val="27DA6D2D"/>
    <w:rsid w:val="27DB7654"/>
    <w:rsid w:val="27F31225"/>
    <w:rsid w:val="280E0D94"/>
    <w:rsid w:val="28395610"/>
    <w:rsid w:val="28475A91"/>
    <w:rsid w:val="284E0B51"/>
    <w:rsid w:val="28577C87"/>
    <w:rsid w:val="28810F26"/>
    <w:rsid w:val="28881837"/>
    <w:rsid w:val="28A349F9"/>
    <w:rsid w:val="28AB7D51"/>
    <w:rsid w:val="28B57337"/>
    <w:rsid w:val="28C0374E"/>
    <w:rsid w:val="28C46267"/>
    <w:rsid w:val="28D454C5"/>
    <w:rsid w:val="28DC7F0B"/>
    <w:rsid w:val="28E92B3F"/>
    <w:rsid w:val="29053906"/>
    <w:rsid w:val="290C2F59"/>
    <w:rsid w:val="290F02E0"/>
    <w:rsid w:val="292D0766"/>
    <w:rsid w:val="293A6180"/>
    <w:rsid w:val="294D29B7"/>
    <w:rsid w:val="2957306E"/>
    <w:rsid w:val="295B66B8"/>
    <w:rsid w:val="295D104C"/>
    <w:rsid w:val="296038EE"/>
    <w:rsid w:val="297C64FE"/>
    <w:rsid w:val="29A4278B"/>
    <w:rsid w:val="29A7676B"/>
    <w:rsid w:val="29B56494"/>
    <w:rsid w:val="29EE2CF5"/>
    <w:rsid w:val="2A2B052E"/>
    <w:rsid w:val="2A385C74"/>
    <w:rsid w:val="2A570191"/>
    <w:rsid w:val="2A742AF1"/>
    <w:rsid w:val="2A752F2D"/>
    <w:rsid w:val="2A7C4BD9"/>
    <w:rsid w:val="2A7D6DE4"/>
    <w:rsid w:val="2AA946BA"/>
    <w:rsid w:val="2AC375C8"/>
    <w:rsid w:val="2ACF474A"/>
    <w:rsid w:val="2AED4651"/>
    <w:rsid w:val="2B1020EE"/>
    <w:rsid w:val="2B1461DB"/>
    <w:rsid w:val="2B1E0CAF"/>
    <w:rsid w:val="2B287437"/>
    <w:rsid w:val="2B441FBB"/>
    <w:rsid w:val="2B4F3D2D"/>
    <w:rsid w:val="2B5437A2"/>
    <w:rsid w:val="2B5B15BB"/>
    <w:rsid w:val="2B5C5333"/>
    <w:rsid w:val="2B634913"/>
    <w:rsid w:val="2B863664"/>
    <w:rsid w:val="2BA03472"/>
    <w:rsid w:val="2BAD74A0"/>
    <w:rsid w:val="2BB1567F"/>
    <w:rsid w:val="2BBC0493"/>
    <w:rsid w:val="2BC730F4"/>
    <w:rsid w:val="2BF06158"/>
    <w:rsid w:val="2BFE6D9A"/>
    <w:rsid w:val="2C0559CB"/>
    <w:rsid w:val="2C1B2CF0"/>
    <w:rsid w:val="2C245E51"/>
    <w:rsid w:val="2C270A13"/>
    <w:rsid w:val="2C4402A1"/>
    <w:rsid w:val="2C593C73"/>
    <w:rsid w:val="2C68541E"/>
    <w:rsid w:val="2C6941AB"/>
    <w:rsid w:val="2C6B1CD2"/>
    <w:rsid w:val="2C9A25B7"/>
    <w:rsid w:val="2C9E20A7"/>
    <w:rsid w:val="2CB01DDA"/>
    <w:rsid w:val="2CD87B02"/>
    <w:rsid w:val="2CE974BF"/>
    <w:rsid w:val="2CEE0A10"/>
    <w:rsid w:val="2D145EC5"/>
    <w:rsid w:val="2D171DA8"/>
    <w:rsid w:val="2D2B3D46"/>
    <w:rsid w:val="2D493389"/>
    <w:rsid w:val="2D5C786C"/>
    <w:rsid w:val="2D641114"/>
    <w:rsid w:val="2DC323F0"/>
    <w:rsid w:val="2DCA2A28"/>
    <w:rsid w:val="2DD35D80"/>
    <w:rsid w:val="2DD461B9"/>
    <w:rsid w:val="2DE7098D"/>
    <w:rsid w:val="2E232138"/>
    <w:rsid w:val="2E255492"/>
    <w:rsid w:val="2E426A62"/>
    <w:rsid w:val="2E4E18AB"/>
    <w:rsid w:val="2E5E6652"/>
    <w:rsid w:val="2E6F28C9"/>
    <w:rsid w:val="2E7C6894"/>
    <w:rsid w:val="2E8452CD"/>
    <w:rsid w:val="2E8C332B"/>
    <w:rsid w:val="2E9372BE"/>
    <w:rsid w:val="2E984EEC"/>
    <w:rsid w:val="2EA66FF1"/>
    <w:rsid w:val="2EB060C2"/>
    <w:rsid w:val="2EBF1843"/>
    <w:rsid w:val="2EC4290F"/>
    <w:rsid w:val="2ECF27B5"/>
    <w:rsid w:val="2EDE76A9"/>
    <w:rsid w:val="2EE71C6D"/>
    <w:rsid w:val="2EEC6F34"/>
    <w:rsid w:val="2EEF6BEA"/>
    <w:rsid w:val="2F067A90"/>
    <w:rsid w:val="2F0F27BB"/>
    <w:rsid w:val="2F1E5661"/>
    <w:rsid w:val="2F6D2A2C"/>
    <w:rsid w:val="2F7075FF"/>
    <w:rsid w:val="2F77513E"/>
    <w:rsid w:val="2F8D6403"/>
    <w:rsid w:val="2FB120F1"/>
    <w:rsid w:val="2FE73D65"/>
    <w:rsid w:val="2FE93DEA"/>
    <w:rsid w:val="2FFD5044"/>
    <w:rsid w:val="30015C21"/>
    <w:rsid w:val="300C2463"/>
    <w:rsid w:val="30112B90"/>
    <w:rsid w:val="302A1EA4"/>
    <w:rsid w:val="302E0946"/>
    <w:rsid w:val="304940D8"/>
    <w:rsid w:val="305E56A9"/>
    <w:rsid w:val="308D68F9"/>
    <w:rsid w:val="309A7018"/>
    <w:rsid w:val="30A42127"/>
    <w:rsid w:val="30B66089"/>
    <w:rsid w:val="30BA13A2"/>
    <w:rsid w:val="30C00FBA"/>
    <w:rsid w:val="30D2730A"/>
    <w:rsid w:val="31060F65"/>
    <w:rsid w:val="31094EB2"/>
    <w:rsid w:val="31272F41"/>
    <w:rsid w:val="3129272A"/>
    <w:rsid w:val="312952CD"/>
    <w:rsid w:val="313A1C72"/>
    <w:rsid w:val="315F0A52"/>
    <w:rsid w:val="317156CC"/>
    <w:rsid w:val="31D2634F"/>
    <w:rsid w:val="31D77582"/>
    <w:rsid w:val="31E367AE"/>
    <w:rsid w:val="32140412"/>
    <w:rsid w:val="321B48D9"/>
    <w:rsid w:val="323963CE"/>
    <w:rsid w:val="323A770A"/>
    <w:rsid w:val="323B6109"/>
    <w:rsid w:val="323E5792"/>
    <w:rsid w:val="32402E63"/>
    <w:rsid w:val="329F26D5"/>
    <w:rsid w:val="32AB107A"/>
    <w:rsid w:val="32B617CD"/>
    <w:rsid w:val="32C20171"/>
    <w:rsid w:val="32C21E98"/>
    <w:rsid w:val="32CD2419"/>
    <w:rsid w:val="32CE4E89"/>
    <w:rsid w:val="330864CC"/>
    <w:rsid w:val="33204A51"/>
    <w:rsid w:val="333D3C9C"/>
    <w:rsid w:val="333F17C2"/>
    <w:rsid w:val="334262C3"/>
    <w:rsid w:val="3344096D"/>
    <w:rsid w:val="334868C9"/>
    <w:rsid w:val="33641229"/>
    <w:rsid w:val="3374731A"/>
    <w:rsid w:val="338D18E9"/>
    <w:rsid w:val="339733AC"/>
    <w:rsid w:val="33BC72B7"/>
    <w:rsid w:val="33C62222"/>
    <w:rsid w:val="33CB12A8"/>
    <w:rsid w:val="33D77C4D"/>
    <w:rsid w:val="340978C3"/>
    <w:rsid w:val="340F0534"/>
    <w:rsid w:val="341A2D9B"/>
    <w:rsid w:val="342F5CDB"/>
    <w:rsid w:val="343230D5"/>
    <w:rsid w:val="343B1EFA"/>
    <w:rsid w:val="344078BE"/>
    <w:rsid w:val="344835C0"/>
    <w:rsid w:val="34607FEC"/>
    <w:rsid w:val="348002E4"/>
    <w:rsid w:val="348F0812"/>
    <w:rsid w:val="34951FE2"/>
    <w:rsid w:val="34977E10"/>
    <w:rsid w:val="34D0301A"/>
    <w:rsid w:val="34D16D92"/>
    <w:rsid w:val="34E15227"/>
    <w:rsid w:val="34E70CDD"/>
    <w:rsid w:val="34E77F0E"/>
    <w:rsid w:val="34ED6EBA"/>
    <w:rsid w:val="34FA3BF3"/>
    <w:rsid w:val="353270EE"/>
    <w:rsid w:val="35337105"/>
    <w:rsid w:val="357331BF"/>
    <w:rsid w:val="357F21C9"/>
    <w:rsid w:val="35821545"/>
    <w:rsid w:val="358D2CB9"/>
    <w:rsid w:val="35AF7D82"/>
    <w:rsid w:val="35B02E16"/>
    <w:rsid w:val="35BA7826"/>
    <w:rsid w:val="35DC6A5F"/>
    <w:rsid w:val="35FE0BA4"/>
    <w:rsid w:val="3607245F"/>
    <w:rsid w:val="361433DA"/>
    <w:rsid w:val="36162CAE"/>
    <w:rsid w:val="36186F5B"/>
    <w:rsid w:val="3624433A"/>
    <w:rsid w:val="36357FBD"/>
    <w:rsid w:val="366F2DFA"/>
    <w:rsid w:val="368814A3"/>
    <w:rsid w:val="368F480F"/>
    <w:rsid w:val="36B52E57"/>
    <w:rsid w:val="36B81A07"/>
    <w:rsid w:val="36BC7A7B"/>
    <w:rsid w:val="36D25F43"/>
    <w:rsid w:val="36D641EB"/>
    <w:rsid w:val="36E02DC9"/>
    <w:rsid w:val="36F6663C"/>
    <w:rsid w:val="37197DF1"/>
    <w:rsid w:val="372D6F71"/>
    <w:rsid w:val="37447FD1"/>
    <w:rsid w:val="374B6987"/>
    <w:rsid w:val="375F68D7"/>
    <w:rsid w:val="37681CF2"/>
    <w:rsid w:val="37692071"/>
    <w:rsid w:val="37695060"/>
    <w:rsid w:val="376B527C"/>
    <w:rsid w:val="378974B0"/>
    <w:rsid w:val="378F6E97"/>
    <w:rsid w:val="378F705B"/>
    <w:rsid w:val="37902F95"/>
    <w:rsid w:val="37CB57BF"/>
    <w:rsid w:val="3801173C"/>
    <w:rsid w:val="3805122C"/>
    <w:rsid w:val="38165081"/>
    <w:rsid w:val="3847606F"/>
    <w:rsid w:val="384D2BD3"/>
    <w:rsid w:val="38877E93"/>
    <w:rsid w:val="388B0DDA"/>
    <w:rsid w:val="38966215"/>
    <w:rsid w:val="38A40429"/>
    <w:rsid w:val="38E726E0"/>
    <w:rsid w:val="38F72381"/>
    <w:rsid w:val="39237490"/>
    <w:rsid w:val="395B1F09"/>
    <w:rsid w:val="39730361"/>
    <w:rsid w:val="397F500E"/>
    <w:rsid w:val="3986014B"/>
    <w:rsid w:val="39A01A02"/>
    <w:rsid w:val="39AC3A04"/>
    <w:rsid w:val="39B34CB8"/>
    <w:rsid w:val="39BC591B"/>
    <w:rsid w:val="39BE57C7"/>
    <w:rsid w:val="39CA26E2"/>
    <w:rsid w:val="39CE564E"/>
    <w:rsid w:val="39DA3FF3"/>
    <w:rsid w:val="39E81075"/>
    <w:rsid w:val="39ED0413"/>
    <w:rsid w:val="39FE4185"/>
    <w:rsid w:val="3A124C1B"/>
    <w:rsid w:val="3A2040D9"/>
    <w:rsid w:val="3A3345B9"/>
    <w:rsid w:val="3A5B7D34"/>
    <w:rsid w:val="3A654204"/>
    <w:rsid w:val="3A685AA2"/>
    <w:rsid w:val="3A712BA9"/>
    <w:rsid w:val="3A830C55"/>
    <w:rsid w:val="3A922BA2"/>
    <w:rsid w:val="3AAF547F"/>
    <w:rsid w:val="3ACA62D6"/>
    <w:rsid w:val="3AD1189A"/>
    <w:rsid w:val="3AD6739C"/>
    <w:rsid w:val="3ADF3DE1"/>
    <w:rsid w:val="3B0A4DAB"/>
    <w:rsid w:val="3B15759C"/>
    <w:rsid w:val="3B293E99"/>
    <w:rsid w:val="3B334F0C"/>
    <w:rsid w:val="3B375D87"/>
    <w:rsid w:val="3B663722"/>
    <w:rsid w:val="3B8336CD"/>
    <w:rsid w:val="3B90705F"/>
    <w:rsid w:val="3BA23236"/>
    <w:rsid w:val="3BDA652C"/>
    <w:rsid w:val="3C0D06AF"/>
    <w:rsid w:val="3C261162"/>
    <w:rsid w:val="3C2F30FE"/>
    <w:rsid w:val="3C406CD7"/>
    <w:rsid w:val="3C464EC8"/>
    <w:rsid w:val="3C541977"/>
    <w:rsid w:val="3C615C0D"/>
    <w:rsid w:val="3C745D26"/>
    <w:rsid w:val="3C7F0E81"/>
    <w:rsid w:val="3C90308E"/>
    <w:rsid w:val="3CB217EF"/>
    <w:rsid w:val="3CB9495A"/>
    <w:rsid w:val="3CBA0C52"/>
    <w:rsid w:val="3CBE7045"/>
    <w:rsid w:val="3CDB5E9F"/>
    <w:rsid w:val="3CE21B3C"/>
    <w:rsid w:val="3CEC4769"/>
    <w:rsid w:val="3CF655E7"/>
    <w:rsid w:val="3CFE1F48"/>
    <w:rsid w:val="3D124B9D"/>
    <w:rsid w:val="3D3A3551"/>
    <w:rsid w:val="3D5471C7"/>
    <w:rsid w:val="3D624A2B"/>
    <w:rsid w:val="3D7665A7"/>
    <w:rsid w:val="3DA46DF1"/>
    <w:rsid w:val="3DC01751"/>
    <w:rsid w:val="3DD05E38"/>
    <w:rsid w:val="3DDC4C4A"/>
    <w:rsid w:val="3DEE1118"/>
    <w:rsid w:val="3E285C74"/>
    <w:rsid w:val="3ED90D1D"/>
    <w:rsid w:val="3F075CC4"/>
    <w:rsid w:val="3F152FAD"/>
    <w:rsid w:val="3F1B5E8B"/>
    <w:rsid w:val="3F222B34"/>
    <w:rsid w:val="3F4E170B"/>
    <w:rsid w:val="3F542E8D"/>
    <w:rsid w:val="3F5A4ECA"/>
    <w:rsid w:val="3F724CC8"/>
    <w:rsid w:val="3F7F260A"/>
    <w:rsid w:val="3F8A64BB"/>
    <w:rsid w:val="3FA330D9"/>
    <w:rsid w:val="3FC165DA"/>
    <w:rsid w:val="3FED0625"/>
    <w:rsid w:val="3FF57DD8"/>
    <w:rsid w:val="404A71C2"/>
    <w:rsid w:val="40555F24"/>
    <w:rsid w:val="406665E0"/>
    <w:rsid w:val="40A92971"/>
    <w:rsid w:val="40AF442B"/>
    <w:rsid w:val="40BF30AA"/>
    <w:rsid w:val="40CE2EA1"/>
    <w:rsid w:val="40EB7C06"/>
    <w:rsid w:val="40FC6F44"/>
    <w:rsid w:val="41115F4D"/>
    <w:rsid w:val="41265D6F"/>
    <w:rsid w:val="41432F6C"/>
    <w:rsid w:val="415B7E23"/>
    <w:rsid w:val="415E19AD"/>
    <w:rsid w:val="4160587C"/>
    <w:rsid w:val="418238EE"/>
    <w:rsid w:val="418A0187"/>
    <w:rsid w:val="41986C6D"/>
    <w:rsid w:val="419A5C22"/>
    <w:rsid w:val="41C31810"/>
    <w:rsid w:val="41C37A62"/>
    <w:rsid w:val="41CC2DBB"/>
    <w:rsid w:val="41CE3850"/>
    <w:rsid w:val="41F67E38"/>
    <w:rsid w:val="41FD58ED"/>
    <w:rsid w:val="42024A2E"/>
    <w:rsid w:val="425B7C9B"/>
    <w:rsid w:val="425D7EB7"/>
    <w:rsid w:val="425F3C2F"/>
    <w:rsid w:val="426D00FA"/>
    <w:rsid w:val="427C033D"/>
    <w:rsid w:val="429D118A"/>
    <w:rsid w:val="429F0470"/>
    <w:rsid w:val="42B7371C"/>
    <w:rsid w:val="42DA5063"/>
    <w:rsid w:val="42F63A31"/>
    <w:rsid w:val="4326474D"/>
    <w:rsid w:val="43426C26"/>
    <w:rsid w:val="4346191F"/>
    <w:rsid w:val="435B772B"/>
    <w:rsid w:val="436C3DA8"/>
    <w:rsid w:val="4381022E"/>
    <w:rsid w:val="43A50901"/>
    <w:rsid w:val="43C07C02"/>
    <w:rsid w:val="43C755E8"/>
    <w:rsid w:val="43E73EDC"/>
    <w:rsid w:val="44024872"/>
    <w:rsid w:val="44057512"/>
    <w:rsid w:val="440B5E1C"/>
    <w:rsid w:val="4435362E"/>
    <w:rsid w:val="443F1622"/>
    <w:rsid w:val="447659E0"/>
    <w:rsid w:val="44A91191"/>
    <w:rsid w:val="44AE6655"/>
    <w:rsid w:val="44B64CC5"/>
    <w:rsid w:val="44DD0E3B"/>
    <w:rsid w:val="44EF6789"/>
    <w:rsid w:val="44F41510"/>
    <w:rsid w:val="44FE50C9"/>
    <w:rsid w:val="450F0765"/>
    <w:rsid w:val="451D79BE"/>
    <w:rsid w:val="45250754"/>
    <w:rsid w:val="4543159E"/>
    <w:rsid w:val="454F2556"/>
    <w:rsid w:val="45695656"/>
    <w:rsid w:val="456B006A"/>
    <w:rsid w:val="45765517"/>
    <w:rsid w:val="459D5772"/>
    <w:rsid w:val="45C30031"/>
    <w:rsid w:val="45D8144D"/>
    <w:rsid w:val="45FC2C48"/>
    <w:rsid w:val="460077F5"/>
    <w:rsid w:val="46073E11"/>
    <w:rsid w:val="46116FEE"/>
    <w:rsid w:val="462E4787"/>
    <w:rsid w:val="463158E2"/>
    <w:rsid w:val="463D487F"/>
    <w:rsid w:val="465A047D"/>
    <w:rsid w:val="46A14816"/>
    <w:rsid w:val="46AD5A47"/>
    <w:rsid w:val="46C55542"/>
    <w:rsid w:val="46D32B76"/>
    <w:rsid w:val="46F33785"/>
    <w:rsid w:val="46F96400"/>
    <w:rsid w:val="46FB3CA6"/>
    <w:rsid w:val="46FD1503"/>
    <w:rsid w:val="471425D5"/>
    <w:rsid w:val="471F1EF1"/>
    <w:rsid w:val="472D0C3C"/>
    <w:rsid w:val="474B6530"/>
    <w:rsid w:val="47617B01"/>
    <w:rsid w:val="47673B45"/>
    <w:rsid w:val="47BE38F4"/>
    <w:rsid w:val="47D227AD"/>
    <w:rsid w:val="47D429C9"/>
    <w:rsid w:val="47ED4A81"/>
    <w:rsid w:val="47F04C29"/>
    <w:rsid w:val="48082673"/>
    <w:rsid w:val="481C6FDF"/>
    <w:rsid w:val="48272AF9"/>
    <w:rsid w:val="483752B6"/>
    <w:rsid w:val="48392779"/>
    <w:rsid w:val="48474DA0"/>
    <w:rsid w:val="484B68ED"/>
    <w:rsid w:val="485938C8"/>
    <w:rsid w:val="4884619D"/>
    <w:rsid w:val="48904B42"/>
    <w:rsid w:val="4898765F"/>
    <w:rsid w:val="489B5295"/>
    <w:rsid w:val="48AE7858"/>
    <w:rsid w:val="48B16866"/>
    <w:rsid w:val="48BA1BBF"/>
    <w:rsid w:val="48CB063F"/>
    <w:rsid w:val="490966A2"/>
    <w:rsid w:val="491C45DA"/>
    <w:rsid w:val="4926480E"/>
    <w:rsid w:val="49306839"/>
    <w:rsid w:val="49635DB3"/>
    <w:rsid w:val="496C5022"/>
    <w:rsid w:val="497C6E74"/>
    <w:rsid w:val="49942DA0"/>
    <w:rsid w:val="499D0B54"/>
    <w:rsid w:val="49CF42B2"/>
    <w:rsid w:val="49F20EE5"/>
    <w:rsid w:val="49FC1D63"/>
    <w:rsid w:val="49FE0237"/>
    <w:rsid w:val="4A070BDE"/>
    <w:rsid w:val="4A083C6C"/>
    <w:rsid w:val="4A0B01F8"/>
    <w:rsid w:val="4A0F46DA"/>
    <w:rsid w:val="4A1909A6"/>
    <w:rsid w:val="4A4C4A99"/>
    <w:rsid w:val="4A6F69D9"/>
    <w:rsid w:val="4A9106FD"/>
    <w:rsid w:val="4AB56AE2"/>
    <w:rsid w:val="4B01573E"/>
    <w:rsid w:val="4B09298A"/>
    <w:rsid w:val="4B143967"/>
    <w:rsid w:val="4B187071"/>
    <w:rsid w:val="4B1B446B"/>
    <w:rsid w:val="4B3814C1"/>
    <w:rsid w:val="4B484081"/>
    <w:rsid w:val="4B5A4F93"/>
    <w:rsid w:val="4B726781"/>
    <w:rsid w:val="4B736055"/>
    <w:rsid w:val="4C1A337E"/>
    <w:rsid w:val="4C3B4DC5"/>
    <w:rsid w:val="4C453E95"/>
    <w:rsid w:val="4C4F5BF8"/>
    <w:rsid w:val="4CA95044"/>
    <w:rsid w:val="4CD52027"/>
    <w:rsid w:val="4CDB0B49"/>
    <w:rsid w:val="4D147A2B"/>
    <w:rsid w:val="4D221AE1"/>
    <w:rsid w:val="4D2C28F2"/>
    <w:rsid w:val="4D4C3C6D"/>
    <w:rsid w:val="4D4E6A59"/>
    <w:rsid w:val="4D5D0D6B"/>
    <w:rsid w:val="4D846991"/>
    <w:rsid w:val="4DA5326F"/>
    <w:rsid w:val="4DFF0074"/>
    <w:rsid w:val="4E8011B5"/>
    <w:rsid w:val="4E861BA1"/>
    <w:rsid w:val="4E98223B"/>
    <w:rsid w:val="4E992558"/>
    <w:rsid w:val="4EB35870"/>
    <w:rsid w:val="4EBD4210"/>
    <w:rsid w:val="4ED84B4D"/>
    <w:rsid w:val="4EFB4CDF"/>
    <w:rsid w:val="4F1006BF"/>
    <w:rsid w:val="4F7068E5"/>
    <w:rsid w:val="4F766114"/>
    <w:rsid w:val="4F8A0DBC"/>
    <w:rsid w:val="4FA26235"/>
    <w:rsid w:val="4FB73F3C"/>
    <w:rsid w:val="4FB82BD0"/>
    <w:rsid w:val="4FD356B3"/>
    <w:rsid w:val="4FE614EB"/>
    <w:rsid w:val="50047BC4"/>
    <w:rsid w:val="5005095D"/>
    <w:rsid w:val="50330BC6"/>
    <w:rsid w:val="50345CC9"/>
    <w:rsid w:val="50412BC6"/>
    <w:rsid w:val="50483F54"/>
    <w:rsid w:val="50502E09"/>
    <w:rsid w:val="505B6584"/>
    <w:rsid w:val="505E5526"/>
    <w:rsid w:val="5080549C"/>
    <w:rsid w:val="5083589F"/>
    <w:rsid w:val="5087655E"/>
    <w:rsid w:val="508F3931"/>
    <w:rsid w:val="50A13664"/>
    <w:rsid w:val="50A2107E"/>
    <w:rsid w:val="50CF1F80"/>
    <w:rsid w:val="50E61077"/>
    <w:rsid w:val="5119144D"/>
    <w:rsid w:val="512F6EC2"/>
    <w:rsid w:val="513B4893"/>
    <w:rsid w:val="513B6904"/>
    <w:rsid w:val="515801C7"/>
    <w:rsid w:val="51A753BA"/>
    <w:rsid w:val="51C77BFC"/>
    <w:rsid w:val="51CB06F8"/>
    <w:rsid w:val="51FB48DF"/>
    <w:rsid w:val="51FF4AE6"/>
    <w:rsid w:val="52037D52"/>
    <w:rsid w:val="52075749"/>
    <w:rsid w:val="520A1FAA"/>
    <w:rsid w:val="521D51BC"/>
    <w:rsid w:val="522B7D04"/>
    <w:rsid w:val="523222F6"/>
    <w:rsid w:val="523D116B"/>
    <w:rsid w:val="524B7790"/>
    <w:rsid w:val="5250787A"/>
    <w:rsid w:val="527252B8"/>
    <w:rsid w:val="52B561EA"/>
    <w:rsid w:val="52BC6534"/>
    <w:rsid w:val="52CC2BC1"/>
    <w:rsid w:val="52CC2F98"/>
    <w:rsid w:val="52D62630"/>
    <w:rsid w:val="52D65847"/>
    <w:rsid w:val="52D7224D"/>
    <w:rsid w:val="52FD5682"/>
    <w:rsid w:val="53456529"/>
    <w:rsid w:val="53511372"/>
    <w:rsid w:val="535E2362"/>
    <w:rsid w:val="536A41E2"/>
    <w:rsid w:val="536D2863"/>
    <w:rsid w:val="53901E9A"/>
    <w:rsid w:val="539C07A0"/>
    <w:rsid w:val="53A05E55"/>
    <w:rsid w:val="53A3458E"/>
    <w:rsid w:val="53A674DD"/>
    <w:rsid w:val="53A70F92"/>
    <w:rsid w:val="53A771E4"/>
    <w:rsid w:val="53D37FD9"/>
    <w:rsid w:val="53D777D5"/>
    <w:rsid w:val="53FB0B46"/>
    <w:rsid w:val="540264B2"/>
    <w:rsid w:val="54164A93"/>
    <w:rsid w:val="5429164F"/>
    <w:rsid w:val="54444A33"/>
    <w:rsid w:val="544E58B1"/>
    <w:rsid w:val="545804DE"/>
    <w:rsid w:val="547370C6"/>
    <w:rsid w:val="54932C6A"/>
    <w:rsid w:val="549C03CB"/>
    <w:rsid w:val="549E5915"/>
    <w:rsid w:val="54A77BD0"/>
    <w:rsid w:val="54BC281B"/>
    <w:rsid w:val="54C6369A"/>
    <w:rsid w:val="54FA5282"/>
    <w:rsid w:val="5501368E"/>
    <w:rsid w:val="55097BDE"/>
    <w:rsid w:val="55102B67"/>
    <w:rsid w:val="55320D2F"/>
    <w:rsid w:val="55807CEC"/>
    <w:rsid w:val="55853555"/>
    <w:rsid w:val="5596306C"/>
    <w:rsid w:val="559802DE"/>
    <w:rsid w:val="55B17EA6"/>
    <w:rsid w:val="55D134A0"/>
    <w:rsid w:val="55F54236"/>
    <w:rsid w:val="560878E0"/>
    <w:rsid w:val="560C332E"/>
    <w:rsid w:val="56262642"/>
    <w:rsid w:val="564B654C"/>
    <w:rsid w:val="565A0B76"/>
    <w:rsid w:val="565B2DC4"/>
    <w:rsid w:val="568D515A"/>
    <w:rsid w:val="56920367"/>
    <w:rsid w:val="56B83254"/>
    <w:rsid w:val="56BC4825"/>
    <w:rsid w:val="56D71B8E"/>
    <w:rsid w:val="56DB374A"/>
    <w:rsid w:val="56E70FF2"/>
    <w:rsid w:val="570010E5"/>
    <w:rsid w:val="57026B80"/>
    <w:rsid w:val="571526B6"/>
    <w:rsid w:val="571701DC"/>
    <w:rsid w:val="574761CB"/>
    <w:rsid w:val="57535931"/>
    <w:rsid w:val="575758AA"/>
    <w:rsid w:val="57737EC4"/>
    <w:rsid w:val="57A04676"/>
    <w:rsid w:val="57AE1073"/>
    <w:rsid w:val="57B2273F"/>
    <w:rsid w:val="57FD73D2"/>
    <w:rsid w:val="58006107"/>
    <w:rsid w:val="58053A86"/>
    <w:rsid w:val="580A25AE"/>
    <w:rsid w:val="581A4428"/>
    <w:rsid w:val="583F286A"/>
    <w:rsid w:val="58586CFE"/>
    <w:rsid w:val="58783FFC"/>
    <w:rsid w:val="587F428B"/>
    <w:rsid w:val="588F0397"/>
    <w:rsid w:val="588F4E5E"/>
    <w:rsid w:val="58A113E1"/>
    <w:rsid w:val="58B01FB7"/>
    <w:rsid w:val="58B32FF0"/>
    <w:rsid w:val="58B8511B"/>
    <w:rsid w:val="58C3686E"/>
    <w:rsid w:val="58CB74D0"/>
    <w:rsid w:val="58D5034F"/>
    <w:rsid w:val="58D520FD"/>
    <w:rsid w:val="58F05189"/>
    <w:rsid w:val="58F73050"/>
    <w:rsid w:val="590E123D"/>
    <w:rsid w:val="591679DD"/>
    <w:rsid w:val="595C505C"/>
    <w:rsid w:val="5975567B"/>
    <w:rsid w:val="597E2795"/>
    <w:rsid w:val="598D29D8"/>
    <w:rsid w:val="598E626E"/>
    <w:rsid w:val="5991071A"/>
    <w:rsid w:val="599363C3"/>
    <w:rsid w:val="59994DBA"/>
    <w:rsid w:val="59A93F65"/>
    <w:rsid w:val="59AE4DC8"/>
    <w:rsid w:val="59E04926"/>
    <w:rsid w:val="59E41FE5"/>
    <w:rsid w:val="59EA7E2A"/>
    <w:rsid w:val="59F9006D"/>
    <w:rsid w:val="5A096502"/>
    <w:rsid w:val="5A185B09"/>
    <w:rsid w:val="5A1E1882"/>
    <w:rsid w:val="5A2045E6"/>
    <w:rsid w:val="5A250E62"/>
    <w:rsid w:val="5A370F90"/>
    <w:rsid w:val="5A3D5A4E"/>
    <w:rsid w:val="5A5107D6"/>
    <w:rsid w:val="5A9B7717"/>
    <w:rsid w:val="5AA86799"/>
    <w:rsid w:val="5AC4067B"/>
    <w:rsid w:val="5AD92379"/>
    <w:rsid w:val="5AF36148"/>
    <w:rsid w:val="5B007C7C"/>
    <w:rsid w:val="5B0809A3"/>
    <w:rsid w:val="5B262FFF"/>
    <w:rsid w:val="5B3506D5"/>
    <w:rsid w:val="5B5172C1"/>
    <w:rsid w:val="5B5D3017"/>
    <w:rsid w:val="5B6D0D13"/>
    <w:rsid w:val="5B6F4A8B"/>
    <w:rsid w:val="5B70064E"/>
    <w:rsid w:val="5B784A9F"/>
    <w:rsid w:val="5B890EBC"/>
    <w:rsid w:val="5B931C9E"/>
    <w:rsid w:val="5BA84A38"/>
    <w:rsid w:val="5BDC6F49"/>
    <w:rsid w:val="5C196AA2"/>
    <w:rsid w:val="5C1B42CB"/>
    <w:rsid w:val="5C1C624B"/>
    <w:rsid w:val="5C357947"/>
    <w:rsid w:val="5C6553CB"/>
    <w:rsid w:val="5C7C2F83"/>
    <w:rsid w:val="5C9B04E1"/>
    <w:rsid w:val="5C9B79B5"/>
    <w:rsid w:val="5CB63D1D"/>
    <w:rsid w:val="5CBA0E3B"/>
    <w:rsid w:val="5CBF575D"/>
    <w:rsid w:val="5CC81D7B"/>
    <w:rsid w:val="5D380EAD"/>
    <w:rsid w:val="5D42070C"/>
    <w:rsid w:val="5D443CF5"/>
    <w:rsid w:val="5D532ABC"/>
    <w:rsid w:val="5D7D7A47"/>
    <w:rsid w:val="5D8D36EA"/>
    <w:rsid w:val="5D8F1457"/>
    <w:rsid w:val="5DEB2559"/>
    <w:rsid w:val="5DF47E0F"/>
    <w:rsid w:val="5E1A6610"/>
    <w:rsid w:val="5E38265A"/>
    <w:rsid w:val="5E471B3D"/>
    <w:rsid w:val="5E547F68"/>
    <w:rsid w:val="5E671660"/>
    <w:rsid w:val="5E87020C"/>
    <w:rsid w:val="5EC73F4C"/>
    <w:rsid w:val="5EE74938"/>
    <w:rsid w:val="5EF3102B"/>
    <w:rsid w:val="5F217E4A"/>
    <w:rsid w:val="5F22028F"/>
    <w:rsid w:val="5F27742B"/>
    <w:rsid w:val="5F3833E6"/>
    <w:rsid w:val="5F395BB5"/>
    <w:rsid w:val="5F627120"/>
    <w:rsid w:val="5F634D7B"/>
    <w:rsid w:val="5F803797"/>
    <w:rsid w:val="5F9525E6"/>
    <w:rsid w:val="5F9E593F"/>
    <w:rsid w:val="5FC353A5"/>
    <w:rsid w:val="5FC77672"/>
    <w:rsid w:val="5FCF5AF8"/>
    <w:rsid w:val="5FEB1323"/>
    <w:rsid w:val="5FF348B7"/>
    <w:rsid w:val="60172FFB"/>
    <w:rsid w:val="601B6F8F"/>
    <w:rsid w:val="60583D40"/>
    <w:rsid w:val="606674CD"/>
    <w:rsid w:val="60A70BF0"/>
    <w:rsid w:val="60BB1E03"/>
    <w:rsid w:val="60C3021F"/>
    <w:rsid w:val="60C53352"/>
    <w:rsid w:val="60E21C25"/>
    <w:rsid w:val="60E23212"/>
    <w:rsid w:val="60F82E2D"/>
    <w:rsid w:val="612001AD"/>
    <w:rsid w:val="61574597"/>
    <w:rsid w:val="616063D4"/>
    <w:rsid w:val="61663761"/>
    <w:rsid w:val="61926474"/>
    <w:rsid w:val="619C409B"/>
    <w:rsid w:val="61B054B5"/>
    <w:rsid w:val="61BF7310"/>
    <w:rsid w:val="61D4389A"/>
    <w:rsid w:val="61E42BD1"/>
    <w:rsid w:val="6200643D"/>
    <w:rsid w:val="621E68C3"/>
    <w:rsid w:val="623C56A9"/>
    <w:rsid w:val="6244577D"/>
    <w:rsid w:val="625352F3"/>
    <w:rsid w:val="625C664B"/>
    <w:rsid w:val="625F0414"/>
    <w:rsid w:val="62607F5D"/>
    <w:rsid w:val="62905A5D"/>
    <w:rsid w:val="629A3836"/>
    <w:rsid w:val="62CA57ED"/>
    <w:rsid w:val="62DD39C2"/>
    <w:rsid w:val="62E96A58"/>
    <w:rsid w:val="62F70A87"/>
    <w:rsid w:val="630D54F4"/>
    <w:rsid w:val="63436C5F"/>
    <w:rsid w:val="63563DB5"/>
    <w:rsid w:val="63584057"/>
    <w:rsid w:val="636D6824"/>
    <w:rsid w:val="63806A4E"/>
    <w:rsid w:val="63A63014"/>
    <w:rsid w:val="63A70B3A"/>
    <w:rsid w:val="63AC79A3"/>
    <w:rsid w:val="63C93C5E"/>
    <w:rsid w:val="63CF6914"/>
    <w:rsid w:val="64030141"/>
    <w:rsid w:val="640815D9"/>
    <w:rsid w:val="640E2967"/>
    <w:rsid w:val="64191A38"/>
    <w:rsid w:val="642155A6"/>
    <w:rsid w:val="64216B3E"/>
    <w:rsid w:val="6427714C"/>
    <w:rsid w:val="64503907"/>
    <w:rsid w:val="645962D8"/>
    <w:rsid w:val="646709F5"/>
    <w:rsid w:val="646B7DB9"/>
    <w:rsid w:val="648669A1"/>
    <w:rsid w:val="649B41FB"/>
    <w:rsid w:val="649C72B2"/>
    <w:rsid w:val="64C64FF0"/>
    <w:rsid w:val="64F37035"/>
    <w:rsid w:val="65064BCC"/>
    <w:rsid w:val="65507AC7"/>
    <w:rsid w:val="655B7E2E"/>
    <w:rsid w:val="658B79BE"/>
    <w:rsid w:val="65A65F17"/>
    <w:rsid w:val="65AE3E74"/>
    <w:rsid w:val="65B74552"/>
    <w:rsid w:val="65CB4FB4"/>
    <w:rsid w:val="65DC185E"/>
    <w:rsid w:val="65DF280D"/>
    <w:rsid w:val="66024383"/>
    <w:rsid w:val="660E1EAC"/>
    <w:rsid w:val="661324B7"/>
    <w:rsid w:val="662B5A52"/>
    <w:rsid w:val="662C40AE"/>
    <w:rsid w:val="66974770"/>
    <w:rsid w:val="66A11AEE"/>
    <w:rsid w:val="66BF5FF7"/>
    <w:rsid w:val="66E71979"/>
    <w:rsid w:val="66F61D60"/>
    <w:rsid w:val="672E6549"/>
    <w:rsid w:val="672F43AB"/>
    <w:rsid w:val="677C3DF2"/>
    <w:rsid w:val="67A31390"/>
    <w:rsid w:val="67A9578F"/>
    <w:rsid w:val="67D31EFE"/>
    <w:rsid w:val="67DB5A5A"/>
    <w:rsid w:val="68141E2A"/>
    <w:rsid w:val="681A77FC"/>
    <w:rsid w:val="681B0593"/>
    <w:rsid w:val="682510D2"/>
    <w:rsid w:val="685F1F4E"/>
    <w:rsid w:val="6870547C"/>
    <w:rsid w:val="68746540"/>
    <w:rsid w:val="68A8338A"/>
    <w:rsid w:val="68B24209"/>
    <w:rsid w:val="68BC0BE4"/>
    <w:rsid w:val="68C1269E"/>
    <w:rsid w:val="68C47A98"/>
    <w:rsid w:val="68DB72BC"/>
    <w:rsid w:val="68E36170"/>
    <w:rsid w:val="693E5A9D"/>
    <w:rsid w:val="69455516"/>
    <w:rsid w:val="69592FFE"/>
    <w:rsid w:val="695E2270"/>
    <w:rsid w:val="695F24A3"/>
    <w:rsid w:val="69A649C3"/>
    <w:rsid w:val="69A939BB"/>
    <w:rsid w:val="69B84435"/>
    <w:rsid w:val="69E44896"/>
    <w:rsid w:val="69E545E6"/>
    <w:rsid w:val="69EA352F"/>
    <w:rsid w:val="69FD461B"/>
    <w:rsid w:val="6A2A37E1"/>
    <w:rsid w:val="6A335EA2"/>
    <w:rsid w:val="6A5E046C"/>
    <w:rsid w:val="6A63713F"/>
    <w:rsid w:val="6A694D9B"/>
    <w:rsid w:val="6A696B49"/>
    <w:rsid w:val="6A883473"/>
    <w:rsid w:val="6AA3499E"/>
    <w:rsid w:val="6AAB25CC"/>
    <w:rsid w:val="6AAC4ADD"/>
    <w:rsid w:val="6AB10CB3"/>
    <w:rsid w:val="6AEA5E8C"/>
    <w:rsid w:val="6AEB3524"/>
    <w:rsid w:val="6AF00404"/>
    <w:rsid w:val="6B475596"/>
    <w:rsid w:val="6B4E0049"/>
    <w:rsid w:val="6B571D3E"/>
    <w:rsid w:val="6B5C045C"/>
    <w:rsid w:val="6B6C0E93"/>
    <w:rsid w:val="6B6E2AEC"/>
    <w:rsid w:val="6B9378CA"/>
    <w:rsid w:val="6BDB56B5"/>
    <w:rsid w:val="6BEB1F0C"/>
    <w:rsid w:val="6BF63BEE"/>
    <w:rsid w:val="6BFF7229"/>
    <w:rsid w:val="6C0320AF"/>
    <w:rsid w:val="6C054ABC"/>
    <w:rsid w:val="6C2048AC"/>
    <w:rsid w:val="6C2C66BE"/>
    <w:rsid w:val="6C4038DA"/>
    <w:rsid w:val="6C474C68"/>
    <w:rsid w:val="6C5A0E3F"/>
    <w:rsid w:val="6C6907BD"/>
    <w:rsid w:val="6C8E2897"/>
    <w:rsid w:val="6CDD26EE"/>
    <w:rsid w:val="6CDF3005"/>
    <w:rsid w:val="6CE027E4"/>
    <w:rsid w:val="6CE93F71"/>
    <w:rsid w:val="6CF272CA"/>
    <w:rsid w:val="6D354110"/>
    <w:rsid w:val="6D4B2536"/>
    <w:rsid w:val="6D7565B3"/>
    <w:rsid w:val="6D7E5723"/>
    <w:rsid w:val="6DAD4F9F"/>
    <w:rsid w:val="6DB91B96"/>
    <w:rsid w:val="6DEB6993"/>
    <w:rsid w:val="6E0F5663"/>
    <w:rsid w:val="6E187783"/>
    <w:rsid w:val="6E25115A"/>
    <w:rsid w:val="6E4B1B00"/>
    <w:rsid w:val="6E843F52"/>
    <w:rsid w:val="6EAE0FCF"/>
    <w:rsid w:val="6EB64A32"/>
    <w:rsid w:val="6EBB570C"/>
    <w:rsid w:val="6EFF7A7C"/>
    <w:rsid w:val="6F045092"/>
    <w:rsid w:val="6F06170C"/>
    <w:rsid w:val="6F096657"/>
    <w:rsid w:val="6F196D90"/>
    <w:rsid w:val="6FD6407F"/>
    <w:rsid w:val="6FE27182"/>
    <w:rsid w:val="6FF90C65"/>
    <w:rsid w:val="7000585A"/>
    <w:rsid w:val="70090BB2"/>
    <w:rsid w:val="70386C15"/>
    <w:rsid w:val="703A5210"/>
    <w:rsid w:val="704B08F3"/>
    <w:rsid w:val="706643A1"/>
    <w:rsid w:val="707A0C11"/>
    <w:rsid w:val="707D50FC"/>
    <w:rsid w:val="70AD26E1"/>
    <w:rsid w:val="70B054D2"/>
    <w:rsid w:val="70D6480D"/>
    <w:rsid w:val="70E231B1"/>
    <w:rsid w:val="70F74EAF"/>
    <w:rsid w:val="713F4A7F"/>
    <w:rsid w:val="7156518D"/>
    <w:rsid w:val="716556F7"/>
    <w:rsid w:val="71655B6B"/>
    <w:rsid w:val="716B18C0"/>
    <w:rsid w:val="71754A5F"/>
    <w:rsid w:val="71A01B77"/>
    <w:rsid w:val="71AA1F21"/>
    <w:rsid w:val="71C22A1B"/>
    <w:rsid w:val="71CB1645"/>
    <w:rsid w:val="71D40D4C"/>
    <w:rsid w:val="71F60095"/>
    <w:rsid w:val="722021E3"/>
    <w:rsid w:val="726F29CA"/>
    <w:rsid w:val="727E6F0A"/>
    <w:rsid w:val="72E930EF"/>
    <w:rsid w:val="73124222"/>
    <w:rsid w:val="731C6E4F"/>
    <w:rsid w:val="73773AB1"/>
    <w:rsid w:val="739B73FB"/>
    <w:rsid w:val="73B0250E"/>
    <w:rsid w:val="73D26BA0"/>
    <w:rsid w:val="73DC213A"/>
    <w:rsid w:val="73F97190"/>
    <w:rsid w:val="73FB4CB6"/>
    <w:rsid w:val="740C0C71"/>
    <w:rsid w:val="74257FDB"/>
    <w:rsid w:val="74357542"/>
    <w:rsid w:val="74514836"/>
    <w:rsid w:val="74531E61"/>
    <w:rsid w:val="74557335"/>
    <w:rsid w:val="7472484C"/>
    <w:rsid w:val="748809EB"/>
    <w:rsid w:val="748F53FE"/>
    <w:rsid w:val="7495078E"/>
    <w:rsid w:val="74C6415A"/>
    <w:rsid w:val="74DD616A"/>
    <w:rsid w:val="74FC6F38"/>
    <w:rsid w:val="75273889"/>
    <w:rsid w:val="75720FA8"/>
    <w:rsid w:val="758236C9"/>
    <w:rsid w:val="758F1B5A"/>
    <w:rsid w:val="75A44ED9"/>
    <w:rsid w:val="75A650F5"/>
    <w:rsid w:val="75AC70D5"/>
    <w:rsid w:val="75BA46FD"/>
    <w:rsid w:val="75D4756D"/>
    <w:rsid w:val="75D82E83"/>
    <w:rsid w:val="75E76DDB"/>
    <w:rsid w:val="75EA4FE2"/>
    <w:rsid w:val="75F05AFC"/>
    <w:rsid w:val="760A11E0"/>
    <w:rsid w:val="763275D7"/>
    <w:rsid w:val="763331A3"/>
    <w:rsid w:val="764B5214"/>
    <w:rsid w:val="766F6073"/>
    <w:rsid w:val="768420BC"/>
    <w:rsid w:val="76C53359"/>
    <w:rsid w:val="76CD220E"/>
    <w:rsid w:val="76DB492B"/>
    <w:rsid w:val="76F601FD"/>
    <w:rsid w:val="76F667DF"/>
    <w:rsid w:val="76F93003"/>
    <w:rsid w:val="76FC2A0E"/>
    <w:rsid w:val="76FD328D"/>
    <w:rsid w:val="774921DC"/>
    <w:rsid w:val="776250B1"/>
    <w:rsid w:val="77E86AA2"/>
    <w:rsid w:val="77E93077"/>
    <w:rsid w:val="78233AE4"/>
    <w:rsid w:val="782D748A"/>
    <w:rsid w:val="78316434"/>
    <w:rsid w:val="784D3606"/>
    <w:rsid w:val="78544995"/>
    <w:rsid w:val="786F609A"/>
    <w:rsid w:val="7875524F"/>
    <w:rsid w:val="787B63C5"/>
    <w:rsid w:val="788A03B6"/>
    <w:rsid w:val="78AE22A7"/>
    <w:rsid w:val="78BA61D2"/>
    <w:rsid w:val="78C80EDF"/>
    <w:rsid w:val="78CD5127"/>
    <w:rsid w:val="78EB1EF3"/>
    <w:rsid w:val="7905596E"/>
    <w:rsid w:val="791A1E16"/>
    <w:rsid w:val="792720A9"/>
    <w:rsid w:val="7927654D"/>
    <w:rsid w:val="79500ADD"/>
    <w:rsid w:val="79515378"/>
    <w:rsid w:val="795A7C0D"/>
    <w:rsid w:val="796B172E"/>
    <w:rsid w:val="797352EE"/>
    <w:rsid w:val="79745372"/>
    <w:rsid w:val="799E7144"/>
    <w:rsid w:val="79A27982"/>
    <w:rsid w:val="79CD2C51"/>
    <w:rsid w:val="79CE4C1B"/>
    <w:rsid w:val="79D53017"/>
    <w:rsid w:val="79FF3026"/>
    <w:rsid w:val="7A0045A8"/>
    <w:rsid w:val="7A1545F8"/>
    <w:rsid w:val="7A4A0E63"/>
    <w:rsid w:val="7A5778E0"/>
    <w:rsid w:val="7A5D431A"/>
    <w:rsid w:val="7A610EEE"/>
    <w:rsid w:val="7A635363"/>
    <w:rsid w:val="7A6F2EF4"/>
    <w:rsid w:val="7A7420CF"/>
    <w:rsid w:val="7A967758"/>
    <w:rsid w:val="7A996FD7"/>
    <w:rsid w:val="7A9C09C9"/>
    <w:rsid w:val="7A9C5C09"/>
    <w:rsid w:val="7AC6403B"/>
    <w:rsid w:val="7AE600D4"/>
    <w:rsid w:val="7AEF6AB6"/>
    <w:rsid w:val="7B0922E5"/>
    <w:rsid w:val="7B305F9F"/>
    <w:rsid w:val="7B3F7B7E"/>
    <w:rsid w:val="7B5A516D"/>
    <w:rsid w:val="7B6F1AE6"/>
    <w:rsid w:val="7B7F78EA"/>
    <w:rsid w:val="7B911884"/>
    <w:rsid w:val="7B98103C"/>
    <w:rsid w:val="7B9A1258"/>
    <w:rsid w:val="7B9E3097"/>
    <w:rsid w:val="7BB06386"/>
    <w:rsid w:val="7BCB1412"/>
    <w:rsid w:val="7BF54CCD"/>
    <w:rsid w:val="7C035E38"/>
    <w:rsid w:val="7C1446CD"/>
    <w:rsid w:val="7C4E5B9F"/>
    <w:rsid w:val="7C6E1BB1"/>
    <w:rsid w:val="7C743857"/>
    <w:rsid w:val="7C790E6E"/>
    <w:rsid w:val="7C8751B4"/>
    <w:rsid w:val="7CB2612E"/>
    <w:rsid w:val="7CD9190C"/>
    <w:rsid w:val="7CDD6FB6"/>
    <w:rsid w:val="7CF439C9"/>
    <w:rsid w:val="7D480840"/>
    <w:rsid w:val="7D692C90"/>
    <w:rsid w:val="7D6A6A08"/>
    <w:rsid w:val="7D9A097B"/>
    <w:rsid w:val="7DAC5273"/>
    <w:rsid w:val="7DD00F61"/>
    <w:rsid w:val="7DDA520A"/>
    <w:rsid w:val="7DE079B9"/>
    <w:rsid w:val="7DF369FE"/>
    <w:rsid w:val="7DFC3B04"/>
    <w:rsid w:val="7E1F5A45"/>
    <w:rsid w:val="7E263490"/>
    <w:rsid w:val="7E442E82"/>
    <w:rsid w:val="7E5075A8"/>
    <w:rsid w:val="7E694F12"/>
    <w:rsid w:val="7E7946EC"/>
    <w:rsid w:val="7EB36D4F"/>
    <w:rsid w:val="7EB4618D"/>
    <w:rsid w:val="7EC42148"/>
    <w:rsid w:val="7EE60311"/>
    <w:rsid w:val="7EF245A9"/>
    <w:rsid w:val="7F1A7271"/>
    <w:rsid w:val="7F297BB6"/>
    <w:rsid w:val="7F384736"/>
    <w:rsid w:val="7F405C73"/>
    <w:rsid w:val="7F5578B1"/>
    <w:rsid w:val="7F934B69"/>
    <w:rsid w:val="7FA2692E"/>
    <w:rsid w:val="7FBF128D"/>
    <w:rsid w:val="7FE74CF3"/>
    <w:rsid w:val="7FF7098F"/>
    <w:rsid w:val="7FF854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qFormat="1" w:unhideWhenUsed="0" w:uiPriority="0" w:semiHidden="0" w:name="List"/>
    <w:lsdException w:qFormat="1"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qFormat="1" w:uiPriority="99" w:name="List Bullet 5"/>
    <w:lsdException w:qFormat="1" w:unhideWhenUsed="0" w:uiPriority="0" w:semiHidden="0"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qFormat="1" w:unhideWhenUsed="0" w:uiPriority="0" w:name="Message Header"/>
    <w:lsdException w:qFormat="1" w:unhideWhenUsed="0" w:uiPriority="11" w:semiHidden="0" w:name="Subtitle"/>
    <w:lsdException w:qFormat="1" w:unhideWhenUsed="0" w:uiPriority="0" w:name="Salutation"/>
    <w:lsdException w:qFormat="1"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heme="minorHAnsi" w:hAnsiTheme="minorHAnsi" w:eastAsiaTheme="minorEastAsia" w:cstheme="minorBidi"/>
      <w:kern w:val="2"/>
      <w:sz w:val="24"/>
      <w:szCs w:val="22"/>
      <w:lang w:val="en-US" w:eastAsia="zh-CN" w:bidi="ar-SA"/>
    </w:rPr>
  </w:style>
  <w:style w:type="paragraph" w:styleId="6">
    <w:name w:val="heading 1"/>
    <w:basedOn w:val="1"/>
    <w:next w:val="1"/>
    <w:link w:val="57"/>
    <w:qFormat/>
    <w:uiPriority w:val="9"/>
    <w:pPr>
      <w:keepNext/>
      <w:keepLines/>
      <w:spacing w:before="340" w:after="340" w:line="240" w:lineRule="auto"/>
      <w:ind w:firstLine="0" w:firstLineChars="0"/>
      <w:outlineLvl w:val="0"/>
    </w:pPr>
    <w:rPr>
      <w:rFonts w:ascii="宋体" w:hAnsi="宋体" w:eastAsia="宋体"/>
      <w:b/>
      <w:bCs/>
      <w:kern w:val="44"/>
      <w:sz w:val="32"/>
      <w:szCs w:val="44"/>
    </w:rPr>
  </w:style>
  <w:style w:type="paragraph" w:styleId="7">
    <w:name w:val="heading 2"/>
    <w:basedOn w:val="1"/>
    <w:next w:val="1"/>
    <w:link w:val="58"/>
    <w:unhideWhenUsed/>
    <w:qFormat/>
    <w:uiPriority w:val="9"/>
    <w:pPr>
      <w:keepNext/>
      <w:keepLines/>
      <w:spacing w:before="200" w:after="200" w:line="240" w:lineRule="auto"/>
      <w:ind w:firstLine="0" w:firstLineChars="0"/>
      <w:outlineLvl w:val="1"/>
    </w:pPr>
    <w:rPr>
      <w:rFonts w:ascii="宋体" w:hAnsi="宋体" w:eastAsia="宋体" w:cstheme="majorBidi"/>
      <w:sz w:val="30"/>
      <w:szCs w:val="30"/>
    </w:rPr>
  </w:style>
  <w:style w:type="paragraph" w:styleId="8">
    <w:name w:val="heading 3"/>
    <w:basedOn w:val="9"/>
    <w:next w:val="1"/>
    <w:link w:val="59"/>
    <w:unhideWhenUsed/>
    <w:qFormat/>
    <w:uiPriority w:val="9"/>
    <w:pPr>
      <w:keepNext/>
      <w:keepLines/>
      <w:spacing w:before="100" w:after="100" w:line="240" w:lineRule="auto"/>
      <w:ind w:firstLine="0" w:firstLineChars="0"/>
      <w:outlineLvl w:val="2"/>
    </w:pPr>
    <w:rPr>
      <w:rFonts w:ascii="宋体" w:hAnsi="宋体" w:eastAsia="宋体"/>
      <w:b/>
      <w:bCs/>
      <w:sz w:val="28"/>
      <w:szCs w:val="28"/>
    </w:rPr>
  </w:style>
  <w:style w:type="paragraph" w:styleId="10">
    <w:name w:val="heading 4"/>
    <w:basedOn w:val="1"/>
    <w:next w:val="1"/>
    <w:link w:val="60"/>
    <w:unhideWhenUsed/>
    <w:qFormat/>
    <w:uiPriority w:val="9"/>
    <w:pPr>
      <w:keepNext/>
      <w:keepLines/>
      <w:ind w:firstLine="0" w:firstLineChars="0"/>
      <w:outlineLvl w:val="3"/>
    </w:pPr>
    <w:rPr>
      <w:rFonts w:ascii="宋体" w:hAnsi="宋体" w:eastAsia="宋体" w:cstheme="majorBidi"/>
      <w:b/>
      <w:bCs/>
      <w:szCs w:val="24"/>
    </w:rPr>
  </w:style>
  <w:style w:type="paragraph" w:styleId="11">
    <w:name w:val="heading 6"/>
    <w:basedOn w:val="1"/>
    <w:next w:val="1"/>
    <w:link w:val="88"/>
    <w:unhideWhenUsed/>
    <w:qFormat/>
    <w:uiPriority w:val="9"/>
    <w:pPr>
      <w:keepNext/>
      <w:keepLines/>
      <w:autoSpaceDE w:val="0"/>
      <w:autoSpaceDN w:val="0"/>
      <w:spacing w:before="240" w:after="64" w:line="320" w:lineRule="auto"/>
      <w:ind w:firstLine="0" w:firstLineChars="0"/>
      <w:jc w:val="left"/>
      <w:outlineLvl w:val="5"/>
    </w:pPr>
    <w:rPr>
      <w:rFonts w:asciiTheme="majorHAnsi" w:hAnsiTheme="majorHAnsi" w:eastAsiaTheme="majorEastAsia" w:cstheme="majorBidi"/>
      <w:b/>
      <w:bCs/>
      <w:kern w:val="0"/>
      <w:szCs w:val="24"/>
      <w:lang w:eastAsia="en-US"/>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qFormat/>
    <w:uiPriority w:val="0"/>
    <w:pPr>
      <w:ind w:left="200" w:leftChars="200" w:firstLine="420"/>
    </w:pPr>
  </w:style>
  <w:style w:type="paragraph" w:styleId="3">
    <w:name w:val="Body Text Indent"/>
    <w:basedOn w:val="1"/>
    <w:next w:val="4"/>
    <w:qFormat/>
    <w:uiPriority w:val="0"/>
    <w:pPr>
      <w:spacing w:after="120"/>
      <w:ind w:left="420"/>
    </w:pPr>
    <w:rPr>
      <w:rFonts w:ascii="Times New Roman" w:hAnsi="Times New Roman"/>
      <w:szCs w:val="24"/>
    </w:rPr>
  </w:style>
  <w:style w:type="paragraph" w:styleId="4">
    <w:name w:val="header"/>
    <w:basedOn w:val="1"/>
    <w:link w:val="65"/>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macro"/>
    <w:basedOn w:val="1"/>
    <w:link w:val="61"/>
    <w:unhideWhenUsed/>
    <w:qFormat/>
    <w:uiPriority w:val="99"/>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line="240" w:lineRule="auto"/>
      <w:ind w:firstLine="0" w:firstLineChars="0"/>
      <w:jc w:val="center"/>
    </w:pPr>
    <w:rPr>
      <w:rFonts w:ascii="Times New Roman" w:hAnsi="Times New Roman" w:eastAsia="宋体" w:cs="Times New Roman"/>
      <w:sz w:val="21"/>
      <w:szCs w:val="24"/>
    </w:rPr>
  </w:style>
  <w:style w:type="paragraph" w:styleId="9">
    <w:name w:val="No Spacing"/>
    <w:qFormat/>
    <w:uiPriority w:val="1"/>
    <w:pPr>
      <w:widowControl w:val="0"/>
      <w:spacing w:line="360" w:lineRule="auto"/>
      <w:jc w:val="both"/>
    </w:pPr>
    <w:rPr>
      <w:rFonts w:ascii="Calibri" w:hAnsi="Calibri" w:eastAsia="宋体" w:cs="Times New Roman"/>
      <w:kern w:val="2"/>
      <w:sz w:val="24"/>
      <w:szCs w:val="22"/>
      <w:lang w:val="en-US" w:eastAsia="zh-CN" w:bidi="ar-SA"/>
    </w:rPr>
  </w:style>
  <w:style w:type="paragraph" w:styleId="12">
    <w:name w:val="toc 7"/>
    <w:basedOn w:val="1"/>
    <w:next w:val="1"/>
    <w:unhideWhenUsed/>
    <w:qFormat/>
    <w:uiPriority w:val="39"/>
    <w:pPr>
      <w:spacing w:line="240" w:lineRule="auto"/>
      <w:ind w:left="2520" w:leftChars="1200" w:firstLine="0" w:firstLineChars="0"/>
    </w:pPr>
    <w:rPr>
      <w:sz w:val="21"/>
    </w:rPr>
  </w:style>
  <w:style w:type="paragraph" w:styleId="13">
    <w:name w:val="List Number 2"/>
    <w:basedOn w:val="1"/>
    <w:qFormat/>
    <w:uiPriority w:val="0"/>
    <w:pPr>
      <w:widowControl/>
      <w:spacing w:line="240" w:lineRule="auto"/>
      <w:ind w:firstLine="0" w:firstLineChars="0"/>
      <w:jc w:val="center"/>
    </w:pPr>
    <w:rPr>
      <w:rFonts w:ascii="Times New Roman" w:hAnsi="Times New Roman" w:eastAsia="宋体" w:cs="Times New Roman"/>
      <w:kern w:val="0"/>
      <w:sz w:val="21"/>
      <w:szCs w:val="21"/>
    </w:rPr>
  </w:style>
  <w:style w:type="paragraph" w:styleId="14">
    <w:name w:val="Normal Indent"/>
    <w:basedOn w:val="15"/>
    <w:next w:val="18"/>
    <w:qFormat/>
    <w:uiPriority w:val="0"/>
    <w:pPr>
      <w:ind w:firstLine="420"/>
    </w:pPr>
    <w:rPr>
      <w:rFonts w:ascii="Times New Roman" w:hAnsi="Times New Roman"/>
      <w:szCs w:val="21"/>
    </w:rPr>
  </w:style>
  <w:style w:type="paragraph" w:styleId="15">
    <w:name w:val="Body Text First Indent"/>
    <w:basedOn w:val="16"/>
    <w:next w:val="1"/>
    <w:qFormat/>
    <w:uiPriority w:val="0"/>
    <w:pPr>
      <w:ind w:firstLine="420" w:firstLineChars="100"/>
    </w:pPr>
    <w:rPr>
      <w:rFonts w:ascii="Times New Roman" w:hAnsi="Times New Roman" w:eastAsia="宋体" w:cs="Times New Roman"/>
      <w:sz w:val="21"/>
      <w:szCs w:val="24"/>
    </w:rPr>
  </w:style>
  <w:style w:type="paragraph" w:styleId="16">
    <w:name w:val="Body Text"/>
    <w:basedOn w:val="1"/>
    <w:next w:val="17"/>
    <w:unhideWhenUsed/>
    <w:qFormat/>
    <w:uiPriority w:val="99"/>
    <w:pPr>
      <w:spacing w:after="120"/>
    </w:pPr>
  </w:style>
  <w:style w:type="paragraph" w:styleId="17">
    <w:name w:val="toc 5"/>
    <w:basedOn w:val="1"/>
    <w:next w:val="1"/>
    <w:unhideWhenUsed/>
    <w:qFormat/>
    <w:uiPriority w:val="39"/>
    <w:pPr>
      <w:spacing w:line="240" w:lineRule="auto"/>
      <w:ind w:left="1680" w:leftChars="800" w:firstLine="0" w:firstLineChars="0"/>
    </w:pPr>
    <w:rPr>
      <w:sz w:val="21"/>
    </w:rPr>
  </w:style>
  <w:style w:type="paragraph" w:styleId="18">
    <w:name w:val="toc 1"/>
    <w:basedOn w:val="1"/>
    <w:next w:val="1"/>
    <w:unhideWhenUsed/>
    <w:qFormat/>
    <w:uiPriority w:val="39"/>
  </w:style>
  <w:style w:type="paragraph" w:styleId="19">
    <w:name w:val="List Bullet"/>
    <w:basedOn w:val="1"/>
    <w:semiHidden/>
    <w:unhideWhenUsed/>
    <w:qFormat/>
    <w:uiPriority w:val="99"/>
    <w:pPr>
      <w:numPr>
        <w:ilvl w:val="0"/>
        <w:numId w:val="1"/>
      </w:numPr>
    </w:pPr>
  </w:style>
  <w:style w:type="paragraph" w:styleId="20">
    <w:name w:val="annotation text"/>
    <w:basedOn w:val="1"/>
    <w:link w:val="159"/>
    <w:unhideWhenUsed/>
    <w:qFormat/>
    <w:uiPriority w:val="99"/>
    <w:pPr>
      <w:jc w:val="left"/>
    </w:pPr>
  </w:style>
  <w:style w:type="paragraph" w:styleId="21">
    <w:name w:val="Salutation"/>
    <w:basedOn w:val="1"/>
    <w:next w:val="1"/>
    <w:semiHidden/>
    <w:qFormat/>
    <w:uiPriority w:val="0"/>
    <w:pPr>
      <w:widowControl/>
      <w:spacing w:line="520" w:lineRule="exact"/>
      <w:ind w:firstLine="700" w:firstLineChars="250"/>
    </w:pPr>
    <w:rPr>
      <w:rFonts w:ascii="宋体" w:hAnsi="宋体" w:cs="宋体"/>
      <w:bCs/>
      <w:kern w:val="0"/>
      <w:sz w:val="28"/>
      <w:szCs w:val="32"/>
    </w:rPr>
  </w:style>
  <w:style w:type="paragraph" w:styleId="22">
    <w:name w:val="List 2"/>
    <w:basedOn w:val="1"/>
    <w:qFormat/>
    <w:uiPriority w:val="0"/>
    <w:pPr>
      <w:spacing w:line="240" w:lineRule="auto"/>
      <w:ind w:left="840" w:hanging="420"/>
    </w:pPr>
    <w:rPr>
      <w:kern w:val="0"/>
      <w:sz w:val="20"/>
    </w:rPr>
  </w:style>
  <w:style w:type="paragraph" w:styleId="23">
    <w:name w:val="toc 3"/>
    <w:basedOn w:val="1"/>
    <w:next w:val="1"/>
    <w:unhideWhenUsed/>
    <w:qFormat/>
    <w:uiPriority w:val="39"/>
    <w:pPr>
      <w:ind w:left="840" w:leftChars="400"/>
    </w:pPr>
  </w:style>
  <w:style w:type="paragraph" w:styleId="24">
    <w:name w:val="Plain Text"/>
    <w:basedOn w:val="1"/>
    <w:qFormat/>
    <w:uiPriority w:val="0"/>
    <w:rPr>
      <w:rFonts w:ascii="宋体" w:hAnsi="Courier New"/>
      <w:sz w:val="28"/>
      <w:szCs w:val="20"/>
    </w:rPr>
  </w:style>
  <w:style w:type="paragraph" w:styleId="25">
    <w:name w:val="List Bullet 5"/>
    <w:basedOn w:val="1"/>
    <w:semiHidden/>
    <w:unhideWhenUsed/>
    <w:qFormat/>
    <w:uiPriority w:val="99"/>
    <w:pPr>
      <w:numPr>
        <w:ilvl w:val="0"/>
        <w:numId w:val="2"/>
      </w:numPr>
    </w:pPr>
  </w:style>
  <w:style w:type="paragraph" w:styleId="26">
    <w:name w:val="toc 8"/>
    <w:basedOn w:val="1"/>
    <w:next w:val="1"/>
    <w:unhideWhenUsed/>
    <w:qFormat/>
    <w:uiPriority w:val="39"/>
    <w:pPr>
      <w:spacing w:line="240" w:lineRule="auto"/>
      <w:ind w:left="2940" w:leftChars="1400" w:firstLine="0" w:firstLineChars="0"/>
    </w:pPr>
    <w:rPr>
      <w:sz w:val="21"/>
    </w:rPr>
  </w:style>
  <w:style w:type="paragraph" w:styleId="27">
    <w:name w:val="Date"/>
    <w:basedOn w:val="1"/>
    <w:next w:val="1"/>
    <w:link w:val="62"/>
    <w:semiHidden/>
    <w:unhideWhenUsed/>
    <w:qFormat/>
    <w:uiPriority w:val="99"/>
    <w:pPr>
      <w:ind w:left="100" w:leftChars="2500"/>
    </w:pPr>
  </w:style>
  <w:style w:type="paragraph" w:styleId="28">
    <w:name w:val="Body Text Indent 2"/>
    <w:basedOn w:val="1"/>
    <w:qFormat/>
    <w:uiPriority w:val="0"/>
    <w:pPr>
      <w:spacing w:after="120" w:line="480" w:lineRule="auto"/>
      <w:ind w:left="420" w:leftChars="200"/>
    </w:pPr>
  </w:style>
  <w:style w:type="paragraph" w:styleId="29">
    <w:name w:val="Balloon Text"/>
    <w:basedOn w:val="1"/>
    <w:link w:val="63"/>
    <w:semiHidden/>
    <w:unhideWhenUsed/>
    <w:qFormat/>
    <w:uiPriority w:val="99"/>
    <w:pPr>
      <w:spacing w:line="240" w:lineRule="auto"/>
    </w:pPr>
    <w:rPr>
      <w:sz w:val="18"/>
      <w:szCs w:val="18"/>
    </w:rPr>
  </w:style>
  <w:style w:type="paragraph" w:styleId="30">
    <w:name w:val="footer"/>
    <w:basedOn w:val="1"/>
    <w:link w:val="64"/>
    <w:unhideWhenUsed/>
    <w:qFormat/>
    <w:uiPriority w:val="99"/>
    <w:pPr>
      <w:tabs>
        <w:tab w:val="center" w:pos="4153"/>
        <w:tab w:val="right" w:pos="8306"/>
      </w:tabs>
      <w:snapToGrid w:val="0"/>
      <w:jc w:val="left"/>
    </w:pPr>
    <w:rPr>
      <w:sz w:val="18"/>
      <w:szCs w:val="18"/>
    </w:rPr>
  </w:style>
  <w:style w:type="paragraph" w:styleId="31">
    <w:name w:val="toc 4"/>
    <w:basedOn w:val="1"/>
    <w:next w:val="1"/>
    <w:unhideWhenUsed/>
    <w:qFormat/>
    <w:uiPriority w:val="39"/>
    <w:pPr>
      <w:spacing w:line="240" w:lineRule="auto"/>
      <w:ind w:left="1260" w:leftChars="600" w:firstLine="0" w:firstLineChars="0"/>
    </w:pPr>
    <w:rPr>
      <w:sz w:val="21"/>
    </w:rPr>
  </w:style>
  <w:style w:type="paragraph" w:styleId="32">
    <w:name w:val="List"/>
    <w:basedOn w:val="1"/>
    <w:qFormat/>
    <w:uiPriority w:val="0"/>
    <w:pPr>
      <w:ind w:left="200" w:hanging="200" w:hangingChars="200"/>
    </w:pPr>
  </w:style>
  <w:style w:type="paragraph" w:styleId="33">
    <w:name w:val="toc 6"/>
    <w:basedOn w:val="1"/>
    <w:next w:val="1"/>
    <w:unhideWhenUsed/>
    <w:qFormat/>
    <w:uiPriority w:val="39"/>
    <w:pPr>
      <w:spacing w:line="240" w:lineRule="auto"/>
      <w:ind w:left="2100" w:leftChars="1000" w:firstLine="0" w:firstLineChars="0"/>
    </w:pPr>
    <w:rPr>
      <w:sz w:val="21"/>
    </w:rPr>
  </w:style>
  <w:style w:type="paragraph" w:styleId="34">
    <w:name w:val="toc 2"/>
    <w:basedOn w:val="1"/>
    <w:next w:val="1"/>
    <w:qFormat/>
    <w:uiPriority w:val="39"/>
    <w:pPr>
      <w:ind w:left="420" w:leftChars="200"/>
    </w:pPr>
  </w:style>
  <w:style w:type="paragraph" w:styleId="35">
    <w:name w:val="toc 9"/>
    <w:basedOn w:val="1"/>
    <w:next w:val="1"/>
    <w:unhideWhenUsed/>
    <w:qFormat/>
    <w:uiPriority w:val="39"/>
    <w:pPr>
      <w:spacing w:line="240" w:lineRule="auto"/>
      <w:ind w:left="3360" w:leftChars="1600" w:firstLine="0" w:firstLineChars="0"/>
    </w:pPr>
    <w:rPr>
      <w:sz w:val="21"/>
    </w:rPr>
  </w:style>
  <w:style w:type="paragraph" w:styleId="36">
    <w:name w:val="Message Header"/>
    <w:basedOn w:val="1"/>
    <w:semiHidden/>
    <w:qFormat/>
    <w:uiPriority w:val="0"/>
    <w:pPr>
      <w:widowControl/>
      <w:pBdr>
        <w:top w:val="single" w:color="auto" w:sz="6" w:space="1"/>
        <w:left w:val="single" w:color="auto" w:sz="6" w:space="1"/>
        <w:bottom w:val="single" w:color="auto" w:sz="6" w:space="1"/>
        <w:right w:val="single" w:color="auto" w:sz="6" w:space="1"/>
      </w:pBdr>
      <w:shd w:val="pct20" w:color="auto" w:fill="auto"/>
      <w:spacing w:line="520" w:lineRule="exact"/>
      <w:ind w:left="1080" w:leftChars="500" w:hanging="1080" w:hangingChars="500"/>
    </w:pPr>
    <w:rPr>
      <w:rFonts w:ascii="Arial" w:hAnsi="Arial" w:cs="Arial"/>
      <w:bCs/>
      <w:kern w:val="0"/>
      <w:szCs w:val="24"/>
    </w:rPr>
  </w:style>
  <w:style w:type="paragraph" w:styleId="37">
    <w:name w:val="Normal (Web)"/>
    <w:basedOn w:val="1"/>
    <w:semiHidden/>
    <w:unhideWhenUsed/>
    <w:qFormat/>
    <w:uiPriority w:val="99"/>
    <w:pPr>
      <w:widowControl/>
      <w:spacing w:before="100" w:beforeAutospacing="1" w:after="100" w:afterAutospacing="1" w:line="240" w:lineRule="auto"/>
      <w:ind w:firstLine="0" w:firstLineChars="0"/>
      <w:jc w:val="left"/>
    </w:pPr>
    <w:rPr>
      <w:rFonts w:ascii="宋体" w:hAnsi="宋体" w:eastAsia="宋体" w:cs="宋体"/>
      <w:kern w:val="0"/>
      <w:szCs w:val="24"/>
    </w:rPr>
  </w:style>
  <w:style w:type="paragraph" w:styleId="38">
    <w:name w:val="Title"/>
    <w:basedOn w:val="1"/>
    <w:next w:val="1"/>
    <w:qFormat/>
    <w:uiPriority w:val="0"/>
    <w:pPr>
      <w:adjustRightInd w:val="0"/>
      <w:snapToGrid w:val="0"/>
      <w:spacing w:line="480" w:lineRule="exact"/>
      <w:ind w:firstLine="560" w:firstLineChars="200"/>
    </w:pPr>
    <w:rPr>
      <w:rFonts w:ascii="仿宋_GB2312" w:eastAsia="仿宋_GB2312"/>
      <w:color w:val="000000"/>
      <w:sz w:val="28"/>
      <w:szCs w:val="28"/>
    </w:rPr>
  </w:style>
  <w:style w:type="paragraph" w:styleId="39">
    <w:name w:val="annotation subject"/>
    <w:basedOn w:val="20"/>
    <w:next w:val="20"/>
    <w:link w:val="160"/>
    <w:semiHidden/>
    <w:unhideWhenUsed/>
    <w:qFormat/>
    <w:uiPriority w:val="99"/>
    <w:rPr>
      <w:b/>
      <w:bCs/>
    </w:rPr>
  </w:style>
  <w:style w:type="table" w:styleId="41">
    <w:name w:val="Table Grid"/>
    <w:basedOn w:val="40"/>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43">
    <w:name w:val="Strong"/>
    <w:basedOn w:val="42"/>
    <w:qFormat/>
    <w:uiPriority w:val="0"/>
    <w:rPr>
      <w:b/>
      <w:bCs/>
    </w:rPr>
  </w:style>
  <w:style w:type="character" w:styleId="44">
    <w:name w:val="page number"/>
    <w:basedOn w:val="42"/>
    <w:qFormat/>
    <w:uiPriority w:val="0"/>
  </w:style>
  <w:style w:type="character" w:styleId="45">
    <w:name w:val="Hyperlink"/>
    <w:basedOn w:val="42"/>
    <w:unhideWhenUsed/>
    <w:qFormat/>
    <w:uiPriority w:val="99"/>
    <w:rPr>
      <w:color w:val="0000FF" w:themeColor="hyperlink"/>
      <w:u w:val="single"/>
      <w14:textFill>
        <w14:solidFill>
          <w14:schemeClr w14:val="hlink"/>
        </w14:solidFill>
      </w14:textFill>
    </w:rPr>
  </w:style>
  <w:style w:type="character" w:styleId="46">
    <w:name w:val="annotation reference"/>
    <w:basedOn w:val="42"/>
    <w:semiHidden/>
    <w:unhideWhenUsed/>
    <w:qFormat/>
    <w:uiPriority w:val="99"/>
    <w:rPr>
      <w:sz w:val="21"/>
      <w:szCs w:val="21"/>
    </w:rPr>
  </w:style>
  <w:style w:type="paragraph" w:customStyle="1" w:styleId="47">
    <w:name w:val="Normal (Web)1"/>
    <w:basedOn w:val="1"/>
    <w:next w:val="48"/>
    <w:qFormat/>
    <w:uiPriority w:val="0"/>
    <w:pPr>
      <w:widowControl/>
      <w:jc w:val="left"/>
    </w:pPr>
    <w:rPr>
      <w:rFonts w:ascii="宋体" w:cs="Times New Roman"/>
      <w:kern w:val="0"/>
      <w:szCs w:val="21"/>
    </w:rPr>
  </w:style>
  <w:style w:type="paragraph" w:customStyle="1" w:styleId="48">
    <w:name w:val="Date1"/>
    <w:basedOn w:val="1"/>
    <w:next w:val="1"/>
    <w:qFormat/>
    <w:uiPriority w:val="0"/>
    <w:pPr>
      <w:ind w:left="2500" w:leftChars="2500"/>
    </w:pPr>
    <w:rPr>
      <w:rFonts w:cs="Times New Roman"/>
    </w:rPr>
  </w:style>
  <w:style w:type="paragraph" w:customStyle="1" w:styleId="49">
    <w:name w:val="样式 正文首行缩进 + 首行缩进:  2 字符1"/>
    <w:basedOn w:val="1"/>
    <w:next w:val="18"/>
    <w:qFormat/>
    <w:uiPriority w:val="0"/>
    <w:pPr>
      <w:ind w:firstLine="480"/>
    </w:pPr>
  </w:style>
  <w:style w:type="paragraph" w:customStyle="1" w:styleId="50">
    <w:name w:val="11111"/>
    <w:basedOn w:val="1"/>
    <w:next w:val="1"/>
    <w:qFormat/>
    <w:uiPriority w:val="0"/>
    <w:rPr>
      <w:rFonts w:ascii="宋体" w:hAnsi="宋体" w:cs="宋体"/>
    </w:rPr>
  </w:style>
  <w:style w:type="paragraph" w:customStyle="1" w:styleId="51">
    <w:name w:val="BodyText"/>
    <w:basedOn w:val="1"/>
    <w:qFormat/>
    <w:uiPriority w:val="0"/>
    <w:pPr>
      <w:spacing w:after="120"/>
    </w:pPr>
    <w:rPr>
      <w:rFonts w:eastAsia="宋体" w:cs="Times New Roman"/>
      <w:sz w:val="28"/>
    </w:rPr>
  </w:style>
  <w:style w:type="paragraph" w:customStyle="1" w:styleId="52">
    <w:name w:val="正本"/>
    <w:basedOn w:val="1"/>
    <w:qFormat/>
    <w:uiPriority w:val="0"/>
    <w:pPr>
      <w:adjustRightInd w:val="0"/>
      <w:snapToGrid w:val="0"/>
    </w:pPr>
    <w:rPr>
      <w:rFonts w:ascii="宋体" w:eastAsia="宋体"/>
      <w:szCs w:val="24"/>
    </w:rPr>
  </w:style>
  <w:style w:type="paragraph" w:customStyle="1" w:styleId="53">
    <w:name w:val="Default"/>
    <w:basedOn w:val="54"/>
    <w:next w:val="1"/>
    <w:link w:val="74"/>
    <w:qFormat/>
    <w:uiPriority w:val="0"/>
    <w:pPr>
      <w:autoSpaceDE w:val="0"/>
      <w:autoSpaceDN w:val="0"/>
    </w:pPr>
    <w:rPr>
      <w:rFonts w:hAnsi="Calibri" w:eastAsia="宋体" w:cs="Times New Roman"/>
      <w:color w:val="000000"/>
      <w:szCs w:val="24"/>
    </w:rPr>
  </w:style>
  <w:style w:type="paragraph" w:customStyle="1" w:styleId="54">
    <w:name w:val="纯文本1"/>
    <w:basedOn w:val="1"/>
    <w:qFormat/>
    <w:uiPriority w:val="0"/>
    <w:pPr>
      <w:adjustRightInd w:val="0"/>
      <w:textAlignment w:val="baseline"/>
    </w:pPr>
    <w:rPr>
      <w:rFonts w:ascii="宋体" w:hAnsi="Courier New"/>
      <w:szCs w:val="20"/>
    </w:rPr>
  </w:style>
  <w:style w:type="paragraph" w:customStyle="1" w:styleId="55">
    <w:name w:val="样式 正文文本缩进 + 行距: 1.5 倍行距"/>
    <w:basedOn w:val="56"/>
    <w:next w:val="1"/>
    <w:qFormat/>
    <w:uiPriority w:val="0"/>
    <w:pPr>
      <w:ind w:left="90" w:leftChars="32" w:firstLine="560"/>
    </w:pPr>
    <w:rPr>
      <w:rFonts w:cs="宋体"/>
    </w:rPr>
  </w:style>
  <w:style w:type="paragraph" w:customStyle="1" w:styleId="56">
    <w:name w:val="正文文本缩进1"/>
    <w:basedOn w:val="1"/>
    <w:next w:val="55"/>
    <w:qFormat/>
    <w:uiPriority w:val="0"/>
    <w:pPr>
      <w:spacing w:after="120"/>
      <w:ind w:left="420" w:leftChars="200"/>
    </w:pPr>
    <w:rPr>
      <w:rFonts w:ascii="Times New Roman" w:hAnsi="Times New Roman" w:eastAsia="宋体"/>
    </w:rPr>
  </w:style>
  <w:style w:type="character" w:customStyle="1" w:styleId="57">
    <w:name w:val="标题 1 Char"/>
    <w:basedOn w:val="42"/>
    <w:link w:val="6"/>
    <w:qFormat/>
    <w:uiPriority w:val="9"/>
    <w:rPr>
      <w:rFonts w:ascii="宋体" w:hAnsi="宋体" w:eastAsia="宋体"/>
      <w:b/>
      <w:bCs/>
      <w:kern w:val="44"/>
      <w:sz w:val="32"/>
      <w:szCs w:val="44"/>
    </w:rPr>
  </w:style>
  <w:style w:type="character" w:customStyle="1" w:styleId="58">
    <w:name w:val="标题 2 Char"/>
    <w:basedOn w:val="42"/>
    <w:link w:val="7"/>
    <w:qFormat/>
    <w:uiPriority w:val="9"/>
    <w:rPr>
      <w:rFonts w:ascii="宋体" w:hAnsi="宋体" w:eastAsia="宋体" w:cstheme="majorBidi"/>
      <w:b/>
      <w:bCs/>
      <w:sz w:val="30"/>
      <w:szCs w:val="30"/>
    </w:rPr>
  </w:style>
  <w:style w:type="character" w:customStyle="1" w:styleId="59">
    <w:name w:val="标题 3 Char"/>
    <w:basedOn w:val="42"/>
    <w:link w:val="8"/>
    <w:qFormat/>
    <w:uiPriority w:val="9"/>
    <w:rPr>
      <w:rFonts w:ascii="宋体" w:hAnsi="宋体" w:eastAsia="宋体"/>
      <w:b/>
      <w:bCs/>
      <w:sz w:val="28"/>
      <w:szCs w:val="28"/>
    </w:rPr>
  </w:style>
  <w:style w:type="character" w:customStyle="1" w:styleId="60">
    <w:name w:val="标题 4 Char"/>
    <w:basedOn w:val="42"/>
    <w:link w:val="10"/>
    <w:qFormat/>
    <w:uiPriority w:val="9"/>
    <w:rPr>
      <w:rFonts w:ascii="宋体" w:hAnsi="宋体" w:eastAsia="宋体" w:cstheme="majorBidi"/>
      <w:b/>
      <w:bCs/>
      <w:sz w:val="24"/>
      <w:szCs w:val="24"/>
    </w:rPr>
  </w:style>
  <w:style w:type="character" w:customStyle="1" w:styleId="61">
    <w:name w:val="宏文本 Char"/>
    <w:basedOn w:val="42"/>
    <w:link w:val="5"/>
    <w:qFormat/>
    <w:uiPriority w:val="99"/>
    <w:rPr>
      <w:rFonts w:ascii="Times New Roman" w:hAnsi="Times New Roman" w:eastAsia="宋体" w:cs="Times New Roman"/>
      <w:szCs w:val="24"/>
    </w:rPr>
  </w:style>
  <w:style w:type="character" w:customStyle="1" w:styleId="62">
    <w:name w:val="日期 Char"/>
    <w:basedOn w:val="42"/>
    <w:link w:val="27"/>
    <w:semiHidden/>
    <w:qFormat/>
    <w:uiPriority w:val="99"/>
    <w:rPr>
      <w:sz w:val="24"/>
    </w:rPr>
  </w:style>
  <w:style w:type="character" w:customStyle="1" w:styleId="63">
    <w:name w:val="批注框文本 Char"/>
    <w:basedOn w:val="42"/>
    <w:link w:val="29"/>
    <w:semiHidden/>
    <w:qFormat/>
    <w:uiPriority w:val="99"/>
    <w:rPr>
      <w:sz w:val="18"/>
      <w:szCs w:val="18"/>
    </w:rPr>
  </w:style>
  <w:style w:type="character" w:customStyle="1" w:styleId="64">
    <w:name w:val="页脚 Char"/>
    <w:basedOn w:val="42"/>
    <w:link w:val="30"/>
    <w:qFormat/>
    <w:uiPriority w:val="99"/>
    <w:rPr>
      <w:sz w:val="18"/>
      <w:szCs w:val="18"/>
    </w:rPr>
  </w:style>
  <w:style w:type="character" w:customStyle="1" w:styleId="65">
    <w:name w:val="页眉 Char"/>
    <w:basedOn w:val="42"/>
    <w:link w:val="4"/>
    <w:qFormat/>
    <w:uiPriority w:val="99"/>
    <w:rPr>
      <w:sz w:val="18"/>
      <w:szCs w:val="18"/>
    </w:rPr>
  </w:style>
  <w:style w:type="paragraph" w:customStyle="1" w:styleId="66">
    <w:name w:val="表文"/>
    <w:basedOn w:val="1"/>
    <w:next w:val="1"/>
    <w:link w:val="67"/>
    <w:qFormat/>
    <w:uiPriority w:val="0"/>
    <w:pPr>
      <w:spacing w:line="240" w:lineRule="auto"/>
      <w:ind w:firstLine="0" w:firstLineChars="0"/>
      <w:jc w:val="center"/>
    </w:pPr>
    <w:rPr>
      <w:rFonts w:ascii="新宋体" w:hAnsi="Calibri" w:eastAsia="新宋体" w:cs="Times New Roman"/>
      <w:sz w:val="21"/>
      <w:szCs w:val="21"/>
    </w:rPr>
  </w:style>
  <w:style w:type="character" w:customStyle="1" w:styleId="67">
    <w:name w:val="表文 Char"/>
    <w:link w:val="66"/>
    <w:qFormat/>
    <w:uiPriority w:val="0"/>
    <w:rPr>
      <w:rFonts w:ascii="新宋体" w:hAnsi="Calibri" w:eastAsia="新宋体" w:cs="Times New Roman"/>
      <w:szCs w:val="21"/>
    </w:rPr>
  </w:style>
  <w:style w:type="paragraph" w:customStyle="1" w:styleId="68">
    <w:name w:val="表头"/>
    <w:basedOn w:val="34"/>
    <w:next w:val="24"/>
    <w:link w:val="71"/>
    <w:qFormat/>
    <w:uiPriority w:val="0"/>
    <w:pPr>
      <w:ind w:firstLine="0" w:firstLineChars="0"/>
      <w:jc w:val="center"/>
    </w:pPr>
    <w:rPr>
      <w:rFonts w:ascii="新宋体" w:hAnsi="Calibri" w:eastAsia="新宋体"/>
      <w:sz w:val="21"/>
      <w:szCs w:val="24"/>
    </w:rPr>
  </w:style>
  <w:style w:type="paragraph" w:customStyle="1" w:styleId="69">
    <w:name w:val="缩进2"/>
    <w:basedOn w:val="1"/>
    <w:link w:val="73"/>
    <w:qFormat/>
    <w:uiPriority w:val="0"/>
    <w:rPr>
      <w:rFonts w:ascii="宋体" w:hAnsi="宋体" w:eastAsia="宋体" w:cs="Times New Roman"/>
      <w:szCs w:val="21"/>
    </w:rPr>
  </w:style>
  <w:style w:type="paragraph" w:customStyle="1" w:styleId="70">
    <w:name w:val="样式4"/>
    <w:basedOn w:val="1"/>
    <w:qFormat/>
    <w:uiPriority w:val="0"/>
    <w:pPr>
      <w:adjustRightInd w:val="0"/>
      <w:snapToGrid w:val="0"/>
      <w:jc w:val="center"/>
    </w:pPr>
    <w:rPr>
      <w:rFonts w:cs="Times New Roman"/>
      <w:szCs w:val="20"/>
    </w:rPr>
  </w:style>
  <w:style w:type="character" w:customStyle="1" w:styleId="71">
    <w:name w:val="表头 Char"/>
    <w:link w:val="68"/>
    <w:qFormat/>
    <w:uiPriority w:val="0"/>
    <w:rPr>
      <w:rFonts w:ascii="新宋体" w:hAnsi="Calibri" w:eastAsia="新宋体" w:cs="Times New Roman"/>
      <w:szCs w:val="24"/>
    </w:rPr>
  </w:style>
  <w:style w:type="paragraph" w:customStyle="1" w:styleId="72">
    <w:name w:val="表格文字"/>
    <w:basedOn w:val="16"/>
    <w:qFormat/>
    <w:uiPriority w:val="0"/>
    <w:pPr>
      <w:spacing w:line="240" w:lineRule="auto"/>
    </w:pPr>
  </w:style>
  <w:style w:type="character" w:customStyle="1" w:styleId="73">
    <w:name w:val="缩进2 Char"/>
    <w:link w:val="69"/>
    <w:qFormat/>
    <w:uiPriority w:val="0"/>
    <w:rPr>
      <w:rFonts w:ascii="宋体" w:hAnsi="宋体" w:eastAsia="宋体" w:cs="Times New Roman"/>
      <w:sz w:val="24"/>
      <w:szCs w:val="21"/>
    </w:rPr>
  </w:style>
  <w:style w:type="character" w:customStyle="1" w:styleId="74">
    <w:name w:val="Default Char Char"/>
    <w:link w:val="53"/>
    <w:qFormat/>
    <w:uiPriority w:val="0"/>
    <w:rPr>
      <w:rFonts w:ascii="宋体" w:hAnsi="Calibri" w:eastAsia="宋体" w:cs="Times New Roman"/>
      <w:color w:val="000000"/>
      <w:kern w:val="0"/>
      <w:sz w:val="24"/>
      <w:szCs w:val="24"/>
    </w:rPr>
  </w:style>
  <w:style w:type="paragraph" w:customStyle="1" w:styleId="75">
    <w:name w:val="Other|1"/>
    <w:qFormat/>
    <w:uiPriority w:val="0"/>
    <w:pPr>
      <w:widowControl w:val="0"/>
      <w:spacing w:after="100" w:line="434" w:lineRule="auto"/>
      <w:ind w:firstLine="400"/>
    </w:pPr>
    <w:rPr>
      <w:rFonts w:ascii="宋体" w:hAnsi="宋体" w:eastAsia="宋体" w:cs="宋体"/>
      <w:color w:val="000000"/>
      <w:sz w:val="22"/>
      <w:szCs w:val="22"/>
      <w:lang w:val="zh-TW" w:eastAsia="zh-TW" w:bidi="zh-TW"/>
    </w:rPr>
  </w:style>
  <w:style w:type="paragraph" w:customStyle="1" w:styleId="76">
    <w:name w:val="表格内"/>
    <w:qFormat/>
    <w:uiPriority w:val="0"/>
    <w:pPr>
      <w:widowControl w:val="0"/>
      <w:spacing w:line="360" w:lineRule="exact"/>
      <w:jc w:val="center"/>
    </w:pPr>
    <w:rPr>
      <w:rFonts w:ascii="Calibri" w:hAnsi="Calibri" w:eastAsia="Times New Roman" w:cs="Times New Roman"/>
      <w:kern w:val="2"/>
      <w:sz w:val="21"/>
      <w:szCs w:val="21"/>
      <w:lang w:val="en-US" w:eastAsia="zh-CN" w:bidi="ar-SA"/>
    </w:rPr>
  </w:style>
  <w:style w:type="paragraph" w:customStyle="1" w:styleId="77">
    <w:name w:val="【表中文字】"/>
    <w:basedOn w:val="1"/>
    <w:link w:val="78"/>
    <w:qFormat/>
    <w:uiPriority w:val="0"/>
    <w:pPr>
      <w:spacing w:line="240" w:lineRule="auto"/>
      <w:ind w:firstLine="0" w:firstLineChars="0"/>
      <w:jc w:val="center"/>
    </w:pPr>
    <w:rPr>
      <w:rFonts w:ascii="Times New Roman" w:hAnsi="Calibri" w:eastAsia="宋体" w:cs="Times New Roman"/>
      <w:sz w:val="21"/>
      <w:szCs w:val="20"/>
    </w:rPr>
  </w:style>
  <w:style w:type="character" w:customStyle="1" w:styleId="78">
    <w:name w:val="【表中文字】 Char Char"/>
    <w:link w:val="77"/>
    <w:qFormat/>
    <w:uiPriority w:val="0"/>
    <w:rPr>
      <w:rFonts w:ascii="Times New Roman" w:hAnsi="Calibri" w:eastAsia="宋体" w:cs="Times New Roman"/>
      <w:szCs w:val="20"/>
    </w:rPr>
  </w:style>
  <w:style w:type="paragraph" w:customStyle="1" w:styleId="79">
    <w:name w:val="表格表格"/>
    <w:basedOn w:val="1"/>
    <w:qFormat/>
    <w:uiPriority w:val="0"/>
    <w:pPr>
      <w:spacing w:line="240" w:lineRule="auto"/>
      <w:ind w:firstLine="0" w:firstLineChars="0"/>
    </w:pPr>
    <w:rPr>
      <w:rFonts w:ascii="Times New Roman" w:hAnsi="Calibri" w:eastAsia="宋体" w:cs="Times New Roman"/>
      <w:sz w:val="21"/>
      <w:szCs w:val="21"/>
    </w:rPr>
  </w:style>
  <w:style w:type="paragraph" w:customStyle="1" w:styleId="80">
    <w:name w:val="正文 New New"/>
    <w:link w:val="81"/>
    <w:qFormat/>
    <w:uiPriority w:val="99"/>
    <w:pPr>
      <w:widowControl w:val="0"/>
      <w:jc w:val="both"/>
    </w:pPr>
    <w:rPr>
      <w:rFonts w:ascii="Calibri" w:hAnsi="Calibri" w:eastAsia="宋体" w:cs="Times New Roman"/>
      <w:kern w:val="2"/>
      <w:sz w:val="21"/>
      <w:szCs w:val="24"/>
      <w:lang w:val="en-US" w:eastAsia="zh-CN" w:bidi="ar-SA"/>
    </w:rPr>
  </w:style>
  <w:style w:type="character" w:customStyle="1" w:styleId="81">
    <w:name w:val="正文 New New Char"/>
    <w:link w:val="80"/>
    <w:qFormat/>
    <w:uiPriority w:val="99"/>
    <w:rPr>
      <w:rFonts w:ascii="Calibri" w:hAnsi="Calibri" w:eastAsia="宋体" w:cs="Times New Roman"/>
      <w:szCs w:val="24"/>
    </w:rPr>
  </w:style>
  <w:style w:type="paragraph" w:customStyle="1" w:styleId="82">
    <w:name w:val="样式 Times New Roman 五号 居中"/>
    <w:qFormat/>
    <w:uiPriority w:val="0"/>
    <w:pPr>
      <w:widowControl w:val="0"/>
      <w:jc w:val="center"/>
    </w:pPr>
    <w:rPr>
      <w:rFonts w:ascii="Calibri" w:hAnsi="Calibri" w:eastAsia="宋体" w:cs="宋体"/>
      <w:kern w:val="2"/>
      <w:sz w:val="21"/>
      <w:lang w:val="en-US" w:eastAsia="zh-CN" w:bidi="ar-SA"/>
    </w:rPr>
  </w:style>
  <w:style w:type="paragraph" w:customStyle="1" w:styleId="83">
    <w:name w:val="表格正文"/>
    <w:basedOn w:val="1"/>
    <w:link w:val="84"/>
    <w:qFormat/>
    <w:uiPriority w:val="0"/>
    <w:pPr>
      <w:adjustRightInd w:val="0"/>
      <w:snapToGrid w:val="0"/>
      <w:spacing w:line="240" w:lineRule="auto"/>
      <w:ind w:firstLine="0" w:firstLineChars="0"/>
      <w:jc w:val="center"/>
      <w:textAlignment w:val="baseline"/>
    </w:pPr>
    <w:rPr>
      <w:rFonts w:ascii="宋体" w:hAnsi="Calibri" w:eastAsia="宋体" w:cs="Times New Roman"/>
      <w:snapToGrid w:val="0"/>
      <w:spacing w:val="4"/>
      <w:w w:val="90"/>
      <w:kern w:val="0"/>
      <w:szCs w:val="20"/>
    </w:rPr>
  </w:style>
  <w:style w:type="character" w:customStyle="1" w:styleId="84">
    <w:name w:val="表格正文 Char"/>
    <w:link w:val="83"/>
    <w:qFormat/>
    <w:uiPriority w:val="0"/>
    <w:rPr>
      <w:rFonts w:ascii="宋体" w:hAnsi="Calibri" w:eastAsia="宋体" w:cs="Times New Roman"/>
      <w:snapToGrid w:val="0"/>
      <w:spacing w:val="4"/>
      <w:w w:val="90"/>
      <w:kern w:val="0"/>
      <w:sz w:val="24"/>
      <w:szCs w:val="20"/>
    </w:rPr>
  </w:style>
  <w:style w:type="paragraph" w:customStyle="1" w:styleId="85">
    <w:name w:val="表中的文字"/>
    <w:basedOn w:val="86"/>
    <w:qFormat/>
    <w:uiPriority w:val="0"/>
    <w:pPr>
      <w:spacing w:line="440" w:lineRule="exact"/>
      <w:ind w:firstLine="0" w:firstLineChars="0"/>
    </w:pPr>
    <w:rPr>
      <w:bCs/>
      <w:color w:val="000000"/>
      <w:kern w:val="0"/>
      <w:sz w:val="21"/>
      <w:szCs w:val="21"/>
    </w:rPr>
  </w:style>
  <w:style w:type="paragraph" w:customStyle="1" w:styleId="86">
    <w:name w:val="表中文字"/>
    <w:basedOn w:val="1"/>
    <w:qFormat/>
    <w:uiPriority w:val="0"/>
    <w:pPr>
      <w:jc w:val="center"/>
    </w:pPr>
    <w:rPr>
      <w:rFonts w:cs="Times New Roman"/>
    </w:rPr>
  </w:style>
  <w:style w:type="paragraph" w:customStyle="1" w:styleId="87">
    <w:name w:val="TOC 标题1"/>
    <w:basedOn w:val="6"/>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88">
    <w:name w:val="标题 6 Char"/>
    <w:basedOn w:val="42"/>
    <w:link w:val="11"/>
    <w:qFormat/>
    <w:uiPriority w:val="9"/>
    <w:rPr>
      <w:rFonts w:asciiTheme="majorHAnsi" w:hAnsiTheme="majorHAnsi" w:eastAsiaTheme="majorEastAsia" w:cstheme="majorBidi"/>
      <w:b/>
      <w:bCs/>
      <w:sz w:val="24"/>
      <w:szCs w:val="24"/>
      <w:lang w:eastAsia="en-US"/>
    </w:rPr>
  </w:style>
  <w:style w:type="paragraph" w:customStyle="1" w:styleId="89">
    <w:name w:val="Table Paragraph"/>
    <w:basedOn w:val="1"/>
    <w:qFormat/>
    <w:uiPriority w:val="1"/>
    <w:pPr>
      <w:autoSpaceDE w:val="0"/>
      <w:autoSpaceDN w:val="0"/>
      <w:spacing w:line="240" w:lineRule="auto"/>
      <w:ind w:firstLine="0" w:firstLineChars="0"/>
      <w:jc w:val="left"/>
    </w:pPr>
    <w:rPr>
      <w:rFonts w:ascii="Times New Roman" w:hAnsi="Times New Roman" w:eastAsia="Times New Roman" w:cs="Times New Roman"/>
      <w:kern w:val="0"/>
      <w:sz w:val="22"/>
      <w:lang w:eastAsia="en-US"/>
    </w:rPr>
  </w:style>
  <w:style w:type="table" w:customStyle="1" w:styleId="90">
    <w:name w:val="Table Normal"/>
    <w:semiHidden/>
    <w:unhideWhenUsed/>
    <w:qFormat/>
    <w:uiPriority w:val="2"/>
    <w:pPr>
      <w:widowControl w:val="0"/>
      <w:autoSpaceDE w:val="0"/>
      <w:autoSpaceDN w:val="0"/>
    </w:pPr>
    <w:rPr>
      <w:rFonts w:asciiTheme="minorHAnsi" w:hAnsiTheme="minorHAnsi" w:eastAsiaTheme="minorEastAsia" w:cstheme="minorBidi"/>
      <w:sz w:val="22"/>
      <w:lang w:eastAsia="en-US"/>
    </w:rPr>
    <w:tblPr>
      <w:tblCellMar>
        <w:top w:w="0" w:type="dxa"/>
        <w:left w:w="0" w:type="dxa"/>
        <w:bottom w:w="0" w:type="dxa"/>
        <w:right w:w="0" w:type="dxa"/>
      </w:tblCellMar>
    </w:tblPr>
  </w:style>
  <w:style w:type="paragraph" w:customStyle="1" w:styleId="91">
    <w:name w:val="正文1"/>
    <w:next w:val="1"/>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92">
    <w:name w:val="内容"/>
    <w:basedOn w:val="1"/>
    <w:qFormat/>
    <w:uiPriority w:val="0"/>
    <w:pPr>
      <w:spacing w:beforeLines="50" w:afterLines="50" w:line="240" w:lineRule="auto"/>
    </w:pPr>
    <w:rPr>
      <w:rFonts w:ascii="Times New Roman" w:eastAsia="宋体"/>
      <w:color w:val="000000"/>
      <w:kern w:val="0"/>
      <w:szCs w:val="24"/>
    </w:rPr>
  </w:style>
  <w:style w:type="paragraph" w:customStyle="1" w:styleId="93">
    <w:name w:val="正文00"/>
    <w:basedOn w:val="1"/>
    <w:next w:val="94"/>
    <w:qFormat/>
    <w:uiPriority w:val="0"/>
    <w:pPr>
      <w:ind w:firstLine="480"/>
      <w:jc w:val="left"/>
    </w:pPr>
    <w:rPr>
      <w:rFonts w:ascii="Times New Roman" w:eastAsia="宋体"/>
      <w:szCs w:val="24"/>
    </w:rPr>
  </w:style>
  <w:style w:type="paragraph" w:customStyle="1" w:styleId="94">
    <w:name w:val="样式 Times New Roman 五号 居中1"/>
    <w:basedOn w:val="1"/>
    <w:next w:val="68"/>
    <w:qFormat/>
    <w:uiPriority w:val="0"/>
    <w:pPr>
      <w:jc w:val="center"/>
    </w:pPr>
    <w:rPr>
      <w:rFonts w:eastAsia="宋体" w:cs="宋体"/>
      <w:szCs w:val="20"/>
    </w:rPr>
  </w:style>
  <w:style w:type="paragraph" w:customStyle="1" w:styleId="95">
    <w:name w:val="表、图名"/>
    <w:basedOn w:val="1"/>
    <w:qFormat/>
    <w:uiPriority w:val="0"/>
    <w:pPr>
      <w:adjustRightInd w:val="0"/>
      <w:snapToGrid w:val="0"/>
      <w:spacing w:beforeLines="50"/>
      <w:ind w:left="-6"/>
      <w:jc w:val="center"/>
    </w:pPr>
    <w:rPr>
      <w:rFonts w:ascii="Times New Roman" w:eastAsia="黑体"/>
      <w:sz w:val="21"/>
      <w:szCs w:val="21"/>
    </w:rPr>
  </w:style>
  <w:style w:type="paragraph" w:customStyle="1" w:styleId="96">
    <w:name w:val="【正文】"/>
    <w:basedOn w:val="1"/>
    <w:qFormat/>
    <w:uiPriority w:val="0"/>
    <w:pPr>
      <w:spacing w:line="480" w:lineRule="exact"/>
    </w:pPr>
    <w:rPr>
      <w:rFonts w:ascii="Times New Roman" w:hAnsi="Times New Roman" w:cs="宋体"/>
      <w:spacing w:val="20"/>
      <w:szCs w:val="20"/>
    </w:rPr>
  </w:style>
  <w:style w:type="paragraph" w:customStyle="1" w:styleId="97">
    <w:name w:val="表表头"/>
    <w:basedOn w:val="1"/>
    <w:qFormat/>
    <w:uiPriority w:val="0"/>
    <w:pPr>
      <w:ind w:firstLine="0" w:firstLineChars="0"/>
      <w:jc w:val="center"/>
    </w:pPr>
    <w:rPr>
      <w:rFonts w:eastAsia="黑体"/>
    </w:rPr>
  </w:style>
  <w:style w:type="paragraph" w:customStyle="1" w:styleId="98">
    <w:name w:val="表格中文字"/>
    <w:basedOn w:val="99"/>
    <w:qFormat/>
    <w:uiPriority w:val="0"/>
    <w:pPr>
      <w:spacing w:line="360" w:lineRule="exact"/>
      <w:ind w:firstLine="0" w:firstLineChars="0"/>
    </w:pPr>
    <w:rPr>
      <w:rFonts w:ascii="Times New Roman" w:hAnsi="Times New Roman"/>
      <w:color w:val="auto"/>
      <w:sz w:val="21"/>
      <w:szCs w:val="21"/>
    </w:rPr>
  </w:style>
  <w:style w:type="paragraph" w:customStyle="1" w:styleId="99">
    <w:name w:val="填表正文"/>
    <w:basedOn w:val="1"/>
    <w:qFormat/>
    <w:uiPriority w:val="0"/>
    <w:pPr>
      <w:adjustRightInd w:val="0"/>
      <w:snapToGrid w:val="0"/>
      <w:jc w:val="center"/>
    </w:pPr>
    <w:rPr>
      <w:rFonts w:ascii="宋体" w:hAnsi="Calibri"/>
      <w:color w:val="000000"/>
      <w:kern w:val="0"/>
      <w:szCs w:val="44"/>
    </w:rPr>
  </w:style>
  <w:style w:type="paragraph" w:customStyle="1" w:styleId="100">
    <w:name w:val="报告样式"/>
    <w:basedOn w:val="1"/>
    <w:qFormat/>
    <w:uiPriority w:val="0"/>
    <w:pPr>
      <w:spacing w:line="460" w:lineRule="exact"/>
      <w:jc w:val="left"/>
    </w:pPr>
    <w:rPr>
      <w:rFonts w:ascii="Times New Roman" w:hAnsi="Times New Roman"/>
      <w:spacing w:val="20"/>
      <w:szCs w:val="24"/>
    </w:rPr>
  </w:style>
  <w:style w:type="paragraph" w:customStyle="1" w:styleId="101">
    <w:name w:val="正文文本缩进A"/>
    <w:basedOn w:val="1"/>
    <w:qFormat/>
    <w:uiPriority w:val="0"/>
    <w:pPr>
      <w:ind w:firstLine="480"/>
    </w:pPr>
  </w:style>
  <w:style w:type="paragraph" w:customStyle="1" w:styleId="102">
    <w:name w:val="图表内容"/>
    <w:next w:val="16"/>
    <w:qFormat/>
    <w:uiPriority w:val="0"/>
    <w:pPr>
      <w:jc w:val="center"/>
    </w:pPr>
    <w:rPr>
      <w:rFonts w:ascii="Calibri" w:hAnsi="Calibri" w:eastAsia="宋体" w:cs="Times New Roman"/>
      <w:kern w:val="2"/>
      <w:sz w:val="21"/>
      <w:szCs w:val="21"/>
      <w:lang w:val="en-US" w:eastAsia="zh-CN" w:bidi="ar-SA"/>
    </w:rPr>
  </w:style>
  <w:style w:type="paragraph" w:customStyle="1" w:styleId="103">
    <w:name w:val="BTL 表格1"/>
    <w:basedOn w:val="1"/>
    <w:qFormat/>
    <w:uiPriority w:val="0"/>
    <w:pPr>
      <w:snapToGrid w:val="0"/>
      <w:spacing w:line="360" w:lineRule="exact"/>
    </w:pPr>
    <w:rPr>
      <w:rFonts w:eastAsia="楷体_GB2312"/>
      <w:color w:val="000000"/>
      <w:spacing w:val="10"/>
      <w:w w:val="80"/>
    </w:rPr>
  </w:style>
  <w:style w:type="paragraph" w:customStyle="1" w:styleId="104">
    <w:name w:val="正文12"/>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105">
    <w:name w:val="【表头】"/>
    <w:basedOn w:val="1"/>
    <w:qFormat/>
    <w:uiPriority w:val="0"/>
    <w:pPr>
      <w:spacing w:line="460" w:lineRule="exact"/>
      <w:jc w:val="center"/>
    </w:pPr>
    <w:rPr>
      <w:rFonts w:ascii="Times New Roman" w:hAnsi="Times New Roman" w:eastAsia="黑体" w:cs="宋体"/>
      <w:kern w:val="0"/>
      <w:szCs w:val="20"/>
    </w:rPr>
  </w:style>
  <w:style w:type="paragraph" w:customStyle="1" w:styleId="106">
    <w:name w:val="【表中文字】-"/>
    <w:basedOn w:val="1"/>
    <w:qFormat/>
    <w:uiPriority w:val="0"/>
    <w:pPr>
      <w:spacing w:line="240" w:lineRule="auto"/>
      <w:ind w:firstLine="0" w:firstLineChars="0"/>
      <w:jc w:val="center"/>
    </w:pPr>
    <w:rPr>
      <w:kern w:val="0"/>
      <w:sz w:val="20"/>
      <w:szCs w:val="20"/>
    </w:rPr>
  </w:style>
  <w:style w:type="paragraph" w:customStyle="1" w:styleId="107">
    <w:name w:val="表头-------------"/>
    <w:basedOn w:val="1"/>
    <w:qFormat/>
    <w:uiPriority w:val="0"/>
    <w:pPr>
      <w:spacing w:line="460" w:lineRule="exact"/>
      <w:jc w:val="center"/>
    </w:pPr>
    <w:rPr>
      <w:rFonts w:ascii="Times New Roman" w:hAnsi="Times New Roman" w:eastAsia="黑体" w:cs="宋体"/>
      <w:kern w:val="0"/>
      <w:szCs w:val="20"/>
    </w:rPr>
  </w:style>
  <w:style w:type="paragraph" w:customStyle="1" w:styleId="108">
    <w:name w:val="Table Text"/>
    <w:basedOn w:val="1"/>
    <w:semiHidden/>
    <w:qFormat/>
    <w:uiPriority w:val="0"/>
    <w:rPr>
      <w:rFonts w:ascii="Arial" w:hAnsi="Arial" w:eastAsia="Arial" w:cs="Arial"/>
      <w:sz w:val="21"/>
      <w:szCs w:val="21"/>
      <w:lang w:eastAsia="en-US"/>
    </w:rPr>
  </w:style>
  <w:style w:type="paragraph" w:customStyle="1" w:styleId="109">
    <w:name w:val="No Spacing1"/>
    <w:qFormat/>
    <w:uiPriority w:val="99"/>
    <w:pPr>
      <w:widowControl w:val="0"/>
      <w:jc w:val="both"/>
    </w:pPr>
    <w:rPr>
      <w:rFonts w:ascii="Calibri" w:hAnsi="Calibri" w:eastAsia="宋体" w:cs="Times New Roman"/>
      <w:kern w:val="2"/>
      <w:sz w:val="32"/>
      <w:szCs w:val="32"/>
      <w:lang w:val="en-US" w:eastAsia="zh-CN" w:bidi="ar-SA"/>
    </w:rPr>
  </w:style>
  <w:style w:type="paragraph" w:customStyle="1" w:styleId="110">
    <w:name w:val="正文 + 首行缩进:  2 字符"/>
    <w:basedOn w:val="1"/>
    <w:qFormat/>
    <w:uiPriority w:val="0"/>
    <w:pPr>
      <w:spacing w:line="460" w:lineRule="atLeast"/>
      <w:ind w:firstLine="528"/>
    </w:pPr>
    <w:rPr>
      <w:rFonts w:ascii="Times New Roman" w:hAnsi="Times New Roman"/>
      <w:spacing w:val="12"/>
      <w:szCs w:val="20"/>
    </w:rPr>
  </w:style>
  <w:style w:type="paragraph" w:customStyle="1" w:styleId="111">
    <w:name w:val="Char Char"/>
    <w:basedOn w:val="1"/>
    <w:qFormat/>
    <w:uiPriority w:val="0"/>
    <w:rPr>
      <w:rFonts w:ascii="Times New Roman" w:hAnsi="Times New Roman"/>
      <w:szCs w:val="24"/>
    </w:rPr>
  </w:style>
  <w:style w:type="paragraph" w:customStyle="1" w:styleId="112">
    <w:name w:val="_Style 4"/>
    <w:qFormat/>
    <w:uiPriority w:val="1"/>
    <w:pPr>
      <w:widowControl w:val="0"/>
      <w:spacing w:line="440" w:lineRule="exact"/>
      <w:jc w:val="both"/>
    </w:pPr>
    <w:rPr>
      <w:rFonts w:ascii="Times New Roman" w:hAnsi="Times New Roman" w:eastAsia="仿宋_GB2312" w:cs="Times New Roman"/>
      <w:kern w:val="2"/>
      <w:sz w:val="24"/>
      <w:szCs w:val="24"/>
      <w:lang w:val="en-US" w:eastAsia="zh-CN" w:bidi="ar-SA"/>
    </w:rPr>
  </w:style>
  <w:style w:type="paragraph" w:customStyle="1" w:styleId="113">
    <w:name w:val="正文----------------"/>
    <w:basedOn w:val="1"/>
    <w:qFormat/>
    <w:uiPriority w:val="0"/>
    <w:pPr>
      <w:spacing w:line="440" w:lineRule="exact"/>
      <w:ind w:firstLine="544"/>
    </w:pPr>
    <w:rPr>
      <w:rFonts w:ascii="Times New Roman" w:hAnsi="Times New Roman" w:cs="宋体"/>
      <w:spacing w:val="16"/>
      <w:szCs w:val="20"/>
    </w:rPr>
  </w:style>
  <w:style w:type="paragraph" w:customStyle="1" w:styleId="114">
    <w:name w:val="表格"/>
    <w:basedOn w:val="16"/>
    <w:next w:val="1"/>
    <w:qFormat/>
    <w:uiPriority w:val="0"/>
    <w:pPr>
      <w:spacing w:before="60" w:after="40"/>
      <w:textAlignment w:val="center"/>
    </w:pPr>
    <w:rPr>
      <w:rFonts w:ascii="Times New Roman" w:hAnsi="Times New Roman" w:cs="Times New Roman"/>
      <w:sz w:val="21"/>
    </w:rPr>
  </w:style>
  <w:style w:type="paragraph" w:customStyle="1" w:styleId="115">
    <w:name w:val="表格标题"/>
    <w:basedOn w:val="1"/>
    <w:next w:val="116"/>
    <w:qFormat/>
    <w:uiPriority w:val="0"/>
    <w:pPr>
      <w:spacing w:line="500" w:lineRule="exact"/>
      <w:jc w:val="center"/>
    </w:pPr>
    <w:rPr>
      <w:rFonts w:hAnsi="宋体" w:eastAsia="宋体"/>
      <w:b/>
      <w:color w:val="000000"/>
      <w:szCs w:val="24"/>
    </w:rPr>
  </w:style>
  <w:style w:type="paragraph" w:customStyle="1" w:styleId="116">
    <w:name w:val="报告表正文"/>
    <w:basedOn w:val="1"/>
    <w:next w:val="1"/>
    <w:qFormat/>
    <w:uiPriority w:val="0"/>
    <w:pPr>
      <w:adjustRightInd w:val="0"/>
      <w:spacing w:line="312" w:lineRule="auto"/>
      <w:ind w:left="113" w:right="113" w:firstLine="482"/>
      <w:jc w:val="left"/>
      <w:textAlignment w:val="baseline"/>
    </w:pPr>
    <w:rPr>
      <w:kern w:val="0"/>
    </w:rPr>
  </w:style>
  <w:style w:type="paragraph" w:customStyle="1" w:styleId="117">
    <w:name w:val="表格文字2"/>
    <w:basedOn w:val="1"/>
    <w:qFormat/>
    <w:uiPriority w:val="0"/>
    <w:pPr>
      <w:tabs>
        <w:tab w:val="left" w:pos="277"/>
        <w:tab w:val="left" w:pos="600"/>
        <w:tab w:val="left" w:pos="780"/>
        <w:tab w:val="left" w:pos="2517"/>
      </w:tabs>
      <w:adjustRightInd w:val="0"/>
      <w:jc w:val="center"/>
      <w:textAlignment w:val="baseline"/>
    </w:pPr>
    <w:rPr>
      <w:rFonts w:ascii="Times New Roman" w:hAnsi="Times New Roman"/>
      <w:kern w:val="0"/>
      <w:szCs w:val="21"/>
    </w:rPr>
  </w:style>
  <w:style w:type="paragraph" w:customStyle="1" w:styleId="118">
    <w:name w:val="表前文字"/>
    <w:basedOn w:val="1"/>
    <w:qFormat/>
    <w:uiPriority w:val="0"/>
    <w:pPr>
      <w:jc w:val="center"/>
    </w:pPr>
    <w:rPr>
      <w:rFonts w:ascii="黑体" w:hAnsi="宋体" w:eastAsia="黑体"/>
      <w:szCs w:val="21"/>
    </w:rPr>
  </w:style>
  <w:style w:type="paragraph" w:customStyle="1" w:styleId="119">
    <w:name w:val="表格标题样式"/>
    <w:basedOn w:val="15"/>
    <w:qFormat/>
    <w:uiPriority w:val="0"/>
    <w:pPr>
      <w:spacing w:after="0" w:line="480" w:lineRule="exact"/>
      <w:ind w:firstLine="0" w:firstLineChars="0"/>
      <w:jc w:val="center"/>
    </w:pPr>
    <w:rPr>
      <w:rFonts w:eastAsia="黑体"/>
      <w:snapToGrid w:val="0"/>
      <w:color w:val="0070C0"/>
      <w:sz w:val="24"/>
    </w:rPr>
  </w:style>
  <w:style w:type="character" w:customStyle="1" w:styleId="120">
    <w:name w:val="font41"/>
    <w:basedOn w:val="42"/>
    <w:qFormat/>
    <w:uiPriority w:val="0"/>
    <w:rPr>
      <w:rFonts w:hint="eastAsia" w:ascii="宋体" w:hAnsi="宋体" w:eastAsia="宋体" w:cs="宋体"/>
      <w:color w:val="0070C0"/>
      <w:sz w:val="21"/>
      <w:szCs w:val="21"/>
      <w:u w:val="none"/>
    </w:rPr>
  </w:style>
  <w:style w:type="character" w:customStyle="1" w:styleId="121">
    <w:name w:val="font51"/>
    <w:basedOn w:val="42"/>
    <w:qFormat/>
    <w:uiPriority w:val="0"/>
    <w:rPr>
      <w:rFonts w:hint="default" w:ascii="Times New Roman" w:hAnsi="Times New Roman" w:cs="Times New Roman"/>
      <w:color w:val="0070C0"/>
      <w:sz w:val="21"/>
      <w:szCs w:val="21"/>
      <w:u w:val="none"/>
    </w:rPr>
  </w:style>
  <w:style w:type="paragraph" w:customStyle="1" w:styleId="122">
    <w:name w:val="样式 黑体 居中 行距: 1.5 倍行距"/>
    <w:basedOn w:val="1"/>
    <w:qFormat/>
    <w:uiPriority w:val="0"/>
    <w:pPr>
      <w:jc w:val="center"/>
    </w:pPr>
    <w:rPr>
      <w:rFonts w:ascii="黑体" w:hAnsi="黑体" w:eastAsia="黑体"/>
      <w:kern w:val="0"/>
      <w:szCs w:val="20"/>
    </w:rPr>
  </w:style>
  <w:style w:type="paragraph" w:customStyle="1" w:styleId="123">
    <w:name w:val="9"/>
    <w:basedOn w:val="1"/>
    <w:qFormat/>
    <w:uiPriority w:val="0"/>
    <w:pPr>
      <w:widowControl/>
      <w:spacing w:before="100" w:beforeAutospacing="1" w:after="100" w:afterAutospacing="1"/>
      <w:jc w:val="left"/>
    </w:pPr>
    <w:rPr>
      <w:rFonts w:ascii="宋体" w:hAnsi="宋体"/>
      <w:kern w:val="0"/>
      <w:szCs w:val="24"/>
    </w:rPr>
  </w:style>
  <w:style w:type="paragraph" w:customStyle="1" w:styleId="124">
    <w:name w:val="a正文"/>
    <w:basedOn w:val="1"/>
    <w:qFormat/>
    <w:uiPriority w:val="0"/>
    <w:pPr>
      <w:spacing w:line="520" w:lineRule="exact"/>
      <w:ind w:firstLine="561"/>
    </w:pPr>
    <w:rPr>
      <w:rFonts w:ascii="Times New Roman" w:hAnsi="Times New Roman"/>
      <w:sz w:val="28"/>
      <w:szCs w:val="20"/>
    </w:rPr>
  </w:style>
  <w:style w:type="paragraph" w:customStyle="1" w:styleId="125">
    <w:name w:val="正文6"/>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126">
    <w:name w:val="正文15"/>
    <w:qFormat/>
    <w:uiPriority w:val="0"/>
    <w:pPr>
      <w:widowControl w:val="0"/>
      <w:adjustRightInd w:val="0"/>
      <w:spacing w:line="360" w:lineRule="atLeast"/>
    </w:pPr>
    <w:rPr>
      <w:rFonts w:ascii="宋体" w:hAnsi="宋体" w:eastAsia="宋体" w:cs="Times New Roman"/>
      <w:sz w:val="24"/>
      <w:lang w:val="en-US" w:eastAsia="zh-CN" w:bidi="ar-SA"/>
    </w:rPr>
  </w:style>
  <w:style w:type="paragraph" w:customStyle="1" w:styleId="127">
    <w:name w:val="简单回函地址"/>
    <w:basedOn w:val="1"/>
    <w:qFormat/>
    <w:uiPriority w:val="0"/>
    <w:rPr>
      <w:rFonts w:ascii="Times New Roman" w:hAnsi="Times New Roman"/>
      <w:szCs w:val="24"/>
    </w:rPr>
  </w:style>
  <w:style w:type="paragraph" w:customStyle="1" w:styleId="128">
    <w:name w:val="p19"/>
    <w:basedOn w:val="1"/>
    <w:qFormat/>
    <w:uiPriority w:val="0"/>
    <w:pPr>
      <w:widowControl/>
      <w:jc w:val="center"/>
    </w:pPr>
    <w:rPr>
      <w:rFonts w:ascii="Times New Roman" w:hAnsi="Times New Roman"/>
      <w:kern w:val="0"/>
      <w:szCs w:val="21"/>
    </w:rPr>
  </w:style>
  <w:style w:type="paragraph" w:customStyle="1" w:styleId="129">
    <w:name w:val="p0"/>
    <w:basedOn w:val="1"/>
    <w:qFormat/>
    <w:uiPriority w:val="0"/>
    <w:pPr>
      <w:widowControl/>
    </w:pPr>
    <w:rPr>
      <w:rFonts w:ascii="Times New Roman" w:hAnsi="Times New Roman"/>
      <w:kern w:val="0"/>
      <w:szCs w:val="20"/>
    </w:rPr>
  </w:style>
  <w:style w:type="paragraph" w:customStyle="1" w:styleId="130">
    <w:name w:val="表1"/>
    <w:next w:val="1"/>
    <w:qFormat/>
    <w:uiPriority w:val="0"/>
    <w:pPr>
      <w:adjustRightInd w:val="0"/>
      <w:snapToGrid w:val="0"/>
      <w:jc w:val="center"/>
    </w:pPr>
    <w:rPr>
      <w:rFonts w:ascii="Times New Roman" w:hAnsi="Times New Roman" w:eastAsia="宋体" w:cs="Times New Roman"/>
      <w:sz w:val="21"/>
      <w:lang w:val="en-US" w:eastAsia="zh-CN" w:bidi="ar-SA"/>
    </w:rPr>
  </w:style>
  <w:style w:type="character" w:customStyle="1" w:styleId="131">
    <w:name w:val="font21"/>
    <w:basedOn w:val="42"/>
    <w:qFormat/>
    <w:uiPriority w:val="0"/>
    <w:rPr>
      <w:rFonts w:hint="eastAsia" w:ascii="宋体" w:hAnsi="宋体" w:eastAsia="宋体" w:cs="宋体"/>
      <w:color w:val="00B050"/>
      <w:sz w:val="21"/>
      <w:szCs w:val="21"/>
      <w:u w:val="none"/>
    </w:rPr>
  </w:style>
  <w:style w:type="character" w:customStyle="1" w:styleId="132">
    <w:name w:val="font31"/>
    <w:basedOn w:val="42"/>
    <w:qFormat/>
    <w:uiPriority w:val="0"/>
    <w:rPr>
      <w:rFonts w:hint="default" w:ascii="Times New Roman" w:hAnsi="Times New Roman" w:cs="Times New Roman"/>
      <w:color w:val="00B050"/>
      <w:sz w:val="21"/>
      <w:szCs w:val="21"/>
      <w:u w:val="none"/>
    </w:rPr>
  </w:style>
  <w:style w:type="paragraph" w:customStyle="1" w:styleId="133">
    <w:name w:val="表格名称"/>
    <w:basedOn w:val="1"/>
    <w:qFormat/>
    <w:uiPriority w:val="0"/>
    <w:pPr>
      <w:spacing w:beforeLines="50" w:line="240" w:lineRule="auto"/>
      <w:ind w:firstLine="0" w:firstLineChars="0"/>
      <w:jc w:val="center"/>
    </w:pPr>
    <w:rPr>
      <w:rFonts w:cs="Times New Roman"/>
      <w:b/>
      <w:bCs/>
      <w:sz w:val="21"/>
      <w:szCs w:val="21"/>
      <w:lang w:val="zh-CN"/>
    </w:rPr>
  </w:style>
  <w:style w:type="paragraph" w:customStyle="1" w:styleId="134">
    <w:name w:val="正文11"/>
    <w:qFormat/>
    <w:uiPriority w:val="0"/>
    <w:pPr>
      <w:widowControl w:val="0"/>
      <w:tabs>
        <w:tab w:val="left" w:pos="567"/>
      </w:tabs>
      <w:adjustRightInd w:val="0"/>
      <w:spacing w:line="360" w:lineRule="atLeast"/>
      <w:ind w:left="567" w:hanging="567"/>
      <w:textAlignment w:val="baseline"/>
    </w:pPr>
    <w:rPr>
      <w:rFonts w:ascii="宋体" w:hAnsi="Times New Roman" w:eastAsia="宋体" w:cs="Times New Roman"/>
      <w:sz w:val="24"/>
      <w:lang w:val="en-US" w:eastAsia="zh-CN" w:bidi="ar-SA"/>
    </w:rPr>
  </w:style>
  <w:style w:type="paragraph" w:customStyle="1" w:styleId="135">
    <w:name w:val="列出段落1"/>
    <w:basedOn w:val="1"/>
    <w:qFormat/>
    <w:uiPriority w:val="99"/>
    <w:pPr>
      <w:autoSpaceDE w:val="0"/>
      <w:autoSpaceDN w:val="0"/>
      <w:spacing w:line="400" w:lineRule="exact"/>
      <w:ind w:firstLine="420"/>
      <w:jc w:val="left"/>
    </w:pPr>
    <w:rPr>
      <w:rFonts w:eastAsia="仿宋" w:cs="宋体"/>
      <w:kern w:val="0"/>
      <w:lang w:val="zh-CN"/>
    </w:rPr>
  </w:style>
  <w:style w:type="paragraph" w:customStyle="1" w:styleId="136">
    <w:name w:val="标题 段落4级"/>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character" w:customStyle="1" w:styleId="137">
    <w:name w:val="font11"/>
    <w:basedOn w:val="42"/>
    <w:qFormat/>
    <w:uiPriority w:val="0"/>
    <w:rPr>
      <w:rFonts w:hint="eastAsia" w:ascii="宋体" w:hAnsi="宋体" w:eastAsia="宋体" w:cs="宋体"/>
      <w:color w:val="000000"/>
      <w:sz w:val="21"/>
      <w:szCs w:val="21"/>
      <w:u w:val="none"/>
    </w:rPr>
  </w:style>
  <w:style w:type="paragraph" w:customStyle="1" w:styleId="138">
    <w:name w:val="SpireTableThStyle8dbbadb1-f52e-4e1f-b1b8-bad119a6a689"/>
    <w:basedOn w:val="1"/>
    <w:qFormat/>
    <w:uiPriority w:val="0"/>
    <w:pPr>
      <w:jc w:val="center"/>
    </w:pPr>
    <w:rPr>
      <w:b/>
    </w:rPr>
  </w:style>
  <w:style w:type="paragraph" w:customStyle="1" w:styleId="139">
    <w:name w:val="SpireTableThStylebfe42d67-f34b-4203-83e6-4c254eb990d8"/>
    <w:basedOn w:val="1"/>
    <w:qFormat/>
    <w:uiPriority w:val="0"/>
    <w:pPr>
      <w:jc w:val="center"/>
    </w:pPr>
    <w:rPr>
      <w:b/>
    </w:rPr>
  </w:style>
  <w:style w:type="paragraph" w:customStyle="1" w:styleId="140">
    <w:name w:val="SpireTableThStylee58a1cfa-af0d-48de-b8b6-d58ea4ca066a"/>
    <w:basedOn w:val="1"/>
    <w:qFormat/>
    <w:uiPriority w:val="0"/>
    <w:pPr>
      <w:jc w:val="center"/>
    </w:pPr>
    <w:rPr>
      <w:b/>
    </w:rPr>
  </w:style>
  <w:style w:type="paragraph" w:customStyle="1" w:styleId="141">
    <w:name w:val="SpireTableThStyleee2c6c1c-13ee-47b0-8c6e-17311facfab9"/>
    <w:basedOn w:val="1"/>
    <w:qFormat/>
    <w:uiPriority w:val="0"/>
    <w:pPr>
      <w:jc w:val="center"/>
    </w:pPr>
    <w:rPr>
      <w:b/>
    </w:rPr>
  </w:style>
  <w:style w:type="paragraph" w:customStyle="1" w:styleId="142">
    <w:name w:val="SpireTableThStyle1b0739fc-638f-4ed7-a309-9ba6dbab996a"/>
    <w:basedOn w:val="1"/>
    <w:qFormat/>
    <w:uiPriority w:val="0"/>
    <w:pPr>
      <w:jc w:val="center"/>
    </w:pPr>
    <w:rPr>
      <w:b/>
    </w:rPr>
  </w:style>
  <w:style w:type="paragraph" w:customStyle="1" w:styleId="143">
    <w:name w:val="SpireTableThStyle9a06a022-9ea8-4c0f-afd0-1ce83aae0599"/>
    <w:basedOn w:val="1"/>
    <w:qFormat/>
    <w:uiPriority w:val="0"/>
    <w:pPr>
      <w:jc w:val="center"/>
    </w:pPr>
    <w:rPr>
      <w:b/>
    </w:rPr>
  </w:style>
  <w:style w:type="paragraph" w:customStyle="1" w:styleId="144">
    <w:name w:val="SpireTableThStyle1e3912ae-1f3a-43c6-9bf2-a80877f62bf0"/>
    <w:basedOn w:val="1"/>
    <w:qFormat/>
    <w:uiPriority w:val="0"/>
    <w:pPr>
      <w:jc w:val="center"/>
    </w:pPr>
    <w:rPr>
      <w:b/>
    </w:rPr>
  </w:style>
  <w:style w:type="paragraph" w:customStyle="1" w:styleId="145">
    <w:name w:val="SpireTableThStyleb1c58e0b-3b82-4c44-bfb8-09ebf521d0f0"/>
    <w:basedOn w:val="1"/>
    <w:qFormat/>
    <w:uiPriority w:val="0"/>
    <w:pPr>
      <w:jc w:val="center"/>
    </w:pPr>
    <w:rPr>
      <w:b/>
    </w:rPr>
  </w:style>
  <w:style w:type="paragraph" w:customStyle="1" w:styleId="146">
    <w:name w:val="SpireTableThStyle8b38c4ab-8bae-4a13-bfd6-c83b9006aa44"/>
    <w:basedOn w:val="1"/>
    <w:qFormat/>
    <w:uiPriority w:val="0"/>
    <w:pPr>
      <w:jc w:val="center"/>
    </w:pPr>
    <w:rPr>
      <w:b/>
    </w:rPr>
  </w:style>
  <w:style w:type="paragraph" w:customStyle="1" w:styleId="147">
    <w:name w:val="SpireTableThStylef7f4c536-7006-446e-84fd-c6dda98f14b2"/>
    <w:basedOn w:val="1"/>
    <w:qFormat/>
    <w:uiPriority w:val="0"/>
    <w:pPr>
      <w:jc w:val="center"/>
    </w:pPr>
    <w:rPr>
      <w:b/>
    </w:rPr>
  </w:style>
  <w:style w:type="paragraph" w:customStyle="1" w:styleId="148">
    <w:name w:val="SpireTableThStyle3f5d3638-0a7f-45bb-bd3e-7cba6ce7ceb9"/>
    <w:basedOn w:val="1"/>
    <w:qFormat/>
    <w:uiPriority w:val="0"/>
    <w:pPr>
      <w:jc w:val="center"/>
    </w:pPr>
    <w:rPr>
      <w:b/>
    </w:rPr>
  </w:style>
  <w:style w:type="paragraph" w:customStyle="1" w:styleId="149">
    <w:name w:val="SpireTableThStyleeedd4074-a63b-46ee-89d8-f069f456491f"/>
    <w:basedOn w:val="1"/>
    <w:qFormat/>
    <w:uiPriority w:val="0"/>
    <w:pPr>
      <w:jc w:val="center"/>
    </w:pPr>
    <w:rPr>
      <w:b/>
    </w:rPr>
  </w:style>
  <w:style w:type="paragraph" w:customStyle="1" w:styleId="150">
    <w:name w:val="表格内容"/>
    <w:basedOn w:val="151"/>
    <w:qFormat/>
    <w:uiPriority w:val="0"/>
    <w:pPr>
      <w:overflowPunct w:val="0"/>
      <w:adjustRightInd w:val="0"/>
      <w:spacing w:before="40" w:after="60" w:line="200" w:lineRule="atLeast"/>
      <w:textAlignment w:val="baseline"/>
    </w:pPr>
    <w:rPr>
      <w:rFonts w:ascii="Arial" w:hAnsi="Arial" w:eastAsia="仿宋_GB2312"/>
      <w:kern w:val="0"/>
      <w:szCs w:val="20"/>
    </w:rPr>
  </w:style>
  <w:style w:type="paragraph" w:customStyle="1" w:styleId="151">
    <w:name w:val="表标题"/>
    <w:basedOn w:val="1"/>
    <w:qFormat/>
    <w:uiPriority w:val="0"/>
    <w:pPr>
      <w:keepNext/>
      <w:adjustRightInd w:val="0"/>
      <w:spacing w:before="60" w:after="60" w:line="397" w:lineRule="atLeast"/>
      <w:jc w:val="center"/>
      <w:textAlignment w:val="baseline"/>
    </w:pPr>
    <w:rPr>
      <w:b/>
      <w:kern w:val="0"/>
      <w:sz w:val="24"/>
    </w:rPr>
  </w:style>
  <w:style w:type="character" w:customStyle="1" w:styleId="152">
    <w:name w:val="font01"/>
    <w:basedOn w:val="42"/>
    <w:qFormat/>
    <w:uiPriority w:val="0"/>
    <w:rPr>
      <w:rFonts w:hint="eastAsia" w:ascii="宋体" w:hAnsi="宋体" w:eastAsia="宋体" w:cs="宋体"/>
      <w:color w:val="000000"/>
      <w:sz w:val="22"/>
      <w:szCs w:val="22"/>
      <w:u w:val="none"/>
      <w:vertAlign w:val="subscript"/>
    </w:rPr>
  </w:style>
  <w:style w:type="paragraph" w:customStyle="1" w:styleId="153">
    <w:name w:val="Body Text 22"/>
    <w:qFormat/>
    <w:uiPriority w:val="0"/>
    <w:pPr>
      <w:widowControl w:val="0"/>
      <w:adjustRightInd w:val="0"/>
      <w:spacing w:line="440" w:lineRule="atLeast"/>
      <w:ind w:firstLine="480"/>
      <w:jc w:val="both"/>
      <w:textAlignment w:val="baseline"/>
    </w:pPr>
    <w:rPr>
      <w:rFonts w:ascii="Times New Roman" w:hAnsi="Times New Roman" w:eastAsia="仿宋_GB2312" w:cs="Times New Roman"/>
      <w:kern w:val="2"/>
      <w:sz w:val="24"/>
      <w:lang w:val="en-US" w:eastAsia="zh-CN" w:bidi="ar-SA"/>
    </w:rPr>
  </w:style>
  <w:style w:type="paragraph" w:customStyle="1" w:styleId="154">
    <w:name w:val="样式 表格内容 +"/>
    <w:basedOn w:val="24"/>
    <w:qFormat/>
    <w:uiPriority w:val="99"/>
    <w:pPr>
      <w:tabs>
        <w:tab w:val="left" w:pos="2880"/>
      </w:tabs>
      <w:adjustRightInd w:val="0"/>
      <w:snapToGrid w:val="0"/>
      <w:jc w:val="center"/>
    </w:pPr>
    <w:rPr>
      <w:rFonts w:ascii="Times New Roman" w:hAnsi="Times New Roman" w:cs="Times New Roman"/>
      <w:w w:val="110"/>
      <w:u w:val="single"/>
    </w:rPr>
  </w:style>
  <w:style w:type="paragraph" w:customStyle="1" w:styleId="155">
    <w:name w:val="正文文本1"/>
    <w:qFormat/>
    <w:uiPriority w:val="0"/>
    <w:pPr>
      <w:widowControl w:val="0"/>
      <w:shd w:val="clear" w:color="auto" w:fill="FFFFFF"/>
      <w:spacing w:before="540" w:line="931" w:lineRule="exact"/>
    </w:pPr>
    <w:rPr>
      <w:rFonts w:ascii="MingLiU" w:hAnsi="MingLiU" w:eastAsia="MingLiU" w:cs="MingLiU"/>
      <w:color w:val="000000"/>
      <w:spacing w:val="20"/>
      <w:sz w:val="42"/>
      <w:szCs w:val="42"/>
      <w:lang w:val="zh-TW" w:eastAsia="zh-CN" w:bidi="ar-SA"/>
    </w:rPr>
  </w:style>
  <w:style w:type="paragraph" w:customStyle="1" w:styleId="156">
    <w:name w:val="正文4"/>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157">
    <w:name w:val="正文24"/>
    <w:basedOn w:val="1"/>
    <w:qFormat/>
    <w:uiPriority w:val="0"/>
    <w:pPr>
      <w:adjustRightInd w:val="0"/>
      <w:snapToGrid w:val="0"/>
      <w:spacing w:line="480" w:lineRule="exact"/>
      <w:ind w:firstLine="480"/>
    </w:pPr>
    <w:rPr>
      <w:rFonts w:ascii="华文中宋" w:hAnsi="华文中宋" w:eastAsia="华文中宋"/>
    </w:rPr>
  </w:style>
  <w:style w:type="table" w:customStyle="1" w:styleId="158">
    <w:name w:val="[表格样式]"/>
    <w:basedOn w:val="40"/>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character" w:customStyle="1" w:styleId="159">
    <w:name w:val="批注文字 Char"/>
    <w:basedOn w:val="42"/>
    <w:link w:val="20"/>
    <w:qFormat/>
    <w:uiPriority w:val="99"/>
    <w:rPr>
      <w:rFonts w:asciiTheme="minorHAnsi" w:hAnsiTheme="minorHAnsi" w:eastAsiaTheme="minorEastAsia" w:cstheme="minorBidi"/>
      <w:kern w:val="2"/>
      <w:sz w:val="24"/>
      <w:szCs w:val="22"/>
    </w:rPr>
  </w:style>
  <w:style w:type="character" w:customStyle="1" w:styleId="160">
    <w:name w:val="批注主题 Char"/>
    <w:basedOn w:val="159"/>
    <w:link w:val="39"/>
    <w:semiHidden/>
    <w:qFormat/>
    <w:uiPriority w:val="99"/>
    <w:rPr>
      <w:rFonts w:asciiTheme="minorHAnsi" w:hAnsiTheme="minorHAnsi" w:eastAsiaTheme="minorEastAsia" w:cstheme="minorBidi"/>
      <w:b/>
      <w:bCs/>
      <w:kern w:val="2"/>
      <w:sz w:val="24"/>
      <w:szCs w:val="22"/>
    </w:rPr>
  </w:style>
  <w:style w:type="paragraph" w:customStyle="1" w:styleId="161">
    <w:name w:val="报告书正文"/>
    <w:basedOn w:val="1"/>
    <w:autoRedefine/>
    <w:qFormat/>
    <w:uiPriority w:val="0"/>
    <w:pPr>
      <w:adjustRightInd w:val="0"/>
      <w:snapToGrid w:val="0"/>
      <w:spacing w:line="400" w:lineRule="atLeast"/>
      <w:ind w:firstLine="200" w:firstLineChars="200"/>
    </w:pPr>
    <w:rPr>
      <w:sz w:val="24"/>
    </w:rPr>
  </w:style>
  <w:style w:type="table" w:customStyle="1" w:styleId="162">
    <w:name w:val="网格型61"/>
    <w:basedOn w:val="40"/>
    <w:qFormat/>
    <w:uiPriority w:val="0"/>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63">
    <w:name w:val="环评正文"/>
    <w:basedOn w:val="1"/>
    <w:qFormat/>
    <w:uiPriority w:val="0"/>
    <w:pPr>
      <w:spacing w:line="360" w:lineRule="auto"/>
      <w:ind w:firstLine="480" w:firstLineChars="200"/>
    </w:pPr>
    <w:rPr>
      <w:rFonts w:ascii="仿宋_GB2312" w:hAnsi="仿宋_GB2312" w:eastAsia="仿宋_GB2312" w:cs="宋体"/>
      <w:sz w:val="24"/>
      <w:szCs w:val="20"/>
    </w:rPr>
  </w:style>
  <w:style w:type="character" w:customStyle="1" w:styleId="164">
    <w:name w:val="标题 1 Char Char"/>
    <w:qFormat/>
    <w:uiPriority w:val="0"/>
    <w:rPr>
      <w:rFonts w:eastAsia="宋体"/>
      <w:b/>
      <w:bCs/>
      <w:kern w:val="44"/>
      <w:sz w:val="44"/>
      <w:szCs w:val="44"/>
      <w:lang w:val="en-US" w:eastAsia="zh-CN" w:bidi="ar-SA"/>
    </w:rPr>
  </w:style>
  <w:style w:type="paragraph" w:customStyle="1" w:styleId="165">
    <w:name w:val="样式正文 Char"/>
    <w:basedOn w:val="1"/>
    <w:qFormat/>
    <w:uiPriority w:val="0"/>
    <w:pPr>
      <w:adjustRightInd w:val="0"/>
      <w:snapToGrid w:val="0"/>
      <w:spacing w:line="360" w:lineRule="auto"/>
      <w:ind w:firstLine="624"/>
    </w:pPr>
    <w:rPr>
      <w:sz w:val="28"/>
      <w:szCs w:val="28"/>
    </w:rPr>
  </w:style>
  <w:style w:type="paragraph" w:customStyle="1" w:styleId="166">
    <w:name w:val="正文2"/>
    <w:qFormat/>
    <w:uiPriority w:val="0"/>
    <w:pPr>
      <w:widowControl w:val="0"/>
      <w:adjustRightInd w:val="0"/>
      <w:spacing w:line="360" w:lineRule="atLeast"/>
    </w:pPr>
    <w:rPr>
      <w:rFonts w:ascii="宋体" w:hAnsi="Times New Roman" w:eastAsia="宋体" w:cs="Times New Roman"/>
      <w:sz w:val="24"/>
      <w:lang w:val="en-US" w:eastAsia="zh-CN" w:bidi="ar-SA"/>
    </w:rPr>
  </w:style>
  <w:style w:type="paragraph" w:styleId="167">
    <w:name w:val="List Paragraph"/>
    <w:basedOn w:val="1"/>
    <w:qFormat/>
    <w:uiPriority w:val="34"/>
    <w:pPr>
      <w:ind w:firstLine="420" w:firstLineChars="200"/>
    </w:pPr>
  </w:style>
  <w:style w:type="paragraph" w:customStyle="1" w:styleId="168">
    <w:name w:val="7"/>
    <w:basedOn w:val="1"/>
    <w:next w:val="1"/>
    <w:qFormat/>
    <w:uiPriority w:val="0"/>
    <w:pPr>
      <w:spacing w:line="360" w:lineRule="auto"/>
      <w:ind w:firstLine="200" w:firstLineChars="200"/>
    </w:pPr>
    <w:rPr>
      <w:rFonts w:ascii="宋体" w:hAnsi="宋体" w:eastAsia="宋体" w:cs="宋体"/>
      <w:sz w:val="30"/>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74.png"/><Relationship Id="rId98" Type="http://schemas.openxmlformats.org/officeDocument/2006/relationships/image" Target="media/image73.png"/><Relationship Id="rId97" Type="http://schemas.openxmlformats.org/officeDocument/2006/relationships/image" Target="media/image72.png"/><Relationship Id="rId96" Type="http://schemas.openxmlformats.org/officeDocument/2006/relationships/image" Target="media/image71.png"/><Relationship Id="rId95" Type="http://schemas.openxmlformats.org/officeDocument/2006/relationships/image" Target="media/image70.png"/><Relationship Id="rId94" Type="http://schemas.openxmlformats.org/officeDocument/2006/relationships/image" Target="media/image69.png"/><Relationship Id="rId93" Type="http://schemas.openxmlformats.org/officeDocument/2006/relationships/image" Target="media/image68.png"/><Relationship Id="rId92" Type="http://schemas.openxmlformats.org/officeDocument/2006/relationships/image" Target="media/image67.png"/><Relationship Id="rId91" Type="http://schemas.openxmlformats.org/officeDocument/2006/relationships/image" Target="media/image66.png"/><Relationship Id="rId90" Type="http://schemas.openxmlformats.org/officeDocument/2006/relationships/image" Target="media/image65.png"/><Relationship Id="rId9" Type="http://schemas.openxmlformats.org/officeDocument/2006/relationships/footer" Target="footer2.xml"/><Relationship Id="rId89" Type="http://schemas.openxmlformats.org/officeDocument/2006/relationships/image" Target="media/image64.png"/><Relationship Id="rId88" Type="http://schemas.openxmlformats.org/officeDocument/2006/relationships/image" Target="media/image63.png"/><Relationship Id="rId87" Type="http://schemas.openxmlformats.org/officeDocument/2006/relationships/image" Target="media/image62.png"/><Relationship Id="rId86" Type="http://schemas.openxmlformats.org/officeDocument/2006/relationships/image" Target="media/image61.png"/><Relationship Id="rId85" Type="http://schemas.openxmlformats.org/officeDocument/2006/relationships/image" Target="media/image60.png"/><Relationship Id="rId84" Type="http://schemas.openxmlformats.org/officeDocument/2006/relationships/image" Target="media/image59.png"/><Relationship Id="rId83" Type="http://schemas.openxmlformats.org/officeDocument/2006/relationships/image" Target="media/image58.png"/><Relationship Id="rId82" Type="http://schemas.openxmlformats.org/officeDocument/2006/relationships/image" Target="media/image57.png"/><Relationship Id="rId81" Type="http://schemas.openxmlformats.org/officeDocument/2006/relationships/image" Target="media/image56.png"/><Relationship Id="rId80" Type="http://schemas.openxmlformats.org/officeDocument/2006/relationships/image" Target="media/image55.png"/><Relationship Id="rId8" Type="http://schemas.openxmlformats.org/officeDocument/2006/relationships/footer" Target="footer1.xml"/><Relationship Id="rId79" Type="http://schemas.openxmlformats.org/officeDocument/2006/relationships/image" Target="media/image54.jpeg"/><Relationship Id="rId78" Type="http://schemas.openxmlformats.org/officeDocument/2006/relationships/image" Target="media/image53.png"/><Relationship Id="rId77" Type="http://schemas.openxmlformats.org/officeDocument/2006/relationships/image" Target="media/image52.png"/><Relationship Id="rId76" Type="http://schemas.openxmlformats.org/officeDocument/2006/relationships/image" Target="media/image51.png"/><Relationship Id="rId75" Type="http://schemas.openxmlformats.org/officeDocument/2006/relationships/image" Target="media/image50.png"/><Relationship Id="rId74" Type="http://schemas.openxmlformats.org/officeDocument/2006/relationships/chart" Target="charts/chart3.xml"/><Relationship Id="rId73" Type="http://schemas.openxmlformats.org/officeDocument/2006/relationships/chart" Target="charts/chart2.xml"/><Relationship Id="rId72" Type="http://schemas.openxmlformats.org/officeDocument/2006/relationships/chart" Target="charts/chart1.xml"/><Relationship Id="rId71" Type="http://schemas.openxmlformats.org/officeDocument/2006/relationships/image" Target="media/image49.png"/><Relationship Id="rId70" Type="http://schemas.openxmlformats.org/officeDocument/2006/relationships/image" Target="media/image48.png"/><Relationship Id="rId7" Type="http://schemas.openxmlformats.org/officeDocument/2006/relationships/header" Target="header3.xml"/><Relationship Id="rId69" Type="http://schemas.openxmlformats.org/officeDocument/2006/relationships/image" Target="media/image47.png"/><Relationship Id="rId68" Type="http://schemas.openxmlformats.org/officeDocument/2006/relationships/image" Target="media/image46.wmf"/><Relationship Id="rId67" Type="http://schemas.openxmlformats.org/officeDocument/2006/relationships/oleObject" Target="embeddings/oleObject3.bin"/><Relationship Id="rId66" Type="http://schemas.openxmlformats.org/officeDocument/2006/relationships/image" Target="media/image45.png"/><Relationship Id="rId65" Type="http://schemas.openxmlformats.org/officeDocument/2006/relationships/image" Target="media/image44.png"/><Relationship Id="rId64" Type="http://schemas.openxmlformats.org/officeDocument/2006/relationships/image" Target="media/image43.png"/><Relationship Id="rId63" Type="http://schemas.openxmlformats.org/officeDocument/2006/relationships/image" Target="media/image42.png"/><Relationship Id="rId62" Type="http://schemas.openxmlformats.org/officeDocument/2006/relationships/image" Target="media/image41.png"/><Relationship Id="rId61" Type="http://schemas.openxmlformats.org/officeDocument/2006/relationships/image" Target="media/image40.png"/><Relationship Id="rId60" Type="http://schemas.openxmlformats.org/officeDocument/2006/relationships/image" Target="media/image39.png"/><Relationship Id="rId6" Type="http://schemas.openxmlformats.org/officeDocument/2006/relationships/header" Target="header2.xml"/><Relationship Id="rId59" Type="http://schemas.openxmlformats.org/officeDocument/2006/relationships/image" Target="media/image38.png"/><Relationship Id="rId58" Type="http://schemas.openxmlformats.org/officeDocument/2006/relationships/image" Target="media/image37.jpeg"/><Relationship Id="rId57" Type="http://schemas.openxmlformats.org/officeDocument/2006/relationships/image" Target="media/image36.emf"/><Relationship Id="rId56" Type="http://schemas.openxmlformats.org/officeDocument/2006/relationships/oleObject" Target="embeddings/oleObject2.bin"/><Relationship Id="rId55" Type="http://schemas.openxmlformats.org/officeDocument/2006/relationships/image" Target="media/image35.jpeg"/><Relationship Id="rId54" Type="http://schemas.openxmlformats.org/officeDocument/2006/relationships/image" Target="media/image34.jpeg"/><Relationship Id="rId53" Type="http://schemas.openxmlformats.org/officeDocument/2006/relationships/image" Target="media/image33.jpeg"/><Relationship Id="rId52" Type="http://schemas.openxmlformats.org/officeDocument/2006/relationships/image" Target="media/image32.jpeg"/><Relationship Id="rId51" Type="http://schemas.openxmlformats.org/officeDocument/2006/relationships/image" Target="media/image31.png"/><Relationship Id="rId50" Type="http://schemas.openxmlformats.org/officeDocument/2006/relationships/image" Target="media/image30.jpeg"/><Relationship Id="rId5" Type="http://schemas.openxmlformats.org/officeDocument/2006/relationships/header" Target="header1.xml"/><Relationship Id="rId49" Type="http://schemas.openxmlformats.org/officeDocument/2006/relationships/image" Target="media/image29.jpeg"/><Relationship Id="rId48" Type="http://schemas.openxmlformats.org/officeDocument/2006/relationships/image" Target="media/image28.jpeg"/><Relationship Id="rId47" Type="http://schemas.openxmlformats.org/officeDocument/2006/relationships/image" Target="media/image27.jpeg"/><Relationship Id="rId46" Type="http://schemas.openxmlformats.org/officeDocument/2006/relationships/image" Target="media/image26.jpeg"/><Relationship Id="rId45" Type="http://schemas.openxmlformats.org/officeDocument/2006/relationships/image" Target="media/image25.jpeg"/><Relationship Id="rId44" Type="http://schemas.openxmlformats.org/officeDocument/2006/relationships/image" Target="media/image24.jpeg"/><Relationship Id="rId43" Type="http://schemas.openxmlformats.org/officeDocument/2006/relationships/image" Target="media/image23.jpeg"/><Relationship Id="rId42" Type="http://schemas.openxmlformats.org/officeDocument/2006/relationships/image" Target="media/image22.jpeg"/><Relationship Id="rId41" Type="http://schemas.openxmlformats.org/officeDocument/2006/relationships/image" Target="media/image21.jpeg"/><Relationship Id="rId40" Type="http://schemas.openxmlformats.org/officeDocument/2006/relationships/image" Target="media/image20.jpeg"/><Relationship Id="rId4" Type="http://schemas.openxmlformats.org/officeDocument/2006/relationships/endnotes" Target="endnotes.xml"/><Relationship Id="rId39" Type="http://schemas.openxmlformats.org/officeDocument/2006/relationships/image" Target="media/image19.jpeg"/><Relationship Id="rId38" Type="http://schemas.openxmlformats.org/officeDocument/2006/relationships/image" Target="media/image18.jpe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jpeg"/><Relationship Id="rId34" Type="http://schemas.openxmlformats.org/officeDocument/2006/relationships/image" Target="media/image14.png"/><Relationship Id="rId33" Type="http://schemas.openxmlformats.org/officeDocument/2006/relationships/image" Target="media/image13.png"/><Relationship Id="rId32" Type="http://schemas.openxmlformats.org/officeDocument/2006/relationships/image" Target="media/image12.png"/><Relationship Id="rId31" Type="http://schemas.openxmlformats.org/officeDocument/2006/relationships/image" Target="media/image11.png"/><Relationship Id="rId30" Type="http://schemas.openxmlformats.org/officeDocument/2006/relationships/image" Target="media/image10.png"/><Relationship Id="rId3" Type="http://schemas.openxmlformats.org/officeDocument/2006/relationships/footnotes" Target="footnotes.xml"/><Relationship Id="rId29" Type="http://schemas.openxmlformats.org/officeDocument/2006/relationships/image" Target="media/image9.png"/><Relationship Id="rId28" Type="http://schemas.openxmlformats.org/officeDocument/2006/relationships/image" Target="media/image8.png"/><Relationship Id="rId27" Type="http://schemas.openxmlformats.org/officeDocument/2006/relationships/image" Target="media/image7.png"/><Relationship Id="rId26" Type="http://schemas.openxmlformats.org/officeDocument/2006/relationships/image" Target="media/image6.png"/><Relationship Id="rId25" Type="http://schemas.openxmlformats.org/officeDocument/2006/relationships/image" Target="media/image5.wmf"/><Relationship Id="rId24" Type="http://schemas.openxmlformats.org/officeDocument/2006/relationships/oleObject" Target="embeddings/oleObject1.bin"/><Relationship Id="rId23" Type="http://schemas.openxmlformats.org/officeDocument/2006/relationships/image" Target="media/image4.png"/><Relationship Id="rId226" Type="http://schemas.openxmlformats.org/officeDocument/2006/relationships/fontTable" Target="fontTable.xml"/><Relationship Id="rId225" Type="http://schemas.openxmlformats.org/officeDocument/2006/relationships/numbering" Target="numbering.xml"/><Relationship Id="rId224" Type="http://schemas.openxmlformats.org/officeDocument/2006/relationships/customXml" Target="../customXml/item1.xml"/><Relationship Id="rId223" Type="http://schemas.openxmlformats.org/officeDocument/2006/relationships/image" Target="media/image192.png"/><Relationship Id="rId222" Type="http://schemas.openxmlformats.org/officeDocument/2006/relationships/image" Target="media/image191.png"/><Relationship Id="rId221" Type="http://schemas.openxmlformats.org/officeDocument/2006/relationships/image" Target="media/image190.png"/><Relationship Id="rId220" Type="http://schemas.openxmlformats.org/officeDocument/2006/relationships/image" Target="media/image189.jpeg"/><Relationship Id="rId22" Type="http://schemas.openxmlformats.org/officeDocument/2006/relationships/image" Target="media/image3.png"/><Relationship Id="rId219" Type="http://schemas.openxmlformats.org/officeDocument/2006/relationships/image" Target="media/image188.jpeg"/><Relationship Id="rId218" Type="http://schemas.openxmlformats.org/officeDocument/2006/relationships/image" Target="media/image187.jpeg"/><Relationship Id="rId217" Type="http://schemas.openxmlformats.org/officeDocument/2006/relationships/image" Target="media/image186.jpeg"/><Relationship Id="rId216" Type="http://schemas.openxmlformats.org/officeDocument/2006/relationships/image" Target="media/image185.png"/><Relationship Id="rId215" Type="http://schemas.openxmlformats.org/officeDocument/2006/relationships/image" Target="media/image184.png"/><Relationship Id="rId214" Type="http://schemas.openxmlformats.org/officeDocument/2006/relationships/image" Target="media/image183.png"/><Relationship Id="rId213" Type="http://schemas.openxmlformats.org/officeDocument/2006/relationships/image" Target="media/image182.png"/><Relationship Id="rId212" Type="http://schemas.openxmlformats.org/officeDocument/2006/relationships/image" Target="media/image181.png"/><Relationship Id="rId211" Type="http://schemas.openxmlformats.org/officeDocument/2006/relationships/image" Target="media/image180.png"/><Relationship Id="rId210" Type="http://schemas.openxmlformats.org/officeDocument/2006/relationships/image" Target="media/image179.png"/><Relationship Id="rId21" Type="http://schemas.openxmlformats.org/officeDocument/2006/relationships/image" Target="media/image2.jpeg"/><Relationship Id="rId209" Type="http://schemas.openxmlformats.org/officeDocument/2006/relationships/image" Target="media/image178.png"/><Relationship Id="rId208" Type="http://schemas.openxmlformats.org/officeDocument/2006/relationships/image" Target="media/image177.png"/><Relationship Id="rId207" Type="http://schemas.openxmlformats.org/officeDocument/2006/relationships/image" Target="media/image176.png"/><Relationship Id="rId206" Type="http://schemas.openxmlformats.org/officeDocument/2006/relationships/image" Target="media/image175.png"/><Relationship Id="rId205" Type="http://schemas.openxmlformats.org/officeDocument/2006/relationships/image" Target="media/image174.png"/><Relationship Id="rId204" Type="http://schemas.openxmlformats.org/officeDocument/2006/relationships/image" Target="media/image173.png"/><Relationship Id="rId203" Type="http://schemas.openxmlformats.org/officeDocument/2006/relationships/image" Target="media/image172.png"/><Relationship Id="rId202" Type="http://schemas.openxmlformats.org/officeDocument/2006/relationships/image" Target="media/image171.png"/><Relationship Id="rId201" Type="http://schemas.openxmlformats.org/officeDocument/2006/relationships/image" Target="media/image170.png"/><Relationship Id="rId200" Type="http://schemas.openxmlformats.org/officeDocument/2006/relationships/image" Target="media/image169.png"/><Relationship Id="rId20" Type="http://schemas.openxmlformats.org/officeDocument/2006/relationships/image" Target="media/image1.jpeg"/><Relationship Id="rId2" Type="http://schemas.openxmlformats.org/officeDocument/2006/relationships/settings" Target="settings.xml"/><Relationship Id="rId199" Type="http://schemas.openxmlformats.org/officeDocument/2006/relationships/image" Target="media/image168.png"/><Relationship Id="rId198" Type="http://schemas.openxmlformats.org/officeDocument/2006/relationships/image" Target="media/image167.png"/><Relationship Id="rId197" Type="http://schemas.openxmlformats.org/officeDocument/2006/relationships/image" Target="media/image166.png"/><Relationship Id="rId196" Type="http://schemas.openxmlformats.org/officeDocument/2006/relationships/image" Target="media/image165.png"/><Relationship Id="rId195" Type="http://schemas.openxmlformats.org/officeDocument/2006/relationships/image" Target="media/image164.png"/><Relationship Id="rId194" Type="http://schemas.openxmlformats.org/officeDocument/2006/relationships/image" Target="media/image163.png"/><Relationship Id="rId193" Type="http://schemas.openxmlformats.org/officeDocument/2006/relationships/image" Target="media/image162.png"/><Relationship Id="rId192" Type="http://schemas.openxmlformats.org/officeDocument/2006/relationships/image" Target="media/image161.png"/><Relationship Id="rId191" Type="http://schemas.openxmlformats.org/officeDocument/2006/relationships/image" Target="media/image160.png"/><Relationship Id="rId190" Type="http://schemas.openxmlformats.org/officeDocument/2006/relationships/image" Target="media/image159.png"/><Relationship Id="rId19" Type="http://schemas.openxmlformats.org/officeDocument/2006/relationships/theme" Target="theme/theme1.xml"/><Relationship Id="rId189" Type="http://schemas.openxmlformats.org/officeDocument/2006/relationships/image" Target="media/image158.png"/><Relationship Id="rId188" Type="http://schemas.openxmlformats.org/officeDocument/2006/relationships/image" Target="media/image157.png"/><Relationship Id="rId187" Type="http://schemas.openxmlformats.org/officeDocument/2006/relationships/image" Target="media/image156.png"/><Relationship Id="rId186" Type="http://schemas.openxmlformats.org/officeDocument/2006/relationships/image" Target="media/image155.png"/><Relationship Id="rId185" Type="http://schemas.openxmlformats.org/officeDocument/2006/relationships/image" Target="media/image154.png"/><Relationship Id="rId184" Type="http://schemas.openxmlformats.org/officeDocument/2006/relationships/image" Target="media/image153.png"/><Relationship Id="rId183" Type="http://schemas.openxmlformats.org/officeDocument/2006/relationships/image" Target="media/image152.png"/><Relationship Id="rId182" Type="http://schemas.openxmlformats.org/officeDocument/2006/relationships/image" Target="media/image151.png"/><Relationship Id="rId181" Type="http://schemas.openxmlformats.org/officeDocument/2006/relationships/image" Target="media/image150.png"/><Relationship Id="rId180" Type="http://schemas.openxmlformats.org/officeDocument/2006/relationships/image" Target="media/image149.png"/><Relationship Id="rId18" Type="http://schemas.openxmlformats.org/officeDocument/2006/relationships/footer" Target="footer8.xml"/><Relationship Id="rId179" Type="http://schemas.openxmlformats.org/officeDocument/2006/relationships/image" Target="media/image148.png"/><Relationship Id="rId178" Type="http://schemas.openxmlformats.org/officeDocument/2006/relationships/image" Target="media/image147.png"/><Relationship Id="rId177" Type="http://schemas.openxmlformats.org/officeDocument/2006/relationships/image" Target="media/image146.png"/><Relationship Id="rId176" Type="http://schemas.openxmlformats.org/officeDocument/2006/relationships/image" Target="media/image145.png"/><Relationship Id="rId175" Type="http://schemas.openxmlformats.org/officeDocument/2006/relationships/image" Target="media/image144.png"/><Relationship Id="rId174" Type="http://schemas.openxmlformats.org/officeDocument/2006/relationships/image" Target="media/image143.png"/><Relationship Id="rId173" Type="http://schemas.openxmlformats.org/officeDocument/2006/relationships/image" Target="media/image142.png"/><Relationship Id="rId172" Type="http://schemas.openxmlformats.org/officeDocument/2006/relationships/image" Target="media/image141.jpeg"/><Relationship Id="rId171" Type="http://schemas.openxmlformats.org/officeDocument/2006/relationships/image" Target="media/image140.jpeg"/><Relationship Id="rId170" Type="http://schemas.openxmlformats.org/officeDocument/2006/relationships/image" Target="media/image139.png"/><Relationship Id="rId17" Type="http://schemas.openxmlformats.org/officeDocument/2006/relationships/header" Target="header6.xml"/><Relationship Id="rId169" Type="http://schemas.openxmlformats.org/officeDocument/2006/relationships/image" Target="media/image138.png"/><Relationship Id="rId168" Type="http://schemas.openxmlformats.org/officeDocument/2006/relationships/image" Target="media/image137.png"/><Relationship Id="rId167" Type="http://schemas.openxmlformats.org/officeDocument/2006/relationships/image" Target="media/image136.png"/><Relationship Id="rId166" Type="http://schemas.openxmlformats.org/officeDocument/2006/relationships/image" Target="media/image135.png"/><Relationship Id="rId165" Type="http://schemas.openxmlformats.org/officeDocument/2006/relationships/image" Target="media/image134.png"/><Relationship Id="rId164" Type="http://schemas.openxmlformats.org/officeDocument/2006/relationships/image" Target="media/image133.png"/><Relationship Id="rId163" Type="http://schemas.openxmlformats.org/officeDocument/2006/relationships/image" Target="media/image132.png"/><Relationship Id="rId162" Type="http://schemas.openxmlformats.org/officeDocument/2006/relationships/image" Target="media/image131.png"/><Relationship Id="rId161" Type="http://schemas.openxmlformats.org/officeDocument/2006/relationships/image" Target="media/image130.png"/><Relationship Id="rId160" Type="http://schemas.openxmlformats.org/officeDocument/2006/relationships/image" Target="media/image129.png"/><Relationship Id="rId16" Type="http://schemas.openxmlformats.org/officeDocument/2006/relationships/footer" Target="footer7.xml"/><Relationship Id="rId159" Type="http://schemas.openxmlformats.org/officeDocument/2006/relationships/image" Target="media/image128.png"/><Relationship Id="rId158" Type="http://schemas.openxmlformats.org/officeDocument/2006/relationships/image" Target="media/image127.png"/><Relationship Id="rId157" Type="http://schemas.openxmlformats.org/officeDocument/2006/relationships/image" Target="media/image126.png"/><Relationship Id="rId156" Type="http://schemas.openxmlformats.org/officeDocument/2006/relationships/image" Target="media/image125.jpeg"/><Relationship Id="rId155" Type="http://schemas.openxmlformats.org/officeDocument/2006/relationships/image" Target="media/image124.jpeg"/><Relationship Id="rId154" Type="http://schemas.openxmlformats.org/officeDocument/2006/relationships/image" Target="media/image123.jpeg"/><Relationship Id="rId153" Type="http://schemas.openxmlformats.org/officeDocument/2006/relationships/image" Target="media/image122.jpeg"/><Relationship Id="rId152" Type="http://schemas.openxmlformats.org/officeDocument/2006/relationships/image" Target="media/image121.png"/><Relationship Id="rId151" Type="http://schemas.openxmlformats.org/officeDocument/2006/relationships/image" Target="media/image120.png"/><Relationship Id="rId150" Type="http://schemas.openxmlformats.org/officeDocument/2006/relationships/image" Target="media/image119.png"/><Relationship Id="rId15" Type="http://schemas.openxmlformats.org/officeDocument/2006/relationships/header" Target="header5.xml"/><Relationship Id="rId149" Type="http://schemas.openxmlformats.org/officeDocument/2006/relationships/image" Target="media/image118.png"/><Relationship Id="rId148" Type="http://schemas.openxmlformats.org/officeDocument/2006/relationships/image" Target="media/image117.png"/><Relationship Id="rId147" Type="http://schemas.openxmlformats.org/officeDocument/2006/relationships/image" Target="media/image116.png"/><Relationship Id="rId146" Type="http://schemas.openxmlformats.org/officeDocument/2006/relationships/image" Target="media/image115.jpeg"/><Relationship Id="rId145" Type="http://schemas.openxmlformats.org/officeDocument/2006/relationships/image" Target="media/image114.jpeg"/><Relationship Id="rId144" Type="http://schemas.openxmlformats.org/officeDocument/2006/relationships/image" Target="media/image113.jpeg"/><Relationship Id="rId143" Type="http://schemas.openxmlformats.org/officeDocument/2006/relationships/image" Target="media/image112.jpeg"/><Relationship Id="rId142" Type="http://schemas.openxmlformats.org/officeDocument/2006/relationships/image" Target="media/image111.jpeg"/><Relationship Id="rId141" Type="http://schemas.openxmlformats.org/officeDocument/2006/relationships/image" Target="media/image110.jpeg"/><Relationship Id="rId140" Type="http://schemas.openxmlformats.org/officeDocument/2006/relationships/image" Target="media/image109.jpeg"/><Relationship Id="rId14" Type="http://schemas.openxmlformats.org/officeDocument/2006/relationships/footer" Target="footer6.xml"/><Relationship Id="rId139" Type="http://schemas.openxmlformats.org/officeDocument/2006/relationships/image" Target="media/image108.jpeg"/><Relationship Id="rId138" Type="http://schemas.openxmlformats.org/officeDocument/2006/relationships/image" Target="media/image107.jpeg"/><Relationship Id="rId137" Type="http://schemas.openxmlformats.org/officeDocument/2006/relationships/image" Target="media/image106.jpeg"/><Relationship Id="rId136" Type="http://schemas.openxmlformats.org/officeDocument/2006/relationships/image" Target="media/image105.jpeg"/><Relationship Id="rId135" Type="http://schemas.openxmlformats.org/officeDocument/2006/relationships/image" Target="media/image104.jpeg"/><Relationship Id="rId134" Type="http://schemas.openxmlformats.org/officeDocument/2006/relationships/image" Target="media/image103.png"/><Relationship Id="rId133" Type="http://schemas.openxmlformats.org/officeDocument/2006/relationships/image" Target="media/image102.png"/><Relationship Id="rId132" Type="http://schemas.openxmlformats.org/officeDocument/2006/relationships/image" Target="media/image101.png"/><Relationship Id="rId131" Type="http://schemas.openxmlformats.org/officeDocument/2006/relationships/image" Target="media/image100.png"/><Relationship Id="rId130" Type="http://schemas.openxmlformats.org/officeDocument/2006/relationships/image" Target="media/image99.png"/><Relationship Id="rId13" Type="http://schemas.openxmlformats.org/officeDocument/2006/relationships/footer" Target="footer5.xml"/><Relationship Id="rId129" Type="http://schemas.openxmlformats.org/officeDocument/2006/relationships/image" Target="media/image98.png"/><Relationship Id="rId128" Type="http://schemas.openxmlformats.org/officeDocument/2006/relationships/image" Target="media/image97.png"/><Relationship Id="rId127" Type="http://schemas.openxmlformats.org/officeDocument/2006/relationships/image" Target="media/image96.png"/><Relationship Id="rId126" Type="http://schemas.openxmlformats.org/officeDocument/2006/relationships/image" Target="media/image95.png"/><Relationship Id="rId125" Type="http://schemas.openxmlformats.org/officeDocument/2006/relationships/image" Target="media/image94.png"/><Relationship Id="rId124" Type="http://schemas.openxmlformats.org/officeDocument/2006/relationships/image" Target="media/image93.png"/><Relationship Id="rId123" Type="http://schemas.openxmlformats.org/officeDocument/2006/relationships/image" Target="media/image92.png"/><Relationship Id="rId122" Type="http://schemas.openxmlformats.org/officeDocument/2006/relationships/image" Target="media/image91.png"/><Relationship Id="rId121" Type="http://schemas.openxmlformats.org/officeDocument/2006/relationships/image" Target="media/image90.png"/><Relationship Id="rId120" Type="http://schemas.openxmlformats.org/officeDocument/2006/relationships/image" Target="media/image89.png"/><Relationship Id="rId12" Type="http://schemas.openxmlformats.org/officeDocument/2006/relationships/footer" Target="footer4.xml"/><Relationship Id="rId119" Type="http://schemas.openxmlformats.org/officeDocument/2006/relationships/image" Target="media/image88.png"/><Relationship Id="rId118" Type="http://schemas.openxmlformats.org/officeDocument/2006/relationships/image" Target="media/image87.png"/><Relationship Id="rId117" Type="http://schemas.openxmlformats.org/officeDocument/2006/relationships/image" Target="media/image86.png"/><Relationship Id="rId116" Type="http://schemas.openxmlformats.org/officeDocument/2006/relationships/image" Target="media/image85.png"/><Relationship Id="rId115" Type="http://schemas.openxmlformats.org/officeDocument/2006/relationships/image" Target="media/image84.png"/><Relationship Id="rId114" Type="http://schemas.openxmlformats.org/officeDocument/2006/relationships/image" Target="media/image83.wmf"/><Relationship Id="rId113" Type="http://schemas.openxmlformats.org/officeDocument/2006/relationships/oleObject" Target="embeddings/oleObject9.bin"/><Relationship Id="rId112" Type="http://schemas.openxmlformats.org/officeDocument/2006/relationships/image" Target="media/image82.png"/><Relationship Id="rId111" Type="http://schemas.openxmlformats.org/officeDocument/2006/relationships/image" Target="media/image81.wmf"/><Relationship Id="rId110" Type="http://schemas.openxmlformats.org/officeDocument/2006/relationships/oleObject" Target="embeddings/oleObject8.bin"/><Relationship Id="rId11" Type="http://schemas.openxmlformats.org/officeDocument/2006/relationships/header" Target="header4.xml"/><Relationship Id="rId109" Type="http://schemas.openxmlformats.org/officeDocument/2006/relationships/image" Target="media/image80.wmf"/><Relationship Id="rId108" Type="http://schemas.openxmlformats.org/officeDocument/2006/relationships/oleObject" Target="embeddings/oleObject7.bin"/><Relationship Id="rId107" Type="http://schemas.openxmlformats.org/officeDocument/2006/relationships/image" Target="media/image79.wmf"/><Relationship Id="rId106" Type="http://schemas.openxmlformats.org/officeDocument/2006/relationships/oleObject" Target="embeddings/oleObject6.bin"/><Relationship Id="rId105" Type="http://schemas.openxmlformats.org/officeDocument/2006/relationships/image" Target="media/image78.wmf"/><Relationship Id="rId104" Type="http://schemas.openxmlformats.org/officeDocument/2006/relationships/oleObject" Target="embeddings/oleObject5.bin"/><Relationship Id="rId103" Type="http://schemas.openxmlformats.org/officeDocument/2006/relationships/image" Target="media/image77.wmf"/><Relationship Id="rId102" Type="http://schemas.openxmlformats.org/officeDocument/2006/relationships/oleObject" Target="embeddings/oleObject4.bin"/><Relationship Id="rId101" Type="http://schemas.openxmlformats.org/officeDocument/2006/relationships/image" Target="media/image76.png"/><Relationship Id="rId100" Type="http://schemas.openxmlformats.org/officeDocument/2006/relationships/image" Target="media/image75.png"/><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E:\2026\&#29615;&#35780;%20%20&#20843;&#20116;&#20108;&#20892;&#22330;&#38149;&#28809;&#25913;&#36896;\&#27668;&#35937;&#36164;&#26009;\6_&#27668;&#35937;&#31449;2024&#24180;&#25968;&#25454;&#32479;&#35745;&#20998;&#26512;\&#23453;&#28165;&#22522;&#26412;&#31449;2024&#24180;&#27668;&#35937;&#32479;&#35745;&#20998;&#2651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2026\&#29615;&#35780;%20%20&#20843;&#20116;&#20108;&#20892;&#22330;&#38149;&#28809;&#25913;&#36896;\&#27668;&#35937;&#36164;&#26009;\6_&#27668;&#35937;&#31449;2024&#24180;&#25968;&#25454;&#32479;&#35745;&#20998;&#26512;\&#23453;&#28165;&#22522;&#26412;&#31449;2024&#24180;&#27668;&#35937;&#32479;&#35745;&#20998;&#26512;.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2026\&#29615;&#35780;%20%20&#20843;&#20116;&#20108;&#20892;&#22330;&#38149;&#28809;&#25913;&#36896;\&#27668;&#35937;&#36164;&#26009;\6_&#27668;&#35937;&#31449;2024&#24180;&#25968;&#25454;&#32479;&#35745;&#20998;&#26512;\&#23453;&#28165;&#22522;&#26412;&#31449;2024&#24180;&#27668;&#35937;&#32479;&#35745;&#20998;&#2651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344448194758"/>
          <c:y val="0.213523131672598"/>
          <c:w val="0.800547516099295"/>
          <c:h val="0.619217081850534"/>
        </c:manualLayout>
      </c:layout>
      <c:lineChart>
        <c:grouping val="standard"/>
        <c:varyColors val="0"/>
        <c:ser>
          <c:idx val="0"/>
          <c:order val="0"/>
          <c:tx>
            <c:strRef>
              <c:f>[宝清基本站2024年气象统计分析.XLS]数据!$A$3</c:f>
              <c:strCache>
                <c:ptCount val="1"/>
                <c:pt idx="0">
                  <c:v>  温度(℃)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dLbls>
            <c:delete val="1"/>
          </c:dLbls>
          <c:cat>
            <c:strRef>
              <c:f>[宝清基本站2024年气象统计分析.XLS]数据!$B$2:$M$2</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[宝清基本站2024年气象统计分析.XLS]数据!$B$3:$M$3</c:f>
              <c:numCache>
                <c:formatCode>0.00_ </c:formatCode>
                <c:ptCount val="12"/>
                <c:pt idx="0">
                  <c:v>-18.3099994659424</c:v>
                </c:pt>
                <c:pt idx="1">
                  <c:v>-12.210000038147</c:v>
                </c:pt>
                <c:pt idx="2">
                  <c:v>-4.13000011444092</c:v>
                </c:pt>
                <c:pt idx="3">
                  <c:v>9.67000007629395</c:v>
                </c:pt>
                <c:pt idx="4">
                  <c:v>13.8400001525879</c:v>
                </c:pt>
                <c:pt idx="5">
                  <c:v>17.8299999237061</c:v>
                </c:pt>
                <c:pt idx="6">
                  <c:v>23.0900001525879</c:v>
                </c:pt>
                <c:pt idx="7">
                  <c:v>22.3299999237061</c:v>
                </c:pt>
                <c:pt idx="8">
                  <c:v>15.3800001144409</c:v>
                </c:pt>
                <c:pt idx="9">
                  <c:v>7.30000019073486</c:v>
                </c:pt>
                <c:pt idx="10">
                  <c:v>-3.78999996185303</c:v>
                </c:pt>
                <c:pt idx="11">
                  <c:v>-13.9799995422363</c:v>
                </c:pt>
              </c:numCache>
            </c:numRef>
          </c:val>
          <c:smooth val="0"/>
        </c:ser>
        <c:dLbls>
          <c:showLegendKey val="0"/>
          <c:showVal val="0"/>
          <c:showCatName val="0"/>
          <c:showSerName val="0"/>
          <c:showPercent val="0"/>
          <c:showBubbleSize val="0"/>
        </c:dLbls>
        <c:marker val="1"/>
        <c:smooth val="0"/>
        <c:axId val="937365409"/>
        <c:axId val="993344962"/>
      </c:lineChart>
      <c:catAx>
        <c:axId val="937365409"/>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993344962"/>
        <c:crosses val="autoZero"/>
        <c:auto val="1"/>
        <c:lblAlgn val="ctr"/>
        <c:lblOffset val="100"/>
        <c:tickLblSkip val="1"/>
        <c:noMultiLvlLbl val="0"/>
      </c:catAx>
      <c:valAx>
        <c:axId val="993344962"/>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sz="1200" b="0" i="0" u="none" strike="noStrike" baseline="0">
                    <a:solidFill>
                      <a:srgbClr val="000000"/>
                    </a:solidFill>
                    <a:latin typeface="宋体" panose="02010600030101010101" charset="-122"/>
                    <a:ea typeface="宋体" panose="02010600030101010101" charset="-122"/>
                    <a:cs typeface="宋体" panose="02010600030101010101" charset="-122"/>
                  </a:rPr>
                  <a:t>温度(℃) </a:t>
                </a: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0300546448087432"/>
              <c:y val="0.334519572953737"/>
            </c:manualLayout>
          </c:layout>
          <c:overlay val="0"/>
        </c:title>
        <c:numFmt formatCode="0.00_ " sourceLinked="1"/>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937365409"/>
        <c:crosses val="autoZero"/>
        <c:crossBetween val="between"/>
      </c:valAx>
      <c:spPr>
        <a:solidFill>
          <a:srgbClr val="C0C0C0">
            <a:alpha val="100000"/>
          </a:srgbClr>
        </a:solidFill>
        <a:ln w="12700">
          <a:solidFill>
            <a:srgbClr val="808080">
              <a:alpha val="100000"/>
            </a:srgbClr>
          </a:solidFill>
          <a:prstDash val="solid"/>
        </a:ln>
      </c:spPr>
    </c:plotArea>
    <c:plotVisOnly val="1"/>
    <c:dispBlanksAs val="gap"/>
    <c:showDLblsOverMax val="0"/>
    <c:extLst>
      <c:ext uri="{0b15fc19-7d7d-44ad-8c2d-2c3a37ce22c3}">
        <chartProps xmlns="https://web.wps.cn/et/2018/main" chartId="{0a4f49fd-128b-45f1-9c3d-93647578f1f5}"/>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397345487308"/>
          <c:y val="0.213523131672598"/>
          <c:w val="0.820548494052664"/>
          <c:h val="0.619217081850534"/>
        </c:manualLayout>
      </c:layout>
      <c:lineChart>
        <c:grouping val="standard"/>
        <c:varyColors val="0"/>
        <c:ser>
          <c:idx val="0"/>
          <c:order val="0"/>
          <c:tx>
            <c:strRef>
              <c:f>[宝清基本站2024年气象统计分析.XLS]数据!$A$7</c:f>
              <c:strCache>
                <c:ptCount val="1"/>
                <c:pt idx="0">
                  <c:v> 风速(m/s)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dLbls>
            <c:delete val="1"/>
          </c:dLbls>
          <c:cat>
            <c:strRef>
              <c:f>[宝清基本站2024年气象统计分析.XLS]数据!$B$6:$M$6</c:f>
              <c:strCache>
                <c:ptCount val="12"/>
                <c:pt idx="0">
                  <c:v>1月</c:v>
                </c:pt>
                <c:pt idx="1">
                  <c:v>2月</c:v>
                </c:pt>
                <c:pt idx="2">
                  <c:v>3月</c:v>
                </c:pt>
                <c:pt idx="3">
                  <c:v>4月</c:v>
                </c:pt>
                <c:pt idx="4">
                  <c:v>5月</c:v>
                </c:pt>
                <c:pt idx="5">
                  <c:v>6月</c:v>
                </c:pt>
                <c:pt idx="6">
                  <c:v>7月</c:v>
                </c:pt>
                <c:pt idx="7">
                  <c:v>8月</c:v>
                </c:pt>
                <c:pt idx="8">
                  <c:v>9月</c:v>
                </c:pt>
                <c:pt idx="9">
                  <c:v>10月</c:v>
                </c:pt>
                <c:pt idx="10">
                  <c:v>11月</c:v>
                </c:pt>
                <c:pt idx="11">
                  <c:v>12月</c:v>
                </c:pt>
              </c:strCache>
            </c:strRef>
          </c:cat>
          <c:val>
            <c:numRef>
              <c:f>[宝清基本站2024年气象统计分析.XLS]数据!$B$7:$M$7</c:f>
              <c:numCache>
                <c:formatCode>0.00_ </c:formatCode>
                <c:ptCount val="12"/>
                <c:pt idx="0">
                  <c:v>2.78999996185303</c:v>
                </c:pt>
                <c:pt idx="1">
                  <c:v>2.8199999332428</c:v>
                </c:pt>
                <c:pt idx="2">
                  <c:v>3.03999996185303</c:v>
                </c:pt>
                <c:pt idx="3">
                  <c:v>4</c:v>
                </c:pt>
                <c:pt idx="4">
                  <c:v>3.51999998092651</c:v>
                </c:pt>
                <c:pt idx="5">
                  <c:v>2.6800000667572</c:v>
                </c:pt>
                <c:pt idx="6">
                  <c:v>2.35999989509583</c:v>
                </c:pt>
                <c:pt idx="7">
                  <c:v>2.25999999046326</c:v>
                </c:pt>
                <c:pt idx="8">
                  <c:v>2.75</c:v>
                </c:pt>
                <c:pt idx="9">
                  <c:v>3.15000009536743</c:v>
                </c:pt>
                <c:pt idx="10">
                  <c:v>2.96000003814697</c:v>
                </c:pt>
                <c:pt idx="11">
                  <c:v>3.08999991416931</c:v>
                </c:pt>
              </c:numCache>
            </c:numRef>
          </c:val>
          <c:smooth val="0"/>
        </c:ser>
        <c:dLbls>
          <c:showLegendKey val="0"/>
          <c:showVal val="0"/>
          <c:showCatName val="0"/>
          <c:showSerName val="0"/>
          <c:showPercent val="0"/>
          <c:showBubbleSize val="0"/>
        </c:dLbls>
        <c:marker val="1"/>
        <c:smooth val="0"/>
        <c:axId val="740445794"/>
        <c:axId val="685976636"/>
      </c:lineChart>
      <c:catAx>
        <c:axId val="740445794"/>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685976636"/>
        <c:crosses val="autoZero"/>
        <c:auto val="1"/>
        <c:lblAlgn val="ctr"/>
        <c:lblOffset val="100"/>
        <c:tickLblSkip val="1"/>
        <c:noMultiLvlLbl val="0"/>
      </c:catAx>
      <c:valAx>
        <c:axId val="685976636"/>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sz="1200" b="0" i="0" u="none" strike="noStrike" baseline="0">
                    <a:solidFill>
                      <a:srgbClr val="000000"/>
                    </a:solidFill>
                    <a:latin typeface="宋体" panose="02010600030101010101" charset="-122"/>
                    <a:ea typeface="宋体" panose="02010600030101010101" charset="-122"/>
                    <a:cs typeface="宋体" panose="02010600030101010101" charset="-122"/>
                  </a:rPr>
                  <a:t>风速(m/s) </a:t>
                </a: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0178082191780822"/>
              <c:y val="0.284697508896797"/>
            </c:manualLayout>
          </c:layout>
          <c:overlay val="0"/>
        </c:title>
        <c:numFmt formatCode="0.00_ "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740445794"/>
        <c:crosses val="autoZero"/>
        <c:crossBetween val="between"/>
      </c:valAx>
      <c:spPr>
        <a:solidFill>
          <a:srgbClr val="C0C0C0">
            <a:alpha val="100000"/>
          </a:srgbClr>
        </a:solidFill>
        <a:ln w="12700">
          <a:solidFill>
            <a:srgbClr val="808080">
              <a:alpha val="100000"/>
            </a:srgbClr>
          </a:solidFill>
          <a:prstDash val="solid"/>
        </a:ln>
      </c:spPr>
    </c:plotArea>
    <c:plotVisOnly val="1"/>
    <c:dispBlanksAs val="gap"/>
    <c:showDLblsOverMax val="0"/>
    <c:extLst>
      <c:ext uri="{0b15fc19-7d7d-44ad-8c2d-2c3a37ce22c3}">
        <chartProps xmlns="https://web.wps.cn/et/2018/main" chartId="{9f341000-5a95-4ed8-b2ca-cb2ca3f34ec9}"/>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854993160055"/>
          <c:y val="0.154098360655738"/>
          <c:w val="0.719562243502052"/>
          <c:h val="0.691803278688525"/>
        </c:manualLayout>
      </c:layout>
      <c:lineChart>
        <c:grouping val="standard"/>
        <c:varyColors val="0"/>
        <c:ser>
          <c:idx val="0"/>
          <c:order val="0"/>
          <c:tx>
            <c:strRef>
              <c:f>[宝清基本站2024年气象统计分析.XLS]图形!$A$167</c:f>
              <c:strCache>
                <c:ptCount val="1"/>
                <c:pt idx="0">
                  <c:v>春季                </c:v>
                </c:pt>
              </c:strCache>
            </c:strRef>
          </c:tx>
          <c:spPr>
            <a:ln w="12700" cap="rnd" cmpd="sng" algn="ctr">
              <a:solidFill>
                <a:srgbClr val="000080">
                  <a:alpha val="100000"/>
                </a:srgbClr>
              </a:solidFill>
              <a:prstDash val="solid"/>
              <a:round/>
            </a:ln>
          </c:spPr>
          <c:marker>
            <c:symbol val="diamond"/>
            <c:size val="5"/>
            <c:spPr>
              <a:solidFill>
                <a:srgbClr val="000080">
                  <a:alpha val="100000"/>
                </a:srgbClr>
              </a:solidFill>
              <a:ln w="6350" cap="flat" cmpd="sng" algn="ctr">
                <a:solidFill>
                  <a:srgbClr val="000080">
                    <a:alpha val="100000"/>
                  </a:srgbClr>
                </a:solidFill>
                <a:prstDash val="solid"/>
                <a:round/>
              </a:ln>
            </c:spPr>
          </c:marker>
          <c:dLbls>
            <c:delete val="1"/>
          </c:dLbls>
          <c:val>
            <c:numRef>
              <c:f>[宝清基本站2024年气象统计分析.XLS]图形!$B$167:$Y$167</c:f>
              <c:numCache>
                <c:formatCode>General</c:formatCode>
                <c:ptCount val="24"/>
                <c:pt idx="0">
                  <c:v>2.51999998092651</c:v>
                </c:pt>
                <c:pt idx="1">
                  <c:v>2.75999999046326</c:v>
                </c:pt>
                <c:pt idx="2">
                  <c:v>2.75999999046326</c:v>
                </c:pt>
                <c:pt idx="3">
                  <c:v>2.83999991416931</c:v>
                </c:pt>
                <c:pt idx="4">
                  <c:v>2.85999989509583</c:v>
                </c:pt>
                <c:pt idx="5">
                  <c:v>3.01999998092651</c:v>
                </c:pt>
                <c:pt idx="6">
                  <c:v>3.44000005722046</c:v>
                </c:pt>
                <c:pt idx="7">
                  <c:v>3.88000011444092</c:v>
                </c:pt>
                <c:pt idx="8">
                  <c:v>4.07000017166138</c:v>
                </c:pt>
                <c:pt idx="9">
                  <c:v>4.32999992370605</c:v>
                </c:pt>
                <c:pt idx="10">
                  <c:v>4.6399998664856</c:v>
                </c:pt>
                <c:pt idx="11">
                  <c:v>4.69000005722046</c:v>
                </c:pt>
                <c:pt idx="12">
                  <c:v>4.80000019073486</c:v>
                </c:pt>
                <c:pt idx="13">
                  <c:v>4.80000019073486</c:v>
                </c:pt>
                <c:pt idx="14">
                  <c:v>4.65000009536743</c:v>
                </c:pt>
                <c:pt idx="15">
                  <c:v>4.30999994277954</c:v>
                </c:pt>
                <c:pt idx="16">
                  <c:v>3.76999998092651</c:v>
                </c:pt>
                <c:pt idx="17">
                  <c:v>3.40000009536743</c:v>
                </c:pt>
                <c:pt idx="18">
                  <c:v>2.90000009536743</c:v>
                </c:pt>
                <c:pt idx="19">
                  <c:v>3.04999995231628</c:v>
                </c:pt>
                <c:pt idx="20">
                  <c:v>2.73000001907349</c:v>
                </c:pt>
                <c:pt idx="21">
                  <c:v>2.71000003814697</c:v>
                </c:pt>
                <c:pt idx="22">
                  <c:v>2.71000003814697</c:v>
                </c:pt>
                <c:pt idx="23">
                  <c:v>2.75999999046326</c:v>
                </c:pt>
              </c:numCache>
            </c:numRef>
          </c:val>
          <c:smooth val="0"/>
        </c:ser>
        <c:ser>
          <c:idx val="1"/>
          <c:order val="1"/>
          <c:tx>
            <c:strRef>
              <c:f>[宝清基本站2024年气象统计分析.XLS]图形!$A$168</c:f>
              <c:strCache>
                <c:ptCount val="1"/>
                <c:pt idx="0">
                  <c:v>夏季                </c:v>
                </c:pt>
              </c:strCache>
            </c:strRef>
          </c:tx>
          <c:spPr>
            <a:ln w="12700" cap="rnd" cmpd="sng" algn="ctr">
              <a:solidFill>
                <a:srgbClr val="FF00FF">
                  <a:alpha val="100000"/>
                </a:srgbClr>
              </a:solidFill>
              <a:prstDash val="solid"/>
              <a:round/>
            </a:ln>
          </c:spPr>
          <c:marker>
            <c:symbol val="square"/>
            <c:size val="5"/>
            <c:spPr>
              <a:solidFill>
                <a:srgbClr val="FF00FF">
                  <a:alpha val="100000"/>
                </a:srgbClr>
              </a:solidFill>
              <a:ln w="6350" cap="flat" cmpd="sng" algn="ctr">
                <a:solidFill>
                  <a:srgbClr val="FF00FF">
                    <a:alpha val="100000"/>
                  </a:srgbClr>
                </a:solidFill>
                <a:prstDash val="solid"/>
                <a:round/>
              </a:ln>
            </c:spPr>
          </c:marker>
          <c:dLbls>
            <c:delete val="1"/>
          </c:dLbls>
          <c:val>
            <c:numRef>
              <c:f>[宝清基本站2024年气象统计分析.XLS]图形!$B$168:$Y$168</c:f>
              <c:numCache>
                <c:formatCode>General</c:formatCode>
                <c:ptCount val="24"/>
                <c:pt idx="0">
                  <c:v>1.80999994277954</c:v>
                </c:pt>
                <c:pt idx="1">
                  <c:v>1.87000000476837</c:v>
                </c:pt>
                <c:pt idx="2">
                  <c:v>1.9099999666214</c:v>
                </c:pt>
                <c:pt idx="3">
                  <c:v>1.95000004768372</c:v>
                </c:pt>
                <c:pt idx="4">
                  <c:v>2.00999999046326</c:v>
                </c:pt>
                <c:pt idx="5">
                  <c:v>2.17000007629395</c:v>
                </c:pt>
                <c:pt idx="6">
                  <c:v>2.47000002861023</c:v>
                </c:pt>
                <c:pt idx="7">
                  <c:v>2.8199999332428</c:v>
                </c:pt>
                <c:pt idx="8">
                  <c:v>2.98000001907349</c:v>
                </c:pt>
                <c:pt idx="9">
                  <c:v>3.03999996185303</c:v>
                </c:pt>
                <c:pt idx="10">
                  <c:v>3.25</c:v>
                </c:pt>
                <c:pt idx="11">
                  <c:v>3.25</c:v>
                </c:pt>
                <c:pt idx="12">
                  <c:v>3.23000001907349</c:v>
                </c:pt>
                <c:pt idx="13">
                  <c:v>3.28999996185303</c:v>
                </c:pt>
                <c:pt idx="14">
                  <c:v>3.22000002861023</c:v>
                </c:pt>
                <c:pt idx="15">
                  <c:v>2.94000005722046</c:v>
                </c:pt>
                <c:pt idx="16">
                  <c:v>2.5699999332428</c:v>
                </c:pt>
                <c:pt idx="17">
                  <c:v>2.13000011444092</c:v>
                </c:pt>
                <c:pt idx="18">
                  <c:v>1.88999998569489</c:v>
                </c:pt>
                <c:pt idx="19">
                  <c:v>1.92999994754791</c:v>
                </c:pt>
                <c:pt idx="20">
                  <c:v>1.94000005722046</c:v>
                </c:pt>
                <c:pt idx="21">
                  <c:v>1.92999994754791</c:v>
                </c:pt>
                <c:pt idx="22">
                  <c:v>1.8400000333786</c:v>
                </c:pt>
                <c:pt idx="23">
                  <c:v>1.75999999046326</c:v>
                </c:pt>
              </c:numCache>
            </c:numRef>
          </c:val>
          <c:smooth val="0"/>
        </c:ser>
        <c:ser>
          <c:idx val="2"/>
          <c:order val="2"/>
          <c:tx>
            <c:strRef>
              <c:f>[宝清基本站2024年气象统计分析.XLS]图形!$A$169</c:f>
              <c:strCache>
                <c:ptCount val="1"/>
                <c:pt idx="0">
                  <c:v>秋季                </c:v>
                </c:pt>
              </c:strCache>
            </c:strRef>
          </c:tx>
          <c:spPr>
            <a:ln w="12700" cap="rnd" cmpd="sng" algn="ctr">
              <a:solidFill>
                <a:srgbClr val="FFFF00">
                  <a:alpha val="100000"/>
                </a:srgbClr>
              </a:solidFill>
              <a:prstDash val="solid"/>
              <a:round/>
            </a:ln>
          </c:spPr>
          <c:marker>
            <c:symbol val="triangle"/>
            <c:size val="5"/>
            <c:spPr>
              <a:solidFill>
                <a:srgbClr val="FFFF00">
                  <a:alpha val="100000"/>
                </a:srgbClr>
              </a:solidFill>
              <a:ln w="6350" cap="flat" cmpd="sng" algn="ctr">
                <a:solidFill>
                  <a:srgbClr val="FFFF00">
                    <a:alpha val="100000"/>
                  </a:srgbClr>
                </a:solidFill>
                <a:prstDash val="solid"/>
                <a:round/>
              </a:ln>
            </c:spPr>
          </c:marker>
          <c:dLbls>
            <c:delete val="1"/>
          </c:dLbls>
          <c:val>
            <c:numRef>
              <c:f>[宝清基本站2024年气象统计分析.XLS]图形!$B$169:$Y$169</c:f>
              <c:numCache>
                <c:formatCode>General</c:formatCode>
                <c:ptCount val="24"/>
                <c:pt idx="0">
                  <c:v>2.60999989509583</c:v>
                </c:pt>
                <c:pt idx="1">
                  <c:v>2.41000008583069</c:v>
                </c:pt>
                <c:pt idx="2">
                  <c:v>2.50999999046326</c:v>
                </c:pt>
                <c:pt idx="3">
                  <c:v>2.44000005722046</c:v>
                </c:pt>
                <c:pt idx="4">
                  <c:v>2.50999999046326</c:v>
                </c:pt>
                <c:pt idx="5">
                  <c:v>2.5699999332428</c:v>
                </c:pt>
                <c:pt idx="6">
                  <c:v>2.58999991416931</c:v>
                </c:pt>
                <c:pt idx="7">
                  <c:v>3.01999998092651</c:v>
                </c:pt>
                <c:pt idx="8">
                  <c:v>3.5</c:v>
                </c:pt>
                <c:pt idx="9">
                  <c:v>3.53999996185303</c:v>
                </c:pt>
                <c:pt idx="10">
                  <c:v>3.63000011444092</c:v>
                </c:pt>
                <c:pt idx="11">
                  <c:v>3.77999997138977</c:v>
                </c:pt>
                <c:pt idx="12">
                  <c:v>3.9300000667572</c:v>
                </c:pt>
                <c:pt idx="13">
                  <c:v>3.69000005722046</c:v>
                </c:pt>
                <c:pt idx="14">
                  <c:v>3.52999997138977</c:v>
                </c:pt>
                <c:pt idx="15">
                  <c:v>3.07999992370605</c:v>
                </c:pt>
                <c:pt idx="16">
                  <c:v>2.73000001907349</c:v>
                </c:pt>
                <c:pt idx="17">
                  <c:v>2.53999996185303</c:v>
                </c:pt>
                <c:pt idx="18">
                  <c:v>2.59999990463257</c:v>
                </c:pt>
                <c:pt idx="19">
                  <c:v>2.80999994277954</c:v>
                </c:pt>
                <c:pt idx="20">
                  <c:v>2.70000004768372</c:v>
                </c:pt>
                <c:pt idx="21">
                  <c:v>2.75999999046326</c:v>
                </c:pt>
                <c:pt idx="22">
                  <c:v>2.74000000953674</c:v>
                </c:pt>
                <c:pt idx="23">
                  <c:v>2.71000003814697</c:v>
                </c:pt>
              </c:numCache>
            </c:numRef>
          </c:val>
          <c:smooth val="0"/>
        </c:ser>
        <c:ser>
          <c:idx val="3"/>
          <c:order val="3"/>
          <c:tx>
            <c:strRef>
              <c:f>[宝清基本站2024年气象统计分析.XLS]图形!$A$170</c:f>
              <c:strCache>
                <c:ptCount val="1"/>
                <c:pt idx="0">
                  <c:v>冬季                </c:v>
                </c:pt>
              </c:strCache>
            </c:strRef>
          </c:tx>
          <c:spPr>
            <a:ln w="12700" cap="rnd" cmpd="sng" algn="ctr">
              <a:solidFill>
                <a:srgbClr val="00FFFF">
                  <a:alpha val="100000"/>
                </a:srgbClr>
              </a:solidFill>
              <a:prstDash val="solid"/>
              <a:round/>
            </a:ln>
          </c:spPr>
          <c:marker>
            <c:symbol val="x"/>
            <c:size val="5"/>
            <c:spPr>
              <a:noFill/>
              <a:ln w="6350" cap="flat" cmpd="sng" algn="ctr">
                <a:solidFill>
                  <a:srgbClr val="00FFFF">
                    <a:alpha val="100000"/>
                  </a:srgbClr>
                </a:solidFill>
                <a:prstDash val="solid"/>
                <a:round/>
              </a:ln>
            </c:spPr>
          </c:marker>
          <c:dLbls>
            <c:delete val="1"/>
          </c:dLbls>
          <c:val>
            <c:numRef>
              <c:f>[宝清基本站2024年气象统计分析.XLS]图形!$B$170:$Y$170</c:f>
              <c:numCache>
                <c:formatCode>General</c:formatCode>
                <c:ptCount val="24"/>
                <c:pt idx="0">
                  <c:v>2.91000008583069</c:v>
                </c:pt>
                <c:pt idx="1">
                  <c:v>2.90000009536743</c:v>
                </c:pt>
                <c:pt idx="2">
                  <c:v>2.92000007629395</c:v>
                </c:pt>
                <c:pt idx="3">
                  <c:v>2.66000008583069</c:v>
                </c:pt>
                <c:pt idx="4">
                  <c:v>2.73000001907349</c:v>
                </c:pt>
                <c:pt idx="5">
                  <c:v>2.53999996185303</c:v>
                </c:pt>
                <c:pt idx="6">
                  <c:v>2.51999998092651</c:v>
                </c:pt>
                <c:pt idx="7">
                  <c:v>2.6800000667572</c:v>
                </c:pt>
                <c:pt idx="8">
                  <c:v>2.84999990463257</c:v>
                </c:pt>
                <c:pt idx="9">
                  <c:v>3.13000011444092</c:v>
                </c:pt>
                <c:pt idx="10">
                  <c:v>3.58999991416931</c:v>
                </c:pt>
                <c:pt idx="11">
                  <c:v>3.76999998092651</c:v>
                </c:pt>
                <c:pt idx="12">
                  <c:v>3.67000007629395</c:v>
                </c:pt>
                <c:pt idx="13">
                  <c:v>3.5</c:v>
                </c:pt>
                <c:pt idx="14">
                  <c:v>3.10999989509583</c:v>
                </c:pt>
                <c:pt idx="15">
                  <c:v>2.44000005722046</c:v>
                </c:pt>
                <c:pt idx="16">
                  <c:v>2.3199999332428</c:v>
                </c:pt>
                <c:pt idx="17">
                  <c:v>2.46000003814697</c:v>
                </c:pt>
                <c:pt idx="18">
                  <c:v>2.61999988555908</c:v>
                </c:pt>
                <c:pt idx="19">
                  <c:v>2.95000004768372</c:v>
                </c:pt>
                <c:pt idx="20">
                  <c:v>2.65000009536743</c:v>
                </c:pt>
                <c:pt idx="21">
                  <c:v>2.72000002861023</c:v>
                </c:pt>
                <c:pt idx="22">
                  <c:v>2.99000000953674</c:v>
                </c:pt>
                <c:pt idx="23">
                  <c:v>3.00999999046326</c:v>
                </c:pt>
              </c:numCache>
            </c:numRef>
          </c:val>
          <c:smooth val="0"/>
        </c:ser>
        <c:dLbls>
          <c:showLegendKey val="0"/>
          <c:showVal val="0"/>
          <c:showCatName val="0"/>
          <c:showSerName val="0"/>
          <c:showPercent val="0"/>
          <c:showBubbleSize val="0"/>
        </c:dLbls>
        <c:marker val="1"/>
        <c:smooth val="0"/>
        <c:axId val="864244686"/>
        <c:axId val="344686106"/>
      </c:lineChart>
      <c:catAx>
        <c:axId val="864244686"/>
        <c:scaling>
          <c:orientation val="minMax"/>
        </c:scaling>
        <c:delete val="0"/>
        <c:axPos val="b"/>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344686106"/>
        <c:crosses val="autoZero"/>
        <c:auto val="1"/>
        <c:lblAlgn val="ctr"/>
        <c:lblOffset val="100"/>
        <c:tickLblSkip val="1"/>
        <c:noMultiLvlLbl val="0"/>
      </c:catAx>
      <c:valAx>
        <c:axId val="344686106"/>
        <c:scaling>
          <c:orientation val="minMax"/>
        </c:scaling>
        <c:delete val="0"/>
        <c:axPos val="l"/>
        <c:majorGridlines>
          <c:spPr>
            <a:ln w="3175" cap="flat" cmpd="sng" algn="ctr">
              <a:solidFill>
                <a:srgbClr val="000000">
                  <a:alpha val="100000"/>
                </a:srgbClr>
              </a:solidFill>
              <a:prstDash val="solid"/>
              <a:round/>
            </a:ln>
          </c:spPr>
        </c:majorGridlines>
        <c:title>
          <c:tx>
            <c:rich>
              <a:bodyPr rot="-5400000" spcFirstLastPara="0" vertOverflow="ellipsis" vert="horz" wrap="square" anchor="ctr" anchorCtr="1"/>
              <a:lstStyle/>
              <a:p>
                <a:pPr defTabSz="914400">
                  <a:defRPr lang="zh-CN" sz="1100" b="0" i="0" u="none" strike="noStrike" kern="1200" baseline="0">
                    <a:solidFill>
                      <a:srgbClr val="000000">
                        <a:alpha val="100000"/>
                      </a:srgbClr>
                    </a:solidFill>
                    <a:latin typeface="Calibri" panose="020F0502020204030204" pitchFamily="2" charset="0"/>
                    <a:ea typeface="Calibri" panose="020F0502020204030204" pitchFamily="2" charset="0"/>
                    <a:cs typeface="Calibri" panose="020F0502020204030204" pitchFamily="2" charset="0"/>
                  </a:defRPr>
                </a:pPr>
                <a:r>
                  <a:rPr sz="1200" b="0" i="0" u="none" strike="noStrike" baseline="0">
                    <a:solidFill>
                      <a:srgbClr val="000000"/>
                    </a:solidFill>
                    <a:latin typeface="宋体" panose="02010600030101010101" charset="-122"/>
                    <a:ea typeface="宋体" panose="02010600030101010101" charset="-122"/>
                    <a:cs typeface="宋体" panose="02010600030101010101" charset="-122"/>
                  </a:rPr>
                  <a:t>风速(m/s)</a:t>
                </a: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0205198358413133"/>
              <c:y val="0.373770491803279"/>
            </c:manualLayout>
          </c:layout>
          <c:overlay val="0"/>
        </c:title>
        <c:numFmt formatCode="0.00_ " sourceLinked="0"/>
        <c:majorTickMark val="in"/>
        <c:minorTickMark val="none"/>
        <c:tickLblPos val="nextTo"/>
        <c:spPr>
          <a:ln w="3175" cap="flat" cmpd="sng" algn="ctr">
            <a:solidFill>
              <a:srgbClr val="000000">
                <a:alpha val="100000"/>
              </a:srgbClr>
            </a:solidFill>
            <a:prstDash val="solid"/>
            <a:round/>
          </a:ln>
        </c:spPr>
        <c:txPr>
          <a:bodyPr rot="0" spcFirstLastPara="0" vertOverflow="ellipsis" vert="horz" wrap="square" anchor="ctr" anchorCtr="1"/>
          <a:lstStyle/>
          <a:p>
            <a:pPr>
              <a:defRPr lang="zh-CN" sz="12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crossAx val="864244686"/>
        <c:crosses val="autoZero"/>
        <c:crossBetween val="between"/>
      </c:valAx>
      <c:spPr>
        <a:solidFill>
          <a:srgbClr val="C0C0C0">
            <a:alpha val="100000"/>
          </a:srgbClr>
        </a:solidFill>
        <a:ln w="12700">
          <a:solidFill>
            <a:srgbClr val="808080">
              <a:alpha val="100000"/>
            </a:srgbClr>
          </a:solidFill>
          <a:prstDash val="solid"/>
        </a:ln>
      </c:spPr>
    </c:plotArea>
    <c:legend>
      <c:legendPos val="r"/>
      <c:layout>
        <c:manualLayout>
          <c:xMode val="edge"/>
          <c:yMode val="edge"/>
          <c:x val="0.86"/>
          <c:y val="0.186"/>
          <c:w val="0.12568306010929"/>
          <c:h val="0.505446623093682"/>
        </c:manualLayout>
      </c:layout>
      <c:overlay val="0"/>
      <c:spPr>
        <a:solidFill>
          <a:srgbClr val="FFFFFF">
            <a:alpha val="100000"/>
          </a:srgbClr>
        </a:solidFill>
        <a:ln w="3175">
          <a:solidFill>
            <a:srgbClr val="000000">
              <a:alpha val="100000"/>
            </a:srgbClr>
          </a:solidFill>
          <a:prstDash val="solid"/>
        </a:ln>
      </c:spPr>
      <c:txPr>
        <a:bodyPr rot="0" spcFirstLastPara="0" vertOverflow="ellipsis" vert="horz" wrap="square" anchor="ctr" anchorCtr="1"/>
        <a:lstStyle/>
        <a:p>
          <a:pPr>
            <a:defRPr lang="zh-CN" sz="110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legend>
    <c:plotVisOnly val="1"/>
    <c:dispBlanksAs val="gap"/>
    <c:showDLblsOverMax val="0"/>
    <c:extLst>
      <c:ext uri="{0b15fc19-7d7d-44ad-8c2d-2c3a37ce22c3}">
        <chartProps xmlns="https://web.wps.cn/et/2018/main" chartId="{e6578aed-5243-4320-aef1-348062b556c2}"/>
      </c:ext>
    </c:extLst>
  </c:chart>
  <c:spPr>
    <a:solidFill>
      <a:srgbClr val="FFFFFF">
        <a:alpha val="100000"/>
      </a:srgbClr>
    </a:solidFill>
    <a:ln w="3175" cap="flat" cmpd="sng" algn="ctr">
      <a:solidFill>
        <a:srgbClr val="000000">
          <a:alpha val="100000"/>
        </a:srgbClr>
      </a:solidFill>
      <a:prstDash val="solid"/>
      <a:round/>
    </a:ln>
  </c:spPr>
  <c:txPr>
    <a:bodyPr rot="0" wrap="square" anchor="ctr" anchorCtr="1"/>
    <a:lstStyle/>
    <a:p>
      <a:pPr>
        <a:defRPr lang="zh-CN" sz="1200" b="0" i="0" u="none" strike="noStrike" baseline="0">
          <a:solidFill>
            <a:srgbClr val="000000">
              <a:alpha val="100000"/>
            </a:srgbClr>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364</Pages>
  <Words>16051</Words>
  <Characters>17686</Characters>
  <Lines>1295</Lines>
  <Paragraphs>364</Paragraphs>
  <TotalTime>2</TotalTime>
  <ScaleCrop>false</ScaleCrop>
  <LinksUpToDate>false</LinksUpToDate>
  <CharactersWithSpaces>18104</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2022-07-13T09:17:00Z</dcterms:created>
  <dc:creator>User</dc:creator>
  <cp:lastModifiedBy>浮云过影</cp:lastModifiedBy>
  <cp:lastPrinted>2022-06-24T07:57:00Z</cp:lastPrinted>
  <dcterms:modified xsi:type="dcterms:W3CDTF">2026-06-03T06:17:09Z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869F3663EE284CE79ACDE76B1453E822_13</vt:lpwstr>
  </property>
  <property fmtid="{D5CDD505-2E9C-101B-9397-08002B2CF9AE}" pid="4" name="KSOTemplateDocerSaveRecord">
    <vt:lpwstr>eyJoZGlkIjoiNDI4MzZlNDI5NWJhODZlYTg0YmVjYzA2NzJkN2RjNTMiLCJ1c2VySWQiOiI0NTQ1NDY4MjQifQ==</vt:lpwstr>
  </property>
</Properties>
</file>