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8EBB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4"/>
          <w:sz w:val="44"/>
          <w:szCs w:val="44"/>
          <w:lang w:eastAsia="zh-CN"/>
        </w:rPr>
      </w:pPr>
      <w:bookmarkStart w:id="13" w:name="_GoBack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4"/>
          <w:sz w:val="44"/>
          <w:szCs w:val="44"/>
        </w:rPr>
        <w:t>双鸭山市没收违法建筑物处置办法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4"/>
          <w:sz w:val="44"/>
          <w:szCs w:val="44"/>
          <w:lang w:eastAsia="zh-CN"/>
        </w:rPr>
        <w:t>（试行）</w:t>
      </w:r>
    </w:p>
    <w:p w14:paraId="236B9B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4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-4"/>
          <w:sz w:val="44"/>
          <w:szCs w:val="44"/>
          <w:lang w:eastAsia="zh-CN"/>
        </w:rPr>
        <w:t>（征求意见稿）</w:t>
      </w:r>
    </w:p>
    <w:bookmarkEnd w:id="13"/>
    <w:p w14:paraId="4BD18E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0" w:name="heading_0"/>
    </w:p>
    <w:p w14:paraId="244CE5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第一条</w:t>
      </w:r>
      <w:bookmarkEnd w:id="0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为规范全市违法建筑物依法没收后的移交、接收、管护及后续处置工作，防范国有资产流失，健全违法建设闭环处置机制，依据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《中华人民共和国行政处罚法》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《中华人民共和国城乡规划法》《中华人民共和国土地管理法》等法律法规，结合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市实际，制定本办法。</w:t>
      </w:r>
    </w:p>
    <w:p w14:paraId="63223C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1" w:name="heading_1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第二条</w:t>
      </w:r>
      <w:bookmarkEnd w:id="1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本办法适用于全市各级城市管理、自然资源等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依法具有没收违法建筑物行政处罚职权的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行政执法机关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</w:rPr>
        <w:t>（以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  <w:lang w:eastAsia="zh-CN"/>
        </w:rPr>
        <w:t>下简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</w:rPr>
        <w:t>称执法机关）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，依法作出没收行政处罚并生效的违法建筑物、构筑物及配套设施（以下统称没收的违法建筑物）的处置管理工作。</w:t>
      </w:r>
    </w:p>
    <w:p w14:paraId="4D0FF6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本办法所称处置，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包括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没收的违法建筑物的移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送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交接、登记建档、日常管护、安全排查、分类利用及拆除清零等全流程工作。</w:t>
      </w:r>
    </w:p>
    <w:p w14:paraId="37637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本办法仅适用于行政执法环节依法没收的违法建设，不包含征收拆迁、土地收储、司法处置等情形的建筑物处置。</w:t>
      </w:r>
    </w:p>
    <w:p w14:paraId="6968B6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2" w:name="heading_2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 xml:space="preserve">第三条 </w:t>
      </w:r>
      <w:bookmarkEnd w:id="2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各县（区）人民政府牵头组织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辖区内没收的违法建筑物的接收、管护、处置及部门协同工作，可结合辖区国资管理体系，指定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承担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国有资产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管理职责的部门或相关单位作为违法建筑物的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接收单位。</w:t>
      </w:r>
    </w:p>
    <w:p w14:paraId="7025DD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市级机关事业单位、市属国有企业（含国有控股企业）主体的违法建设被没收的，由市财政局（国有资产监督管理部门）牵头，指定市级相关国有资产管理单位作为接收单位，负责没收违法建筑物后续管理和处置工作。</w:t>
      </w:r>
    </w:p>
    <w:p w14:paraId="418473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3" w:name="heading_3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 xml:space="preserve">第四条 </w:t>
      </w:r>
      <w:bookmarkEnd w:id="3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全市各相关行业主管部门按照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部门职责分工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，协同开展没收的违法建筑物处置工作：</w:t>
      </w:r>
    </w:p>
    <w:p w14:paraId="2E46B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4" w:name="heading_4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自然资源部门：负责核查被没收违法建筑物的土地权属、用地性质、规划审批手续，对涉案建筑物是否可以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通过改正措施消除对规划的影响（包括但不限于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补办规划、用地手续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等）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，以及应当补缴的土地价款等事项，出具书面明确意见。</w:t>
      </w:r>
    </w:p>
    <w:p w14:paraId="601D02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城市管理执法部门：承担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违反《中华人民共和国城乡规划法》的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行政处罚案件查办职责，负责没收违法建筑物移交前的相关管理工作，整理移交案卷及证据资料；配合做好没收建筑物腾空、现场拆除实施等相关工作。</w:t>
      </w:r>
    </w:p>
    <w:p w14:paraId="393501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财政部门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国有资产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监督管理部门）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：负责对没收违法建筑物处置收益实行统筹管理，对国有资产处置程序开展监督管理。</w:t>
      </w:r>
    </w:p>
    <w:p w14:paraId="67E9F0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（四）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住房和城乡建设部门：负责指导开展没收违法建筑物房屋安全鉴定、建筑结构隐患排查以及建筑物安全使用认定相关工作。</w:t>
      </w:r>
    </w:p>
    <w:p w14:paraId="48FA8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（五）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公安机关：负责没收违法建筑物处置过程治安秩序保障，依法查处妨碍执行公务、恶意侵占被没收建筑物等违法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违规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行为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；涉嫌犯罪的，移送司法机关处理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。</w:t>
      </w:r>
    </w:p>
    <w:p w14:paraId="18FB98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>（六）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农业农村、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水务、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林业和草原、生态环境等部门：按照各自法定行业监管职责，结合违建所属领域出具行业核查意见，做好没收违法建筑物处置的协同相关工作。</w:t>
      </w:r>
    </w:p>
    <w:p w14:paraId="25D9FA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 xml:space="preserve">第五条 </w:t>
      </w:r>
      <w:bookmarkEnd w:id="4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行政处罚决定生效后、没收的违法建筑物移交前，执法机关及相关部门应当采取有效措施，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严防没收的违法建筑物被私自占用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、擅自改造、安全事故及资产损毁问题，确保移交前资产完好、状态可控。</w:t>
      </w:r>
    </w:p>
    <w:p w14:paraId="290146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5" w:name="heading_5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 xml:space="preserve">第六条 </w:t>
      </w:r>
      <w:bookmarkEnd w:id="5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行政执法机关应当在行政处罚决定书法定救济期限届满、文书正式生效之日起90日内，完成移交；案件经过行政复议、行政诉讼的，以最终生效法律文书时间起算。法律法规另有规定的，从其规定。</w:t>
      </w:r>
    </w:p>
    <w:p w14:paraId="0705A4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6" w:name="heading_6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第七条</w:t>
      </w:r>
      <w:bookmarkEnd w:id="6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移交工作实行书面化、清单化管理，执法机关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>应当填写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移交书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并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附行政处罚决定书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和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</w:rPr>
        <w:t>没收的违法建筑物清单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；经法院裁定强制执行没收的，需附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行政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裁定书。</w:t>
      </w:r>
    </w:p>
    <w:p w14:paraId="4C36D1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移交书需详细载明移交双方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单位名称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</w:rPr>
        <w:t>没收的违法建筑物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坐落位置、占地面积、建筑面积、结构类型、建设现状、权属情况、隐患情况及移交时间等信息。没收的违法建筑物清单上应当载明行政处罚决定书编号、被处罚对象、处罚具体内容、建筑物所在位置、用地性质、占地面积和建筑面积等信息。</w:t>
      </w:r>
    </w:p>
    <w:p w14:paraId="5667E6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移交书、没收的违法建筑物清单由移交单位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和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接收单位双方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分别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签字盖章确认，一式三份，双方各留存一份，同步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向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同级财政部门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报备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。</w:t>
      </w:r>
    </w:p>
    <w:p w14:paraId="4201AC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实物移交不视为当事人自动完成腾退，拒不交付的，由执法机关依法申请人民法院强制执行。</w:t>
      </w:r>
    </w:p>
    <w:p w14:paraId="6DE33C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第八条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接收单位完成交接后10个工作日内，完成没收的违法建筑物登记造册、分类建档、台账录入工作。确需委托第三方实施日常管护的，应当依法依规确定受托管理单位。</w:t>
      </w:r>
    </w:p>
    <w:p w14:paraId="4F976F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自然资源、城管、财政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、住建等部门要加强对没收的违法建筑物后续处置的指导和监督工作，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杜绝私自占用、违规使用等问题。</w:t>
      </w:r>
    </w:p>
    <w:p w14:paraId="49D40CB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7" w:name="heading_8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 xml:space="preserve">第九条 </w:t>
      </w:r>
      <w:bookmarkEnd w:id="7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接收单位或受托管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理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单位，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应当会同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自然资源、城管、财政、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住房和城乡建设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公安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等部门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进行会商协商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，结合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本市实际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</w:rPr>
        <w:t>研究确定没收的违法建筑物处置方案。</w:t>
      </w:r>
    </w:p>
    <w:p w14:paraId="4D99C0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8" w:name="heading_9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 xml:space="preserve">第十条 </w:t>
      </w:r>
      <w:bookmarkEnd w:id="8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对没收的违法建筑物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按照下列方式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实行分类处置、精准施策：</w:t>
      </w:r>
    </w:p>
    <w:p w14:paraId="3B65C4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合规保留处置：符合国土空间规划及管控要求，可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依法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依规补办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相关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手续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，由接收单位提请自然资源等主管部门研判，按照本级人民政府处置意见依法完善相关手续。手续补齐后，可根据公共资源交易和管理相关规定予以处置。</w:t>
      </w:r>
    </w:p>
    <w:p w14:paraId="6808D4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依法拆除处置：不符合规划要求、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依法不能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补办手续且无法整改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应当实施拆除的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</w:rPr>
        <w:t>按照从严处置原则，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由接收单位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</w:rPr>
        <w:t>会同执法机关组织拆除，执法机关应当予以协助配合</w:t>
      </w: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  <w:lang w:eastAsia="zh-CN"/>
        </w:rPr>
        <w:t>，彻底消除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规划隐患。</w:t>
      </w:r>
    </w:p>
    <w:p w14:paraId="2256D1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临时管控留存：因特殊原因，暂不具备处置条件的，需要暂时保留没收的违法建筑物，接收单位或受托管理单位应当采取有效措施加强管理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待条件成熟后启动正式处置。</w:t>
      </w:r>
    </w:p>
    <w:p w14:paraId="60930D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第十一条 没收的违法建筑物，同时满足下列情形的，可以按法定程序补办相关手续，纳入国有资产常态化管理：</w:t>
      </w:r>
    </w:p>
    <w:p w14:paraId="760090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（一）经生效行政处罚文书固定权属来源，不存在权属纠纷与权利争议；</w:t>
      </w:r>
    </w:p>
    <w:p w14:paraId="22193C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（二）建筑物现状符合国土空间规划、控制性详细规划以及相关专项规划管控要求；</w:t>
      </w:r>
    </w:p>
    <w:p w14:paraId="42FE71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（三）经具备相应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资质的第三方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机构开展房屋安全鉴定，建筑主体结构满足安全使用条件；</w:t>
      </w:r>
    </w:p>
    <w:p w14:paraId="2F895D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（四）经消防安全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评估，不存在强制性重大安全隐患；</w:t>
      </w:r>
    </w:p>
    <w:p w14:paraId="777A13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（五）法律、法规另有规定的其他适用情形。</w:t>
      </w:r>
    </w:p>
    <w:p w14:paraId="6E6B04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第十二条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没收的违法建筑物存在下列情形之一的，接收单位或者受托管理单位会同执法机关按规定及时制定拆除方案。除因安全隐患需要立即处置外，原则上应当自拆除方案审定之日起90日内组织实施拆除；因季节、施工条件、历史遗留等客观原因无法按期完成的，可报请本级人民政府同意后适当延长期限。</w:t>
      </w:r>
    </w:p>
    <w:p w14:paraId="5BA225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（一）不符合法定规划要求，且不能拆除的情形已消除的；</w:t>
      </w:r>
    </w:p>
    <w:p w14:paraId="3D60FD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（二）房屋危险性鉴定为D级，经专业机构评估无加固保留利用价值的；</w:t>
      </w:r>
    </w:p>
    <w:p w14:paraId="1586F2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（三）存在消防安全、地质灾害安全隐患，且无法采取措施予以消除的；</w:t>
      </w:r>
    </w:p>
    <w:p w14:paraId="2EC495E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（四）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法律、法规规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定应当予以拆除的其他情形。</w:t>
      </w:r>
    </w:p>
    <w:p w14:paraId="2B02ED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9" w:name="heading_12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 xml:space="preserve">第十三条 </w:t>
      </w:r>
      <w:bookmarkEnd w:id="9"/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</w:rPr>
        <w:t>没收的违法建筑物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通过出租、转让等方式产生的全部收益，严格按照规定全额上缴同级国库，实行收支两条线管理。</w:t>
      </w:r>
    </w:p>
    <w:p w14:paraId="40CA11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i w:val="0"/>
          <w:iCs w:val="0"/>
          <w:caps w:val="0"/>
          <w:color w:val="auto"/>
          <w:spacing w:val="-4"/>
          <w:sz w:val="32"/>
          <w:szCs w:val="32"/>
        </w:rPr>
        <w:t>没收的违法建筑物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处置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工作所需经费，纳入同级财政预算予以保障。</w:t>
      </w:r>
    </w:p>
    <w:p w14:paraId="0EC98F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10" w:name="heading_13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第十四条</w:t>
      </w:r>
      <w:bookmarkEnd w:id="10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本办法施行以前，本市辖区内已经依法作出没收处罚，但尚未完成移交处置工作的违法建筑物，可参照本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eastAsia="zh-CN"/>
        </w:rPr>
        <w:t>办法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确立的规则，完成移交交接、档案归集、后续处置等全部工作环节。本办法施行前已经处置终结的案件，不再适用本办法。</w:t>
      </w:r>
    </w:p>
    <w:p w14:paraId="68EC8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11" w:name="heading_14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第十五条</w:t>
      </w:r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 xml:space="preserve"> </w:t>
      </w:r>
      <w:bookmarkEnd w:id="11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  <w:lang w:val="en-US" w:eastAsia="zh-CN"/>
        </w:rPr>
        <w:t>本办法由市城市管理综合行政执法局、市自然资源局、市财政局依职责解释。</w:t>
      </w:r>
    </w:p>
    <w:p w14:paraId="75F4C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24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</w:pPr>
      <w:bookmarkStart w:id="12" w:name="heading_15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 xml:space="preserve">第十六条 </w:t>
      </w:r>
      <w:bookmarkEnd w:id="12"/>
      <w:r>
        <w:rPr>
          <w:rFonts w:hint="eastAsia" w:ascii="仿宋_GB2312" w:hAnsi="仿宋_GB2312" w:eastAsia="仿宋_GB2312" w:cs="仿宋_GB2312"/>
          <w:b w:val="0"/>
          <w:bCs/>
          <w:color w:val="auto"/>
          <w:spacing w:val="-4"/>
          <w:sz w:val="32"/>
          <w:szCs w:val="32"/>
        </w:rPr>
        <w:t>本办法自发布之日起施行。</w:t>
      </w:r>
    </w:p>
    <w:p w14:paraId="08345D0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9EE"/>
    <w:rsid w:val="001A22AB"/>
    <w:rsid w:val="001A4E8C"/>
    <w:rsid w:val="00AA2125"/>
    <w:rsid w:val="00C859EE"/>
    <w:rsid w:val="7F6F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bCs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样式1"/>
    <w:basedOn w:val="1"/>
    <w:link w:val="6"/>
    <w:qFormat/>
    <w:uiPriority w:val="0"/>
    <w:rPr>
      <w:b/>
      <w:color w:val="548235" w:themeColor="accent6" w:themeShade="BF"/>
      <w:sz w:val="28"/>
    </w:rPr>
  </w:style>
  <w:style w:type="character" w:customStyle="1" w:styleId="6">
    <w:name w:val="样式1 Char"/>
    <w:basedOn w:val="4"/>
    <w:link w:val="5"/>
    <w:qFormat/>
    <w:uiPriority w:val="0"/>
    <w:rPr>
      <w:b/>
      <w:color w:val="548235" w:themeColor="accent6" w:themeShade="BF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Yozosoft</Company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Office_12.1.2.28080_F1E327BC-269C-435d-A152-05C5408002CA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2020-05-08T14:11:00Z</dcterms:created>
  <dc:creator>User274</dc:creator>
  <cp:lastModifiedBy>greatwall</cp:lastModifiedBy>
  <dcterms:modified xsi:type="dcterms:W3CDTF">2026-09-08T14:02:42Z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2052-12.1.2.28080</vt:lpwstr>
  </property>
  <property fmtid="{D5CDD505-2E9C-101B-9397-08002B2CF9AE}" pid="3" name="ICV">
    <vt:lpwstr>FE4AAAB471914E0602A59F6AB8021AC6_42</vt:lpwstr>
  </property>
</Properties>
</file>