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双鸭山市审计局202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年政府信息公开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lang w:val="en-US" w:eastAsia="zh-CN"/>
        </w:rPr>
      </w:pPr>
      <w:r>
        <w:rPr>
          <w:lang w:val="en-US"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中华人民共和国政府信息公开条例》（中华人民共和国国务院令第711号，以下简称《条例》）和《国务院办公厅政府信息与政务公开办公室关于印发&lt;中华人民共和国政府信息公开工作年度报告格式&gt;的通知》（国办公开办函〔2021〕30号）要求，现发布《双鸭山市审计局2024年政府信息公开工作年度报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市审计局坚持以习近平新时代中国特色社会主义思想为指导，全面贯彻落实党的二十大、二十届二中、三中全会精神，认真落实市委、市政府关于政务公开工作的要求，不断强化信息公开意识，规范信息公开流程，夯实信息公开基础，切实做好依申请公开工作，有效提升政府信息公开质量和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（一）政务信息主动公开情况。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2024年，市审计局依法向社会发布各类政务信息3条。按要求公开机构职能信息1条；围绕审计工作，持续做好政府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信息主动公开，在市政府门户网站“审计工作报告”栏目公开信息2条，充分保障了公众知情权、监督权。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（二）依申请公开情况。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市审计局建立了依申请公开制度，扎实做好依申请公开接收、登记、办理、核查、答复等各个环节工作。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2024年，我局未收到政府信息公开申请。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（三）政府信息管理情况。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加强政府信息管理的组织领导，按照“谁主管、谁发布、谁审查”的原则，严格执行“分级审核、先审后发”的程序，理顺政务信息公开审查流程，完善公开机制。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安排专人负责信息采集、管理、发布等工作，主动做好平台的维护、更新，配合上级做好安全评估和审查，确保本局公开的政府信息规范化、制度化。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（四）政府信息公开平台建设情况。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市审计局进一步发挥政府门户网站信息公开第一平台作用，统筹规划栏目设置，加强网络信息内容建设，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落实专人负责，及时更新栏目内容，实时更新工作动态，提升政务动态信息发布的时效性。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（五）监督保障情况。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建立政府信息公开工作长效机制，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  <w:t>有序推进政务公开工作，不断提升政务公开水平。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主要领导亲自抓、分管领导具体抓、办公室和法规与审理科抓落实的三级管理模式，严格执行“三审三校”工作制度，对政府信息公开属性进行源头认定和发布审查，做到“应公开、尽公开，公开为常态、不公开为例外”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rPr>
          <w:rFonts w:ascii="微软雅黑" w:hAnsi="微软雅黑" w:eastAsia="微软雅黑" w:cs="宋体"/>
          <w:kern w:val="0"/>
          <w:sz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二、主动公开政府信息情况</w:t>
      </w:r>
    </w:p>
    <w:tbl>
      <w:tblPr>
        <w:tblStyle w:val="5"/>
        <w:tblW w:w="81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0"/>
        <w:gridCol w:w="2160"/>
        <w:gridCol w:w="1608"/>
        <w:gridCol w:w="18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本年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制发件数</w:t>
            </w: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本年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废止件数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规章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89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8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3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6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宋体"/>
          <w:kern w:val="0"/>
          <w:sz w:val="32"/>
          <w:szCs w:val="32"/>
        </w:rPr>
        <w:t>收到和处理政府信息公开申请情况</w:t>
      </w:r>
    </w:p>
    <w:tbl>
      <w:tblPr>
        <w:tblStyle w:val="5"/>
        <w:tblW w:w="8316" w:type="dxa"/>
        <w:jc w:val="center"/>
        <w:tblInd w:w="2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680"/>
        <w:gridCol w:w="844"/>
        <w:gridCol w:w="2597"/>
        <w:gridCol w:w="600"/>
        <w:gridCol w:w="600"/>
        <w:gridCol w:w="597"/>
        <w:gridCol w:w="600"/>
        <w:gridCol w:w="596"/>
        <w:gridCol w:w="600"/>
        <w:gridCol w:w="5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4131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85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4131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自然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</w:rPr>
              <w:t>人</w:t>
            </w:r>
          </w:p>
        </w:tc>
        <w:tc>
          <w:tcPr>
            <w:tcW w:w="2993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法人或其他组织</w:t>
            </w:r>
          </w:p>
        </w:tc>
        <w:tc>
          <w:tcPr>
            <w:tcW w:w="59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4131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企业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机构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社会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</w:rPr>
              <w:t>公益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</w:rPr>
              <w:t>组织</w:t>
            </w:r>
          </w:p>
        </w:tc>
        <w:tc>
          <w:tcPr>
            <w:tcW w:w="5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法律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</w:rPr>
              <w:t>服务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u w:val="none"/>
              </w:rPr>
              <w:t>机构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其他</w:t>
            </w:r>
          </w:p>
        </w:tc>
        <w:tc>
          <w:tcPr>
            <w:tcW w:w="59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413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4131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baseline"/>
              <w:rPr>
                <w:rFonts w:hint="eastAsia" w:ascii="黑体" w:hAnsi="黑体" w:eastAsia="黑体" w:cs="黑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08" w:hRule="atLeast"/>
          <w:jc w:val="center"/>
        </w:trPr>
        <w:tc>
          <w:tcPr>
            <w:tcW w:w="6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baseline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（一）予以公开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624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baseline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（二）部分公开（区分处理的,只计这一情形,不计其他情形）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08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baseline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（三）不予公开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1.属于国家秘密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08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2.其他法律行政法规禁止公开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03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3.危及“三安全一稳定”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08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4.保护第三方合法权益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08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5.属于三类内部事务信息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04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6.属于四类过程性信息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08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7.属于行政执法案卷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03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8.属于行政查询事项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08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baseline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（四）无法提供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1.本机关不掌握相关政府信息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03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2.没有现成信息需要另行制作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08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3.补正后申请内容仍不明确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08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baseline"/>
              <w:rPr>
                <w:rFonts w:hint="eastAsia" w:ascii="楷体_GB2312" w:hAnsi="楷体_GB2312" w:eastAsia="楷体_GB2312" w:cs="楷体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（五）不予处理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1.信访举报投诉类申请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03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2.重复申请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08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3.要求提供公开出版物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03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4.无正当理由大量反复申请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629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907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（六）其他处理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903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08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3.其他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03" w:hRule="atLeast"/>
          <w:jc w:val="center"/>
        </w:trPr>
        <w:tc>
          <w:tcPr>
            <w:tcW w:w="6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44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（七）总计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13" w:hRule="atLeast"/>
          <w:jc w:val="center"/>
        </w:trPr>
        <w:tc>
          <w:tcPr>
            <w:tcW w:w="412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四、结转下年度继续办理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0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宋体"/>
          <w:kern w:val="0"/>
          <w:sz w:val="32"/>
          <w:szCs w:val="32"/>
        </w:rPr>
        <w:t>政府信息公开行政复议、行政诉讼情况</w:t>
      </w:r>
    </w:p>
    <w:tbl>
      <w:tblPr>
        <w:tblStyle w:val="5"/>
        <w:tblW w:w="958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318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40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6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维持</w:t>
            </w:r>
          </w:p>
        </w:tc>
        <w:tc>
          <w:tcPr>
            <w:tcW w:w="6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纠正</w:t>
            </w:r>
          </w:p>
        </w:tc>
        <w:tc>
          <w:tcPr>
            <w:tcW w:w="6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结果</w:t>
            </w:r>
          </w:p>
        </w:tc>
        <w:tc>
          <w:tcPr>
            <w:tcW w:w="6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审结</w:t>
            </w:r>
          </w:p>
        </w:tc>
        <w:tc>
          <w:tcPr>
            <w:tcW w:w="6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32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20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维持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纠正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结果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审结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维持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纠正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结果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审结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五、存在的主要问题及改进情况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（一）存在的主要问题。</w:t>
      </w:r>
    </w:p>
    <w:p>
      <w:pPr>
        <w:keepNext w:val="0"/>
        <w:keepLines w:val="0"/>
        <w:pageBreakBefore w:val="0"/>
        <w:widowControl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市审计局政务公开工作有序推进，但对审计政务公开认识仍然不足，审计政务公开的手段还有待丰富。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（二）改进情况。</w:t>
      </w:r>
    </w:p>
    <w:p>
      <w:pPr>
        <w:keepNext w:val="0"/>
        <w:keepLines w:val="0"/>
        <w:pageBreakBefore w:val="0"/>
        <w:widowControl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一是加强组织保障。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强化工作部署、细化工作方案、推进责任落实，做好人员、经费等保障，严肃工作纪律作风，提升全员参与责任意识。</w:t>
      </w:r>
    </w:p>
    <w:p>
      <w:pPr>
        <w:keepNext w:val="0"/>
        <w:keepLines w:val="0"/>
        <w:pageBreakBefore w:val="0"/>
        <w:widowControl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二是加强政府信息管理。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继续从严落实“三审三校”和保密审查各项要求，避免发生严重表述性错误、泄密风险等问题，提升公开质量。探索运用数字图解、音视频等多种形式公开政府信息，帮助公众更好理解审计。</w:t>
      </w:r>
    </w:p>
    <w:p>
      <w:pPr>
        <w:keepNext w:val="0"/>
        <w:keepLines w:val="0"/>
        <w:pageBreakBefore w:val="0"/>
        <w:widowControl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三是优化平台建设。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完善网站安全保障机制，做好防攻击、防篡改、防病毒等工作。积极拓宽公开渠道，加大通过审计署网站、人民网、学习强国、新华网、市政府门户网站等多媒体平台公开发布政府信息的力度，让更多社会公众走近审计、读懂审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微软雅黑" w:hAnsi="微软雅黑" w:eastAsia="微软雅黑" w:cs="宋体"/>
          <w:kern w:val="0"/>
          <w:sz w:val="24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tabs>
          <w:tab w:val="left" w:pos="1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2024年，市审计局未收取信息处理费。此外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，无其他需要报告事项。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9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2025-01-23T05:58:39Z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