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E559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双鸭山市市场监督管理局</w:t>
      </w:r>
    </w:p>
    <w:p w14:paraId="92AFC9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2024年度政府信息公开工作报告</w:t>
      </w:r>
    </w:p>
    <w:p w14:paraId="4FA2C742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 w14:paraId="EE4ECB42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年度报告依据《中华人民共和国政府信息公开条例》（以下简称《条例》）以及《国务院办公厅政府信息与政务公开办公室关于印发〈中华人民共和国政府信息公开工作年度报告格式〉的通知》（国办公开办函〔2021〕30号）等文件要求编制而成。报告内容主要涵盖总体情况、主动公开政府信息情况、收到和处理政府信息公开申请情况、政府信息公开工作行政复议和行政诉讼情况、存在的主要问题和改进情况、其他需要报告的事项等方面。报告中数据的统计时段为2024年1月1日至2024年12月31日。本报告在双鸭山市人民政府网站政府信息公开专栏公开发布，若对本报告有疑问，可与双鸭山市市场监管局办公室联系（地址：双鸭山市尖山区五马路211号；邮编：155100；电话：04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69</w:t>
      </w:r>
      <w:r>
        <w:rPr>
          <w:rFonts w:hint="eastAsia" w:ascii="仿宋_GB2312" w:hAnsi="仿宋_GB2312" w:eastAsia="仿宋_GB2312" w:cs="仿宋_GB2312"/>
          <w:sz w:val="32"/>
          <w:szCs w:val="32"/>
        </w:rPr>
        <w:t>-4630001；传真：046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-4630001）。</w:t>
      </w:r>
    </w:p>
    <w:p w14:paraId="457B419A"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一、总体情况</w:t>
      </w:r>
    </w:p>
    <w:p w14:paraId="DC678E54">
      <w:pPr>
        <w:ind w:firstLine="640" w:firstLineChars="2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（一）主动公开情况</w:t>
      </w:r>
    </w:p>
    <w:p w14:paraId="11C2A9F2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2024年，我局严格遵循主动公开工作程序与流程，全面梳理本局政府信息。在政府网站累计发布工作动态类信息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74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sz w:val="32"/>
          <w:szCs w:val="32"/>
        </w:rPr>
        <w:t>。一是聚焦民生关切，强化重点领域信息公开。将食品药品监督检查、抽样检验信息列为政府信息公开重点，严格依照基层政务公开标准，及时公开各类食品抽检信息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</w:rPr>
        <w:t>批次，为群众饮食用药安全提供有力信息支撑。二是优化营商环境，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加强市场主体信息公示。全年公示市场主体注册登记、行政处罚等各类信息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37000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余条，切实保障人民群众对市场主体情况的知情权，助力市场公平竞争环境构建。三是秉持公开常态原则，拓展公开内</w:t>
      </w:r>
      <w:r>
        <w:rPr>
          <w:rFonts w:hint="eastAsia" w:ascii="仿宋_GB2312" w:hAnsi="仿宋_GB2312" w:eastAsia="仿宋_GB2312" w:cs="仿宋_GB2312"/>
          <w:sz w:val="32"/>
          <w:szCs w:val="32"/>
        </w:rPr>
        <w:t>容。围绕市场监管职能，对监督抽检、行政许可、处罚/强制、预算/决算、政府采购等法定主动公开内容进行全面公示，确保权力在阳光下运行，维护群众的监督权利。</w:t>
      </w:r>
    </w:p>
    <w:p w14:paraId="E0D480E1">
      <w:pPr>
        <w:ind w:firstLine="640" w:firstLineChars="2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（二）依申请公开情况</w:t>
      </w:r>
    </w:p>
    <w:p w14:paraId="1D13706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2024年度，双鸭山市市场监督管理局共受理依申请政府信息公开事项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条，均在规定时间内妥善办结，按时办结率达100%。在办理过程中，积极与申请人沟通，深入了解需求，精准提供信息。</w:t>
      </w:r>
    </w:p>
    <w:p w14:paraId="E720029C">
      <w:pPr>
        <w:ind w:firstLine="640" w:firstLineChars="2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（三）政府信息管理</w:t>
      </w:r>
    </w:p>
    <w:p w14:paraId="6986481D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依据政府信息公开工作制度，我局明确专人负责政府门户网站和政务新媒体管理。密切关注政策法规动态，及时对新出台或修订的政策、法规进行专业解读与广泛宣传。同时，建立信息更新长效机制，定期对各类信息进行梳理与更新，确保信息公开的全面性、准确性和规范性，为公众获取信息提供可靠保障。</w:t>
      </w:r>
    </w:p>
    <w:p w14:paraId="6AA93B31">
      <w:pPr>
        <w:ind w:firstLine="640" w:firstLineChars="2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（四）政府信息公开平台建设</w:t>
      </w:r>
    </w:p>
    <w:p w14:paraId="8EA6136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我局持续优化“双鸭山市场监管”微信订阅号建设，安排专业人员专职管理。2024年，通过该平台累计发布信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950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余条，内容涵盖市场监管工作动态、政策解读、消费提示等多个</w:t>
      </w:r>
      <w:r>
        <w:rPr>
          <w:rFonts w:hint="eastAsia" w:ascii="仿宋_GB2312" w:hAnsi="仿宋_GB2312" w:eastAsia="仿宋_GB2312" w:cs="仿宋_GB2312"/>
          <w:sz w:val="32"/>
          <w:szCs w:val="32"/>
        </w:rPr>
        <w:t>领域。不断丰富信息呈现形式，综合运用图文、视频等方式，增强信息的可读性与吸引力，进一步提升了平台的影响力和服务效能。</w:t>
      </w:r>
    </w:p>
    <w:p w14:paraId="250330DA">
      <w:pPr>
        <w:ind w:firstLine="640" w:firstLineChars="2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（五）监督保障</w:t>
      </w:r>
    </w:p>
    <w:p w14:paraId="1B64AE71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结合我市市场监管工作实际，细化工作任务，将责任明确到具体部门和个人。一是完善工作机制，强化责任落实。严格执行信息三审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三校</w:t>
      </w:r>
      <w:r>
        <w:rPr>
          <w:rFonts w:hint="eastAsia" w:ascii="仿宋_GB2312" w:hAnsi="仿宋_GB2312" w:eastAsia="仿宋_GB2312" w:cs="仿宋_GB2312"/>
          <w:sz w:val="32"/>
          <w:szCs w:val="32"/>
        </w:rPr>
        <w:t>制度，从信息撰写、审核到发布，层层把关，构建起信息产出到发布的闭环管理体系，确保信息质量。二是加强监督检查，推动工作落实。局办公室定期或不定期开展自查工作，对信息公开的及时性、准确性、完整性进行全面检查。针对发现的问题，建立台账，督促相关部门限期整改，有力保障了政务公开工作的有序推进。</w:t>
      </w:r>
    </w:p>
    <w:p w14:paraId="58D391FF"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516D6DD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2C9EFA20">
      <w:pPr>
        <w:rPr>
          <w:rFonts w:hint="eastAsia"/>
        </w:rPr>
      </w:pPr>
    </w:p>
    <w:p w14:paraId="0E9C36AB"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</w:p>
    <w:p w14:paraId="A5927440"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二、主动公开政府信息情况</w:t>
      </w:r>
    </w:p>
    <w:p w14:paraId="2002E9A8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tbl>
      <w:tblPr>
        <w:tblStyle w:val="4"/>
        <w:tblW w:w="0" w:type="auto"/>
        <w:jc w:val="center"/>
        <w:tblBorders>
          <w:top w:val="single" w:color="A5A5A5" w:sz="6" w:space="0"/>
          <w:left w:val="single" w:color="A5A5A5" w:sz="6" w:space="0"/>
          <w:bottom w:val="single" w:color="A5A5A5" w:sz="6" w:space="0"/>
          <w:right w:val="single" w:color="A5A5A5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0"/>
        <w:gridCol w:w="2430"/>
        <w:gridCol w:w="2430"/>
        <w:gridCol w:w="2445"/>
      </w:tblGrid>
      <w:tr w14:paraId="13C20BF5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73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8FC6E5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第二十条第（一）项</w:t>
            </w:r>
          </w:p>
        </w:tc>
      </w:tr>
      <w:tr w14:paraId="4169214C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2F60C0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信息内容</w:t>
            </w:r>
          </w:p>
        </w:tc>
        <w:tc>
          <w:tcPr>
            <w:tcW w:w="24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15CF62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本年制发件数</w:t>
            </w:r>
          </w:p>
        </w:tc>
        <w:tc>
          <w:tcPr>
            <w:tcW w:w="24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F5B803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本年废止件数</w:t>
            </w:r>
          </w:p>
        </w:tc>
        <w:tc>
          <w:tcPr>
            <w:tcW w:w="24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BF136C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现行有效件数</w:t>
            </w:r>
          </w:p>
        </w:tc>
      </w:tr>
      <w:tr w14:paraId="7045CC6F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CE82E6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规章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BC1E1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3B0C6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409EC0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</w:tr>
      <w:tr w14:paraId="6AD99DFF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1F04CC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行政规范性文件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6B182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B152B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7C17E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5</w:t>
            </w:r>
          </w:p>
        </w:tc>
      </w:tr>
      <w:tr w14:paraId="51304DBE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73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F9BE69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第二十条第（五）项</w:t>
            </w:r>
          </w:p>
        </w:tc>
      </w:tr>
      <w:tr w14:paraId="6AF1305F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042700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1EC75C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本年处理决定数量</w:t>
            </w:r>
          </w:p>
        </w:tc>
      </w:tr>
      <w:tr w14:paraId="41034DC5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0C7525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D51FD6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17318</w:t>
            </w:r>
          </w:p>
        </w:tc>
      </w:tr>
      <w:tr w14:paraId="27890544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73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AAEF26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第二十条第（六）项</w:t>
            </w:r>
          </w:p>
        </w:tc>
      </w:tr>
      <w:tr w14:paraId="53E2D84F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14A8F2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B4F63B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本年处理决定数量</w:t>
            </w:r>
          </w:p>
        </w:tc>
      </w:tr>
      <w:tr w14:paraId="2A4D4B3D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6C5D03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E45358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218</w:t>
            </w:r>
          </w:p>
        </w:tc>
      </w:tr>
      <w:tr w14:paraId="48C8421F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406E1C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B452E0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38</w:t>
            </w:r>
          </w:p>
        </w:tc>
      </w:tr>
      <w:tr w14:paraId="6426C2E9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73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9DA331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第二十条第（八）项</w:t>
            </w:r>
          </w:p>
        </w:tc>
      </w:tr>
      <w:tr w14:paraId="23A77775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7B8D77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CDCBBC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本年收费金额（单位：万元）</w:t>
            </w:r>
          </w:p>
        </w:tc>
      </w:tr>
      <w:tr w14:paraId="4C31601A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10FB0F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6B1A6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  <w:t>355.59万元</w:t>
            </w:r>
          </w:p>
        </w:tc>
      </w:tr>
    </w:tbl>
    <w:p w14:paraId="93B8F124"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三、收到和处理政府信息公开申请情况</w:t>
      </w:r>
    </w:p>
    <w:tbl>
      <w:tblPr>
        <w:tblStyle w:val="4"/>
        <w:tblpPr w:leftFromText="180" w:rightFromText="180" w:vertAnchor="text" w:horzAnchor="page" w:tblpX="1152" w:tblpY="816"/>
        <w:tblOverlap w:val="never"/>
        <w:tblW w:w="0" w:type="auto"/>
        <w:tblInd w:w="0" w:type="dxa"/>
        <w:tblBorders>
          <w:top w:val="single" w:color="A5A5A5" w:sz="6" w:space="0"/>
          <w:left w:val="single" w:color="A5A5A5" w:sz="6" w:space="0"/>
          <w:bottom w:val="single" w:color="A5A5A5" w:sz="6" w:space="0"/>
          <w:right w:val="single" w:color="A5A5A5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0"/>
        <w:gridCol w:w="941"/>
        <w:gridCol w:w="3205"/>
        <w:gridCol w:w="692"/>
        <w:gridCol w:w="692"/>
        <w:gridCol w:w="692"/>
        <w:gridCol w:w="692"/>
        <w:gridCol w:w="692"/>
        <w:gridCol w:w="692"/>
        <w:gridCol w:w="692"/>
      </w:tblGrid>
      <w:tr w14:paraId="2D6853C8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45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313167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ascii="楷体" w:hAnsi="楷体" w:eastAsia="楷体" w:cs="楷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（本列数据的勾稽关系为：第一项加第二项之和，等于第三项加第四项之和）</w:t>
            </w:r>
          </w:p>
        </w:tc>
        <w:tc>
          <w:tcPr>
            <w:tcW w:w="4995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404D41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申请人情况</w:t>
            </w:r>
          </w:p>
        </w:tc>
      </w:tr>
      <w:tr w14:paraId="09547A61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45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8EFB833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5848F1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自然人</w:t>
            </w:r>
          </w:p>
        </w:tc>
        <w:tc>
          <w:tcPr>
            <w:tcW w:w="3570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1DC463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法人或其他组织</w:t>
            </w:r>
          </w:p>
        </w:tc>
        <w:tc>
          <w:tcPr>
            <w:tcW w:w="720" w:type="dxa"/>
            <w:vMerge w:val="restart"/>
            <w:tcBorders>
              <w:top w:val="single" w:color="auto" w:sz="6" w:space="0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854619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总计</w:t>
            </w:r>
          </w:p>
        </w:tc>
      </w:tr>
      <w:tr w14:paraId="02B0EA3B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45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C211E1A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6D2E35C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F28CFB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商业</w:t>
            </w:r>
          </w:p>
          <w:p w14:paraId="03F7DB2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企业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35D657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科研</w:t>
            </w:r>
          </w:p>
          <w:p w14:paraId="6FEB78F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机构</w:t>
            </w:r>
          </w:p>
        </w:tc>
        <w:tc>
          <w:tcPr>
            <w:tcW w:w="7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1955CE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社会公益组织</w:t>
            </w:r>
          </w:p>
        </w:tc>
        <w:tc>
          <w:tcPr>
            <w:tcW w:w="7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87E29F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法律服务机构</w:t>
            </w:r>
          </w:p>
        </w:tc>
        <w:tc>
          <w:tcPr>
            <w:tcW w:w="7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39DF47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其他</w:t>
            </w:r>
          </w:p>
        </w:tc>
        <w:tc>
          <w:tcPr>
            <w:tcW w:w="720" w:type="dxa"/>
            <w:vMerge w:val="continue"/>
            <w:tcBorders>
              <w:top w:val="single" w:color="auto" w:sz="6" w:space="0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C0610D0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</w:tr>
      <w:tr w14:paraId="69DE065D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45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51375E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一、本年新收政府信息公开申请数量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25F49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A695A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03D47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7D73A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E4D2F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EF0E4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C028E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1</w:t>
            </w:r>
          </w:p>
        </w:tc>
      </w:tr>
      <w:tr w14:paraId="6133F3B6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45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79B541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二、上年结转政府信息公开申请数量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3BBEF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F51C2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D3742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3C412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51C47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F641B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2A0F4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</w:tr>
      <w:tr w14:paraId="6175804F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0" w:type="dxa"/>
            <w:vMerge w:val="restart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E0C591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三、本年度办理结果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E1FCC1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（一）予以公开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445F2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2C259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F780A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28397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33D67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2616A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7AE57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</w:tr>
      <w:tr w14:paraId="2CF6ADFE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0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FD3CFA5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0DB2AE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（二）部分公开</w:t>
            </w: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（区分处理的，只计这一情形，不计其他情形）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5E721C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693E3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8D09E6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87ABA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3F8055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09C76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05445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1</w:t>
            </w:r>
          </w:p>
        </w:tc>
      </w:tr>
      <w:tr w14:paraId="3B1C6729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0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A9DB724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3D157C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（三）不予公开</w:t>
            </w:r>
          </w:p>
        </w:tc>
        <w:tc>
          <w:tcPr>
            <w:tcW w:w="34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4A17E67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1.属于国家秘密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ADA968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F235E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B9A59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65452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E6056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C6459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F9CC7C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</w:tr>
      <w:tr w14:paraId="465E8E08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0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1402328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96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48F5FC6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34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4A9EC69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2.其他法律行政法规禁止公开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883F8D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8CED6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30A84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932A4C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D59DA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1107EE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CAA765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</w:tr>
      <w:tr w14:paraId="13C5DA0D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0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471892C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96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58B0D4A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34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786DF06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3.危及“三安全一稳定”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AD465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35D34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FD5FE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4394E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10908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2552F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61375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</w:tr>
      <w:tr w14:paraId="717B34C4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0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15EB6FF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96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2CD0E71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34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2F6069E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4.保护第三方合法权益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EAA18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15BC4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04D279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A6037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598C1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FCD0D0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5EB0F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</w:tr>
      <w:tr w14:paraId="1965D974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0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25ED1B2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96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B157826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34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5828505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5.属于三类内部事务信息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40608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384A8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B49DC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DCB73B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ECE3C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33592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8CF00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</w:tr>
      <w:tr w14:paraId="7F45E5A2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0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5A33360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96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FBD28CB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34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2A85226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6.属于四类过程性信息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8A622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7A126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508A6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E4FFCD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43836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09A3E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574D6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</w:tr>
      <w:tr w14:paraId="79E3AD4E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0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1534AE3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96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79DC813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34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3008179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7.属于行政执法案卷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6C238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2600B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F580A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1B397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8DE41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B9819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E8F448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</w:tr>
      <w:tr w14:paraId="6979D397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0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C18BB31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96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91C32A1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34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47D5321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8.属于行政查询事项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B4A22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DAC16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B386E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5D667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89A5D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647F1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1007A5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</w:tr>
      <w:tr w14:paraId="4C575AD1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0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BE30F19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039581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（四）无法提供</w:t>
            </w:r>
          </w:p>
        </w:tc>
        <w:tc>
          <w:tcPr>
            <w:tcW w:w="34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4A3C775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1.本机关不掌握相关政府信息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18DEE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66A40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B76FA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9354D1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68C4E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02E8A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1CA161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</w:tr>
      <w:tr w14:paraId="5557A591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0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4389CB4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96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DB96809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34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2F820D6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2.没有现成信息需要另行制作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5332EC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7A6F4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B2D69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23FCF5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751A34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A1788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CA4E6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</w:tr>
      <w:tr w14:paraId="2F1C3E32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0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0170C84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96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08B4887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34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15FF91B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3.补正后申请内容仍不明确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39601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09108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D676C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D4533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D34E6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D33AAE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A293B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</w:tr>
      <w:tr w14:paraId="6E4A1087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0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044CC0B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95F357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（五）不予处理</w:t>
            </w:r>
          </w:p>
        </w:tc>
        <w:tc>
          <w:tcPr>
            <w:tcW w:w="34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502F55E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1.信访举报投诉类申请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69CE1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A2461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C4CB0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9B2BD1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C90FF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882C1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BEF3D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</w:tr>
      <w:tr w14:paraId="461B315E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0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C1A6352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96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F200A63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34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4CF54BA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2.重复申请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A7785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AA2A7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0B629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9F53C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943B77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FC5D6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42E3B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</w:tr>
      <w:tr w14:paraId="2A702C4F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0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C173FFE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96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58ECE73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34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5038B97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3.要求提供公开出版物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E6912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22D97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A200E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91396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2F747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C39679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81B45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</w:tr>
      <w:tr w14:paraId="5961569E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0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2C03456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96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287CE5D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34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2F6B358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4.无正当理由大量反复申请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2690F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87712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4A491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6D25C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2FD70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96486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B29BEE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</w:tr>
      <w:tr w14:paraId="6E7085D0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780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530114B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96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F08E4DA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3405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1D0E93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5.要求行政机关确认或重新出具已获取信息</w:t>
            </w:r>
          </w:p>
        </w:tc>
        <w:tc>
          <w:tcPr>
            <w:tcW w:w="720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144F17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BB5A7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D954B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26895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1FE2A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DA9EA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994F1F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</w:tr>
      <w:tr w14:paraId="072D37C0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0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ADDC412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960" w:type="dxa"/>
            <w:vMerge w:val="restart"/>
            <w:tcBorders>
              <w:top w:val="outset" w:color="auto" w:sz="6" w:space="0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805B7F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（六）其他处理</w:t>
            </w:r>
          </w:p>
        </w:tc>
        <w:tc>
          <w:tcPr>
            <w:tcW w:w="34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374D13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1.申请人无正当理由逾期不补正、行政机关不再处理其政府信息公开申请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69B28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965496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F51E4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1F4C3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55B6F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AD754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7EDE6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</w:tr>
      <w:tr w14:paraId="6BA87A6B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0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9D2DF9D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960" w:type="dxa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9E0C7DE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34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5BBD6B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2.申请人逾期未按收费通知要求缴纳费用、行政机关不再处理其政府信息公开申请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D8791E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D2CB9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323DDE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E4867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DA3E9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7D886D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48B95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</w:tr>
      <w:tr w14:paraId="6276D42A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0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38043DD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960" w:type="dxa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6721684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34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A6EC92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3.其他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00FD2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ED561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84BE4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E08AC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951C0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CAF94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F4FD8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</w:tr>
      <w:tr w14:paraId="327E832A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0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21A844E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11F4A3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（七）总计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D6469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79132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9E250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5F070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3D73D5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AF3F8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196E7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1</w:t>
            </w:r>
          </w:p>
        </w:tc>
      </w:tr>
      <w:tr w14:paraId="18828CA3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45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DB8DBA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四、结转下年度继续办理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DDFB05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576D1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FDEEE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992D5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10FAB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6345F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B5A7B7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</w:tr>
    </w:tbl>
    <w:p w14:paraId="01A8DDBC">
      <w:pPr>
        <w:numPr>
          <w:ilvl w:val="0"/>
          <w:numId w:val="1"/>
        </w:numPr>
        <w:ind w:firstLine="320" w:firstLineChars="1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政府信息公开行政复议、行政诉讼情况</w:t>
      </w:r>
    </w:p>
    <w:p w14:paraId="6FB869B7">
      <w:pPr>
        <w:pStyle w:val="2"/>
        <w:keepNext/>
        <w:keepLines/>
        <w:widowControl w:val="0"/>
        <w:numPr>
          <w:ilvl w:val="0"/>
          <w:numId w:val="0"/>
        </w:numPr>
        <w:spacing w:before="340" w:after="330" w:line="578" w:lineRule="auto"/>
        <w:jc w:val="both"/>
        <w:outlineLvl w:val="0"/>
        <w:rPr>
          <w:rFonts w:hint="eastAsia"/>
        </w:rPr>
      </w:pPr>
    </w:p>
    <w:p w14:paraId="7F74F74C">
      <w:pPr>
        <w:rPr>
          <w:rFonts w:hint="eastAsia"/>
        </w:rPr>
      </w:pPr>
    </w:p>
    <w:tbl>
      <w:tblPr>
        <w:tblStyle w:val="4"/>
        <w:tblW w:w="0" w:type="auto"/>
        <w:jc w:val="center"/>
        <w:tblBorders>
          <w:top w:val="single" w:color="A5A5A5" w:sz="6" w:space="0"/>
          <w:left w:val="single" w:color="A5A5A5" w:sz="6" w:space="0"/>
          <w:bottom w:val="single" w:color="A5A5A5" w:sz="6" w:space="0"/>
          <w:right w:val="single" w:color="A5A5A5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</w:tblGrid>
      <w:tr w14:paraId="472D74D9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5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C42DAB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行政复议</w:t>
            </w:r>
          </w:p>
        </w:tc>
        <w:tc>
          <w:tcPr>
            <w:tcW w:w="6500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01C363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行政诉讼</w:t>
            </w:r>
          </w:p>
        </w:tc>
      </w:tr>
      <w:tr w14:paraId="22F3B000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5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306DEA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结果维持</w:t>
            </w:r>
          </w:p>
        </w:tc>
        <w:tc>
          <w:tcPr>
            <w:tcW w:w="65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FF60ED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结果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纠正</w:t>
            </w:r>
          </w:p>
        </w:tc>
        <w:tc>
          <w:tcPr>
            <w:tcW w:w="65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8C8299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其他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结果</w:t>
            </w:r>
          </w:p>
        </w:tc>
        <w:tc>
          <w:tcPr>
            <w:tcW w:w="65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830065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尚未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审结</w:t>
            </w:r>
          </w:p>
        </w:tc>
        <w:tc>
          <w:tcPr>
            <w:tcW w:w="65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7239F6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总计</w:t>
            </w:r>
          </w:p>
        </w:tc>
        <w:tc>
          <w:tcPr>
            <w:tcW w:w="325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25889D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未经复议直接起诉</w:t>
            </w:r>
          </w:p>
        </w:tc>
        <w:tc>
          <w:tcPr>
            <w:tcW w:w="325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FAE64E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复议后起诉</w:t>
            </w:r>
          </w:p>
        </w:tc>
      </w:tr>
      <w:tr w14:paraId="75602924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5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04F76F7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65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02F7DE8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65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EA9DB70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65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713A712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65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1C38EC5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584AE3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结果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维持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851BA5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结果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纠正</w:t>
            </w:r>
          </w:p>
        </w:tc>
        <w:tc>
          <w:tcPr>
            <w:tcW w:w="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E2D69F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其他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结果</w:t>
            </w:r>
          </w:p>
        </w:tc>
        <w:tc>
          <w:tcPr>
            <w:tcW w:w="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580FF7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尚未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审结</w:t>
            </w:r>
          </w:p>
        </w:tc>
        <w:tc>
          <w:tcPr>
            <w:tcW w:w="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772A6E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总计</w:t>
            </w:r>
          </w:p>
        </w:tc>
        <w:tc>
          <w:tcPr>
            <w:tcW w:w="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470F3B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结果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维持</w:t>
            </w:r>
          </w:p>
        </w:tc>
        <w:tc>
          <w:tcPr>
            <w:tcW w:w="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A6F29F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结果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纠正</w:t>
            </w:r>
          </w:p>
        </w:tc>
        <w:tc>
          <w:tcPr>
            <w:tcW w:w="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F8050E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其他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结果</w:t>
            </w:r>
          </w:p>
        </w:tc>
        <w:tc>
          <w:tcPr>
            <w:tcW w:w="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12ECF3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尚未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审结</w:t>
            </w:r>
          </w:p>
        </w:tc>
        <w:tc>
          <w:tcPr>
            <w:tcW w:w="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3D860C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总计</w:t>
            </w:r>
          </w:p>
        </w:tc>
      </w:tr>
      <w:tr w14:paraId="42941511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E45B7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878CA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9213E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1633C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47B7F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0B889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18DD0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7DF64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30741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3F33C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DF305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A3A56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A39AE1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F88E2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BFB84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</w:tr>
    </w:tbl>
    <w:p w14:paraId="9B6EFEA8"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五、存在的主要问题及改进情况</w:t>
      </w:r>
    </w:p>
    <w:p w14:paraId="B34985E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一是主动公开的深度和广度有待拓展。部分专业性较强的政策解读不够深入，未能充分满足公众需求；部分领域信息公开内容不够全面，存在公开死角。 二是信息公开的及时性仍需提升。个别信息在生成后未能在第一时间公开，导致信息发布滞后，影响公众获取信息的时效性。三是信息公开渠道的协同性不足。政府网站与政务新媒体之间的信息联动不够紧密，部分信息在不同平台发布存在时间差，不利于公众全面、及时获取信息。</w:t>
      </w:r>
    </w:p>
    <w:p w14:paraId="B75DD26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针对上述问题，我局将采取以下改进措施：一是深化信息公开内容。加强对政策法规的深度解读，运用案例分析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、图表解读等多种形式，提高解读的针对性和实用性；对重点领域信息进行全面梳理，进一步拓宽公开范围，确保信息公开无遗漏。二是优化信息公开流程。建立信息公开跟踪机制，明确信息公开各环节的时间节点，加强对信息发布的监督，确保信息及时公开。三是强化信息公开渠道协同。加强政府网站与政务新媒体的统筹管理，实现信息同步发布、资源共享，打造一体化的信息公开平台，提升公众信息获取体验。</w:t>
      </w:r>
    </w:p>
    <w:p w14:paraId="F84AE8F4"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六、其他需要报告的事项</w:t>
      </w:r>
    </w:p>
    <w:p w14:paraId="6B3BB4D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2024年度，我局未收取政府信息公开信息处理费，无其他需要报告的特殊事项。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FEDF66C"/>
    <w:multiLevelType w:val="singleLevel"/>
    <w:tmpl w:val="4FEDF66C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A2E2E4B"/>
    <w:rsid w:val="1E1324D0"/>
    <w:rsid w:val="266D6A9E"/>
    <w:rsid w:val="35E9128B"/>
    <w:rsid w:val="364D54B4"/>
    <w:rsid w:val="48BF5DBA"/>
    <w:rsid w:val="54492912"/>
    <w:rsid w:val="65D24FB8"/>
    <w:rsid w:val="67DF2AF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qFormat/>
    <w:uiPriority w:val="1"/>
  </w:style>
  <w:style w:type="table" w:default="1" w:styleId="4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7</Pages>
  <Words>1297</Words>
  <Characters>1361</Characters>
  <Paragraphs>109</Paragraphs>
  <TotalTime>7</TotalTime>
  <ScaleCrop>false</ScaleCrop>
  <LinksUpToDate>false</LinksUpToDate>
  <CharactersWithSpaces>1363</CharactersWithSpaces>
  <Application>WPS Office_12.1.0.19770_F1E327BC-269C-435d-A152-05C5408002CA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2025-02-08T01:52:00Z</dcterms:created>
  <dc:creator>BRQ-AN00</dc:creator>
  <cp:lastModifiedBy> 云霞</cp:lastModifiedBy>
  <dcterms:modified xsi:type="dcterms:W3CDTF">2025-02-12T01:05:00Z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EF645DA4FC27443093828DD6EE404112_13</vt:lpwstr>
  </property>
  <property fmtid="{D5CDD505-2E9C-101B-9397-08002B2CF9AE}" pid="3" name="KSOTemplateDocerSaveRecord">
    <vt:lpwstr>eyJoZGlkIjoiY2IzNzI0ZWY1MzhlNjgyODdiYWFkODg3YzgyZjk3ZWQiLCJ1c2VySWQiOiI0MTM3MDg1MTYifQ==</vt:lpwstr>
  </property>
  <property fmtid="{D5CDD505-2E9C-101B-9397-08002B2CF9AE}" pid="4" name="KSOProductBuildVer">
    <vt:lpwstr>2052-12.1.0.19770</vt:lpwstr>
  </property>
</Properties>
</file>