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F7F7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03DFC9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54E3D0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（结售汇业务退出</w:t>
      </w: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许可证</w:t>
      </w: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）</w:t>
      </w:r>
    </w:p>
    <w:p w14:paraId="55A3AE8C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lang w:eastAsia="zh-CN"/>
        </w:rPr>
      </w:pPr>
    </w:p>
    <w:p w14:paraId="12553F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4-7</w:t>
      </w:r>
    </w:p>
    <w:p w14:paraId="6D1D49FB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7CAB5F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无</w:t>
      </w:r>
    </w:p>
    <w:p w14:paraId="49DE1F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2C8045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《银行停办结售汇业务备案表》</w:t>
      </w:r>
    </w:p>
    <w:p w14:paraId="2B118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473CA4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08BE75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5C2F43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提交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《银行停办结售汇业务备案表》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人民银行。</w:t>
      </w:r>
    </w:p>
    <w:p w14:paraId="7CC023FE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4BA65B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0FA8C9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中国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人民银行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双鸭山市分行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，联系电话0469-4266036</w:t>
      </w:r>
    </w:p>
    <w:p w14:paraId="2A64D6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表格样例：</w:t>
      </w:r>
    </w:p>
    <w:p w14:paraId="026355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sectPr>
          <w:footerReference r:id="rId3" w:type="default"/>
          <w:pgSz w:w="11906" w:h="16838"/>
          <w:pgMar w:top="2098" w:right="1474" w:bottom="1984" w:left="1587" w:header="851" w:footer="992" w:gutter="0"/>
          <w:pgNumType w:fmt="numberInDash"/>
          <w:cols w:space="720" w:num="1"/>
          <w:docGrid w:type="lines" w:linePitch="312" w:charSpace="0"/>
        </w:sectPr>
      </w:pPr>
    </w:p>
    <w:p w14:paraId="78C949EB">
      <w:pPr>
        <w:spacing w:after="312" w:afterLines="100"/>
        <w:jc w:val="center"/>
        <w:rPr>
          <w:rFonts w:hint="eastAsia" w:ascii="仿宋" w:hAnsi="仿宋" w:eastAsia="仿宋" w:cs="仿宋"/>
          <w:b/>
          <w:bCs/>
          <w:color w:val="000000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color w:val="000000"/>
          <w:sz w:val="36"/>
          <w:szCs w:val="36"/>
        </w:rPr>
        <w:t>银行停办结售汇业务备案表</w:t>
      </w:r>
    </w:p>
    <w:tbl>
      <w:tblPr>
        <w:tblStyle w:val="4"/>
        <w:tblW w:w="846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4"/>
        <w:gridCol w:w="6"/>
        <w:gridCol w:w="2160"/>
        <w:gridCol w:w="898"/>
        <w:gridCol w:w="1622"/>
        <w:gridCol w:w="1980"/>
      </w:tblGrid>
      <w:tr w14:paraId="3C546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794" w:type="dxa"/>
            <w:noWrap w:val="0"/>
            <w:vAlign w:val="center"/>
          </w:tcPr>
          <w:p w14:paraId="7448B1D2"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备案银行</w:t>
            </w:r>
          </w:p>
        </w:tc>
        <w:tc>
          <w:tcPr>
            <w:tcW w:w="6666" w:type="dxa"/>
            <w:gridSpan w:val="5"/>
            <w:noWrap w:val="0"/>
            <w:vAlign w:val="center"/>
          </w:tcPr>
          <w:p w14:paraId="2270AE28">
            <w:pPr>
              <w:rPr>
                <w:rFonts w:hint="eastAsia" w:ascii="仿宋" w:hAnsi="仿宋" w:eastAsia="仿宋" w:cs="仿宋"/>
                <w:color w:val="00000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eastAsia="zh-CN"/>
              </w:rPr>
              <w:t>中国建设银行股份有限公司漠河支行</w:t>
            </w:r>
          </w:p>
        </w:tc>
      </w:tr>
      <w:tr w14:paraId="7A40A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794" w:type="dxa"/>
            <w:noWrap w:val="0"/>
            <w:vAlign w:val="center"/>
          </w:tcPr>
          <w:p w14:paraId="6555A9FC"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营业地址</w:t>
            </w:r>
          </w:p>
        </w:tc>
        <w:tc>
          <w:tcPr>
            <w:tcW w:w="6666" w:type="dxa"/>
            <w:gridSpan w:val="5"/>
            <w:noWrap w:val="0"/>
            <w:vAlign w:val="center"/>
          </w:tcPr>
          <w:p w14:paraId="6CDB4CD0">
            <w:pP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eastAsia="zh-CN"/>
              </w:rPr>
              <w:t>黑龙江省漠河市西林吉镇中华路</w:t>
            </w: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11路</w:t>
            </w:r>
          </w:p>
        </w:tc>
      </w:tr>
      <w:tr w14:paraId="3018E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1794" w:type="dxa"/>
            <w:noWrap w:val="0"/>
            <w:vAlign w:val="center"/>
          </w:tcPr>
          <w:p w14:paraId="04B48996"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金融许可证  机构编码</w:t>
            </w:r>
          </w:p>
        </w:tc>
        <w:tc>
          <w:tcPr>
            <w:tcW w:w="3064" w:type="dxa"/>
            <w:gridSpan w:val="3"/>
            <w:noWrap w:val="0"/>
            <w:vAlign w:val="top"/>
          </w:tcPr>
          <w:p w14:paraId="04E3EF4D">
            <w:pP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B0004S323270006</w:t>
            </w:r>
          </w:p>
        </w:tc>
        <w:tc>
          <w:tcPr>
            <w:tcW w:w="1622" w:type="dxa"/>
            <w:noWrap w:val="0"/>
            <w:vAlign w:val="center"/>
          </w:tcPr>
          <w:p w14:paraId="41937E13"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金融许可证编号</w:t>
            </w:r>
          </w:p>
        </w:tc>
        <w:tc>
          <w:tcPr>
            <w:tcW w:w="1980" w:type="dxa"/>
            <w:noWrap w:val="0"/>
            <w:vAlign w:val="top"/>
          </w:tcPr>
          <w:p w14:paraId="5080584A">
            <w:pP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00848358</w:t>
            </w:r>
          </w:p>
        </w:tc>
      </w:tr>
      <w:tr w14:paraId="788D2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4" w:type="dxa"/>
            <w:noWrap w:val="0"/>
            <w:vAlign w:val="top"/>
          </w:tcPr>
          <w:p w14:paraId="34762CF0"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批准机关</w:t>
            </w:r>
          </w:p>
        </w:tc>
        <w:tc>
          <w:tcPr>
            <w:tcW w:w="6666" w:type="dxa"/>
            <w:gridSpan w:val="5"/>
            <w:noWrap w:val="0"/>
            <w:vAlign w:val="top"/>
          </w:tcPr>
          <w:p w14:paraId="2EB26028">
            <w:pPr>
              <w:rPr>
                <w:rFonts w:hint="eastAsia" w:ascii="仿宋" w:hAnsi="仿宋" w:eastAsia="仿宋" w:cs="仿宋"/>
                <w:color w:val="00000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eastAsia="zh-CN"/>
              </w:rPr>
              <w:t>国家外汇管理局大兴安岭地区分局</w:t>
            </w:r>
          </w:p>
        </w:tc>
      </w:tr>
      <w:tr w14:paraId="0B063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  <w:gridSpan w:val="2"/>
            <w:noWrap w:val="0"/>
            <w:vAlign w:val="center"/>
          </w:tcPr>
          <w:p w14:paraId="1F1A2A80"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金融机构</w:t>
            </w:r>
          </w:p>
          <w:p w14:paraId="6CD632BB"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标识码</w:t>
            </w:r>
          </w:p>
        </w:tc>
        <w:tc>
          <w:tcPr>
            <w:tcW w:w="6660" w:type="dxa"/>
            <w:gridSpan w:val="4"/>
            <w:noWrap w:val="0"/>
            <w:vAlign w:val="center"/>
          </w:tcPr>
          <w:p w14:paraId="2F86E415">
            <w:pPr>
              <w:ind w:firstLine="240" w:firstLineChars="100"/>
              <w:rPr>
                <w:rFonts w:hint="eastAsia" w:ascii="仿宋" w:hAnsi="仿宋" w:eastAsia="仿宋" w:cs="仿宋"/>
                <w:color w:val="000000"/>
                <w:sz w:val="24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eastAsia="zh-CN"/>
              </w:rPr>
              <w:t>☑</w:t>
            </w:r>
            <w:r>
              <w:rPr>
                <w:rFonts w:hint="eastAsia" w:ascii="仿宋" w:hAnsi="仿宋" w:eastAsia="仿宋" w:cs="仿宋"/>
                <w:color w:val="000000"/>
                <w:sz w:val="24"/>
              </w:rPr>
              <w:t>已赋码  号码为：</w:t>
            </w: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232723000401</w:t>
            </w:r>
          </w:p>
          <w:p w14:paraId="722659ED">
            <w:pPr>
              <w:ind w:firstLine="240" w:firstLineChars="100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□未赋码</w:t>
            </w:r>
          </w:p>
        </w:tc>
      </w:tr>
      <w:tr w14:paraId="1DD4E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960" w:type="dxa"/>
            <w:gridSpan w:val="3"/>
            <w:noWrap w:val="0"/>
            <w:vAlign w:val="center"/>
          </w:tcPr>
          <w:p w14:paraId="0958756D"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授权停办结售汇业务的上级行名称</w:t>
            </w:r>
          </w:p>
        </w:tc>
        <w:tc>
          <w:tcPr>
            <w:tcW w:w="4500" w:type="dxa"/>
            <w:gridSpan w:val="3"/>
            <w:noWrap w:val="0"/>
            <w:vAlign w:val="center"/>
          </w:tcPr>
          <w:p w14:paraId="327E142C">
            <w:pPr>
              <w:rPr>
                <w:rFonts w:hint="eastAsia" w:ascii="仿宋" w:hAnsi="仿宋" w:eastAsia="仿宋" w:cs="仿宋"/>
                <w:color w:val="00000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eastAsia="zh-CN"/>
              </w:rPr>
              <w:t>中国建设银行股份有限公司大兴安岭分行</w:t>
            </w:r>
          </w:p>
        </w:tc>
      </w:tr>
      <w:tr w14:paraId="439AD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960" w:type="dxa"/>
            <w:gridSpan w:val="3"/>
            <w:noWrap w:val="0"/>
            <w:vAlign w:val="center"/>
          </w:tcPr>
          <w:p w14:paraId="66706368"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上级行授权时间</w:t>
            </w:r>
          </w:p>
        </w:tc>
        <w:tc>
          <w:tcPr>
            <w:tcW w:w="4500" w:type="dxa"/>
            <w:gridSpan w:val="3"/>
            <w:noWrap w:val="0"/>
            <w:vAlign w:val="center"/>
          </w:tcPr>
          <w:p w14:paraId="22CB699D">
            <w:pPr>
              <w:ind w:firstLine="240" w:firstLineChars="100"/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2023年11月15日</w:t>
            </w:r>
          </w:p>
        </w:tc>
      </w:tr>
      <w:tr w14:paraId="74AF9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960" w:type="dxa"/>
            <w:gridSpan w:val="3"/>
            <w:noWrap w:val="0"/>
            <w:vAlign w:val="center"/>
          </w:tcPr>
          <w:p w14:paraId="771004D4"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结售汇业务停办时间</w:t>
            </w:r>
          </w:p>
        </w:tc>
        <w:tc>
          <w:tcPr>
            <w:tcW w:w="4500" w:type="dxa"/>
            <w:gridSpan w:val="3"/>
            <w:noWrap w:val="0"/>
            <w:vAlign w:val="center"/>
          </w:tcPr>
          <w:p w14:paraId="67CBF0A5">
            <w:pPr>
              <w:ind w:firstLine="240" w:firstLineChars="100"/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2023年11月16日</w:t>
            </w:r>
          </w:p>
        </w:tc>
      </w:tr>
      <w:tr w14:paraId="1974A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5" w:hRule="atLeast"/>
        </w:trPr>
        <w:tc>
          <w:tcPr>
            <w:tcW w:w="3960" w:type="dxa"/>
            <w:gridSpan w:val="3"/>
            <w:noWrap w:val="0"/>
            <w:vAlign w:val="center"/>
          </w:tcPr>
          <w:p w14:paraId="70408C50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结售汇业务停办原因说明</w:t>
            </w:r>
          </w:p>
        </w:tc>
        <w:tc>
          <w:tcPr>
            <w:tcW w:w="4500" w:type="dxa"/>
            <w:gridSpan w:val="3"/>
            <w:noWrap w:val="0"/>
            <w:vAlign w:val="center"/>
          </w:tcPr>
          <w:p w14:paraId="5DAAE4B8">
            <w:pPr>
              <w:ind w:firstLine="720" w:firstLineChars="300"/>
              <w:jc w:val="both"/>
              <w:rPr>
                <w:rFonts w:hint="eastAsia" w:ascii="仿宋" w:hAnsi="仿宋" w:eastAsia="仿宋" w:cs="仿宋"/>
                <w:color w:val="00000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eastAsia="zh-CN"/>
              </w:rPr>
              <w:t>支行网点撤销</w:t>
            </w:r>
          </w:p>
        </w:tc>
      </w:tr>
      <w:tr w14:paraId="2476F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5" w:hRule="atLeast"/>
        </w:trPr>
        <w:tc>
          <w:tcPr>
            <w:tcW w:w="8460" w:type="dxa"/>
            <w:gridSpan w:val="6"/>
            <w:noWrap w:val="0"/>
            <w:vAlign w:val="top"/>
          </w:tcPr>
          <w:p w14:paraId="6AC92838"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  <w:p w14:paraId="35F14F85">
            <w:pPr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声明：</w:t>
            </w:r>
          </w:p>
          <w:p w14:paraId="338F86CF">
            <w:pPr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以上情况全部属实，如有不真实，愿承担由此引起的法律责任。</w:t>
            </w:r>
          </w:p>
          <w:p w14:paraId="1E2099DC">
            <w:pPr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  <w:p w14:paraId="66D84350">
            <w:pPr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 xml:space="preserve">                               备案银行（或上级行）签章</w:t>
            </w:r>
          </w:p>
          <w:p w14:paraId="1B1E5CE2">
            <w:pPr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  <w:p w14:paraId="38B80356">
            <w:pPr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 xml:space="preserve">                                </w:t>
            </w: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xx</w:t>
            </w:r>
            <w:r>
              <w:rPr>
                <w:rFonts w:hint="eastAsia" w:ascii="仿宋" w:hAnsi="仿宋" w:eastAsia="仿宋" w:cs="仿宋"/>
                <w:color w:val="000000"/>
                <w:sz w:val="24"/>
              </w:rPr>
              <w:t xml:space="preserve">年 </w:t>
            </w: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xx</w:t>
            </w:r>
            <w:r>
              <w:rPr>
                <w:rFonts w:hint="eastAsia" w:ascii="仿宋" w:hAnsi="仿宋" w:eastAsia="仿宋" w:cs="仿宋"/>
                <w:color w:val="000000"/>
                <w:sz w:val="24"/>
              </w:rPr>
              <w:t xml:space="preserve"> 月 </w:t>
            </w: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xx</w:t>
            </w:r>
            <w:r>
              <w:rPr>
                <w:rFonts w:hint="eastAsia" w:ascii="仿宋" w:hAnsi="仿宋" w:eastAsia="仿宋" w:cs="仿宋"/>
                <w:color w:val="000000"/>
                <w:sz w:val="24"/>
              </w:rPr>
              <w:t xml:space="preserve"> 日               </w:t>
            </w:r>
          </w:p>
        </w:tc>
      </w:tr>
    </w:tbl>
    <w:p w14:paraId="39D3DA32">
      <w:pPr>
        <w:rPr>
          <w:rFonts w:hint="eastAsia" w:ascii="仿宋" w:hAnsi="仿宋" w:eastAsia="仿宋" w:cs="仿宋"/>
          <w:b/>
          <w:color w:val="000000"/>
          <w:sz w:val="28"/>
          <w:szCs w:val="28"/>
        </w:rPr>
      </w:pPr>
    </w:p>
    <w:p w14:paraId="782143C6"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24"/>
        </w:rPr>
        <w:t>附注：“结售汇业务停办时间”是指正式停止办理结售汇业务的日期。</w:t>
      </w:r>
    </w:p>
    <w:p w14:paraId="0FE555FE">
      <w:pPr>
        <w:rPr>
          <w:rFonts w:hint="eastAsia" w:ascii="仿宋" w:hAnsi="仿宋" w:eastAsia="仿宋" w:cs="仿宋"/>
        </w:rPr>
      </w:pPr>
    </w:p>
    <w:sectPr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C9C162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5047615</wp:posOffset>
              </wp:positionH>
              <wp:positionV relativeFrom="paragraph">
                <wp:posOffset>-489585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E9114A5">
                          <w:pPr>
                            <w:pStyle w:val="2"/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97.45pt;margin-top:-38.5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GSnY7HZAAAADAEAAA8AAAAAAAAAAQAgAAAAIgAAAGRycy9kb3ducmV2Lnht&#10;bFBLAQIUABQAAAAIAIdO4kBrhfn7MQIAAGEEAAAOAAAAAAAAAAEAIAAAACgBAABkcnMvZTJvRG9j&#10;LnhtbFBLBQYAAAAABgAGAFkBAADL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E9114A5">
                    <w:pPr>
                      <w:pStyle w:val="2"/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</w:pP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000000"/>
    <w:rsid w:val="06E66BB4"/>
    <w:rsid w:val="13965E43"/>
    <w:rsid w:val="3C017FA9"/>
    <w:rsid w:val="4F4E09B7"/>
    <w:rsid w:val="6A587764"/>
    <w:rsid w:val="7CF21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样式1"/>
    <w:basedOn w:val="1"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423</Words>
  <Characters>482</Characters>
  <Lines>0</Lines>
  <Paragraphs>0</Paragraphs>
  <TotalTime>0</TotalTime>
  <ScaleCrop>false</ScaleCrop>
  <LinksUpToDate>false</LinksUpToDate>
  <CharactersWithSpaces>572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2024-05-11T03:11:00Z</dcterms:created>
  <dc:creator>Administrator</dc:creator>
  <cp:lastModifiedBy>白婧</cp:lastModifiedBy>
  <cp:lastPrinted>2024-11-18T08:12:00Z</cp:lastPrinted>
  <dcterms:modified xsi:type="dcterms:W3CDTF">2024-11-21T03:21:28Z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B4AFCA21D45D47E8AC665AF0388CE8A0_12</vt:lpwstr>
  </property>
</Properties>
</file>