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00" w:lineRule="exact"/>
        <w:rPr>
          <w:rFonts w:ascii="黑体" w:eastAsia="黑体" w:hAnsi="仿宋_GB2312" w:hint="eastAsia"/>
          <w:b w:val="0"/>
          <w:bCs w:val="0"/>
          <w:color w:val="auto"/>
        </w:rPr>
      </w:pPr>
      <w:bookmarkStart w:id="0" w:name="_GoBack"/>
      <w:bookmarkEnd w:id="0"/>
      <w:r>
        <w:rPr>
          <w:rFonts w:ascii="黑体" w:eastAsia="黑体" w:hAnsi="仿宋_GB2312" w:hint="eastAsia"/>
          <w:b w:val="0"/>
          <w:bCs w:val="0"/>
          <w:color w:val="auto"/>
        </w:rPr>
        <w:t>　　　　　　　　　　　　　　　　　</w:t>
      </w:r>
    </w:p>
    <w:p>
      <w:pPr>
        <w:spacing w:line="560" w:lineRule="exact"/>
        <w:rPr>
          <w:rFonts w:ascii="黑体" w:eastAsia="黑体" w:hAnsi="仿宋_GB2312" w:hint="eastAsia"/>
          <w:b w:val="0"/>
          <w:bCs w:val="0"/>
          <w:color w:val="auto"/>
        </w:rPr>
      </w:pPr>
    </w:p>
    <w:p>
      <w:pPr>
        <w:spacing w:line="560" w:lineRule="exact"/>
        <w:rPr>
          <w:rFonts w:ascii="黑体" w:eastAsia="黑体" w:hAnsi="仿宋_GB2312" w:hint="eastAsia"/>
          <w:b w:val="0"/>
          <w:bCs w:val="0"/>
          <w:color w:val="auto"/>
        </w:rPr>
      </w:pPr>
    </w:p>
    <w:p>
      <w:pPr>
        <w:rPr>
          <w:rFonts w:ascii="方正小标宋简体" w:eastAsia="方正小标宋简体" w:hAnsi="宋体" w:hint="eastAsia"/>
          <w:b w:val="0"/>
          <w:bCs w:val="0"/>
          <w:color w:val="auto"/>
          <w:w w:val="52"/>
          <w:sz w:val="11"/>
          <w:szCs w:val="11"/>
        </w:rPr>
      </w:pPr>
    </w:p>
    <w:p>
      <w:pPr>
        <w:rPr>
          <w:rFonts w:hint="eastAsia"/>
          <w:b w:val="0"/>
          <w:bCs w:val="0"/>
          <w:color w:val="auto"/>
        </w:rPr>
      </w:pPr>
    </w:p>
    <w:p>
      <w:pPr>
        <w:rPr>
          <w:rFonts w:hint="eastAsia"/>
          <w:b w:val="0"/>
          <w:bCs w:val="0"/>
          <w:color w:val="auto"/>
        </w:rPr>
      </w:pPr>
    </w:p>
    <w:p>
      <w:pPr>
        <w:rPr>
          <w:rFonts w:hint="eastAsia"/>
          <w:b w:val="0"/>
          <w:bCs w:val="0"/>
          <w:color w:val="auto"/>
        </w:rPr>
      </w:pPr>
      <w:r>
        <w:rPr>
          <w:b w:val="0"/>
          <w:bCs w:val="0"/>
          <w:color w:val="auto"/>
          <w:lang w:val="en-US" w:eastAsia="zh-CN"/>
        </w:rPr>
        <mc:AlternateContent>
          <mc:Choice Requires="wps">
            <w:drawing>
              <wp:anchor distT="0" distB="0" distL="114300" distR="114300" simplePos="0" relativeHeight="15" behindDoc="0" locked="0" layoutInCell="1" hidden="0" allowOverlap="1">
                <wp:simplePos x="0" y="0"/>
                <wp:positionH relativeFrom="page">
                  <wp:posOffset>1008380</wp:posOffset>
                </wp:positionH>
                <wp:positionV relativeFrom="margin">
                  <wp:posOffset>2486660</wp:posOffset>
                </wp:positionV>
                <wp:extent cx="5615940" cy="434340"/>
                <wp:effectExtent l="0" t="0" r="0" b="0"/>
                <wp:wrapNone/>
                <wp:docPr id="7" name="文本框 10"/>
                <wp:cNvGraphicFramePr>
                  <a:graphicFrameLocks noChangeAspect="0"/>
                </wp:cNvGraphicFramePr>
                <a:graphic>
                  <a:graphicData uri="http://schemas.microsoft.com/office/word/2010/wordprocessingShape">
                    <wps:wsp>
                      <wps:cNvSpPr/>
                      <wps:spPr>
                        <a:xfrm rot="0">
                          <a:off x="0" y="0"/>
                          <a:ext cx="5615940" cy="434340"/>
                        </a:xfrm>
                        <a:prstGeom prst="rect"/>
                        <a:noFill/>
                        <a:ln w="9525" cmpd="sng" cap="flat">
                          <a:noFill/>
                          <a:prstDash val="solid"/>
                          <a:miter/>
                        </a:ln>
                      </wps:spPr>
                      <wps:txbx id="8">
                        <w:txbxContent>
                          <w:p>
                            <w:pPr>
                              <w:jc w:val="center"/>
                              <w:rPr>
                                <w:rFonts w:ascii="Times New Roman" w:eastAsia="仿宋_GB2312" w:cs="Times New Roman" w:hAnsi="Times New Roman"/>
                              </w:rPr>
                            </w:pPr>
                            <w:r>
                              <w:rPr>
                                <w:rFonts w:ascii="Times New Roman" w:eastAsia="仿宋_GB2312" w:cs="Times New Roman" w:hAnsi="Times New Roman"/>
                              </w:rPr>
                              <w:t>双政办</w:t>
                            </w:r>
                            <w:r>
                              <w:rPr>
                                <w:rFonts w:ascii="Times New Roman" w:cs="Times New Roman" w:hAnsi="Times New Roman"/>
                              </w:rPr>
                              <w:t>规</w:t>
                            </w:r>
                            <w:r>
                              <w:rPr>
                                <w:rFonts w:ascii="Times New Roman" w:eastAsia="仿宋_GB2312" w:cs="Times New Roman" w:hAnsi="Times New Roman"/>
                              </w:rPr>
                              <w:t>〔</w:t>
                            </w:r>
                            <w:r>
                              <w:rPr>
                                <w:rFonts w:ascii="Times New Roman" w:eastAsia="仿宋_GB2312" w:cs="Times New Roman" w:hAnsi="Times New Roman"/>
                                <w:lang w:eastAsia="zh-CN"/>
                              </w:rPr>
                              <w:t>202</w:t>
                            </w:r>
                            <w:r>
                              <w:rPr>
                                <w:rFonts w:ascii="Times New Roman" w:cs="Times New Roman" w:hAnsi="Times New Roman" w:hint="eastAsia"/>
                                <w:lang w:val="en-US" w:eastAsia="zh-CN"/>
                              </w:rPr>
                              <w:t>4</w:t>
                            </w:r>
                            <w:r>
                              <w:rPr>
                                <w:rFonts w:ascii="Times New Roman" w:eastAsia="仿宋_GB2312" w:cs="Times New Roman" w:hAnsi="Times New Roman"/>
                              </w:rPr>
                              <w:t>〕</w:t>
                            </w:r>
                            <w:r>
                              <w:rPr>
                                <w:rFonts w:ascii="Times New Roman" w:cs="Times New Roman" w:hAnsi="Times New Roman"/>
                                <w:lang w:eastAsia="zh-CN"/>
                              </w:rPr>
                              <w:t>3</w:t>
                            </w:r>
                            <w:r>
                              <w:rPr>
                                <w:rFonts w:ascii="Times New Roman" w:eastAsia="仿宋_GB2312" w:cs="Times New Roman" w:hAnsi="Times New Roman"/>
                              </w:rPr>
                              <w:t>号</w:t>
                            </w:r>
                          </w:p>
                        </w:txbxContent>
                      </wps:txbx>
                      <wps:bodyPr vert="horz" wrap="square" lIns="0" tIns="144000" rIns="0" bIns="0" anchor="t" anchorCtr="0" upright="1">
                        <a:noAutofit/>
                      </wps:bodyPr>
                    </wps:wsp>
                  </a:graphicData>
                </a:graphic>
              </wp:anchor>
            </w:drawing>
          </mc:Choice>
          <mc:Fallback>
            <w:pict>
              <v:shape type="#_x0000_t202" id="文本框 10" o:spid="_x0000_s9" filled="f" stroked="f" style="position:absolute;margin-left:79.4pt;margin-top:195.8pt;width:442.2pt;height:34.20001pt;z-index:15;mso-position-horizontal:absolute;mso-position-horizontal-relative:page;mso-position-vertical:absolute;mso-position-vertical-relative:margin;mso-wrap-style:square;">
                <v:stroke color="#000000"/>
                <v:textbox id="848" inset="0mm,4mm,0mm,0mm" o:insetmode="custom" style="layout-flow:horizontal;v-text-anchor:top;">
                  <w:txbxContent>
                    <w:p>
                      <w:pPr>
                        <w:jc w:val="center"/>
                        <w:rPr>
                          <w:rFonts w:ascii="Times New Roman" w:eastAsia="仿宋_GB2312" w:cs="Times New Roman" w:hAnsi="Times New Roman"/>
                        </w:rPr>
                      </w:pPr>
                      <w:r>
                        <w:rPr>
                          <w:rFonts w:ascii="Times New Roman" w:eastAsia="仿宋_GB2312" w:cs="Times New Roman" w:hAnsi="Times New Roman"/>
                        </w:rPr>
                        <w:t>双政办</w:t>
                      </w:r>
                      <w:r>
                        <w:rPr>
                          <w:rFonts w:ascii="Times New Roman" w:cs="Times New Roman" w:hAnsi="Times New Roman"/>
                        </w:rPr>
                        <w:t>规</w:t>
                      </w:r>
                      <w:r>
                        <w:rPr>
                          <w:rFonts w:ascii="Times New Roman" w:eastAsia="仿宋_GB2312" w:cs="Times New Roman" w:hAnsi="Times New Roman"/>
                        </w:rPr>
                        <w:t>〔</w:t>
                      </w:r>
                      <w:r>
                        <w:rPr>
                          <w:rFonts w:ascii="Times New Roman" w:eastAsia="仿宋_GB2312" w:cs="Times New Roman" w:hAnsi="Times New Roman"/>
                          <w:lang w:eastAsia="zh-CN"/>
                        </w:rPr>
                        <w:t>202</w:t>
                      </w:r>
                      <w:r>
                        <w:rPr>
                          <w:rFonts w:ascii="Times New Roman" w:cs="Times New Roman" w:hAnsi="Times New Roman" w:hint="eastAsia"/>
                          <w:lang w:val="en-US" w:eastAsia="zh-CN"/>
                        </w:rPr>
                        <w:t>4</w:t>
                      </w:r>
                      <w:r>
                        <w:rPr>
                          <w:rFonts w:ascii="Times New Roman" w:eastAsia="仿宋_GB2312" w:cs="Times New Roman" w:hAnsi="Times New Roman"/>
                        </w:rPr>
                        <w:t>〕</w:t>
                      </w:r>
                      <w:r>
                        <w:rPr>
                          <w:rFonts w:ascii="Times New Roman" w:cs="Times New Roman" w:hAnsi="Times New Roman"/>
                          <w:lang w:eastAsia="zh-CN"/>
                        </w:rPr>
                        <w:t>3</w:t>
                      </w:r>
                      <w:r>
                        <w:rPr>
                          <w:rFonts w:ascii="Times New Roman" w:eastAsia="仿宋_GB2312" w:cs="Times New Roman" w:hAnsi="Times New Roman"/>
                        </w:rPr>
                        <w:t>号</w:t>
                      </w:r>
                    </w:p>
                  </w:txbxContent>
                </v:textbox>
              </v:shape>
            </w:pict>
          </mc:Fallback>
        </mc:AlternateContent>
      </w:r>
    </w:p>
    <w:p>
      <w:pPr>
        <w:keepNext w:val="0"/>
        <w:keepLines w:val="0"/>
        <w:pageBreakBefore w:val="0"/>
        <w:widowControl w:val="0"/>
        <w:kinsoku/>
        <w:wordWrap/>
        <w:overflowPunct/>
        <w:topLinePunct w:val="0"/>
        <w:autoSpaceDE/>
        <w:bidi w:val="0"/>
        <w:spacing w:line="560" w:lineRule="exact"/>
        <w:textAlignment w:val="auto"/>
        <w:rPr>
          <w:rFonts w:hint="eastAsia"/>
          <w:b w:val="0"/>
          <w:bCs w:val="0"/>
          <w:color w:val="auto"/>
        </w:rPr>
      </w:pPr>
    </w:p>
    <w:p>
      <w:pPr>
        <w:keepNext w:val="0"/>
        <w:keepLines w:val="0"/>
        <w:pageBreakBefore w:val="0"/>
        <w:widowControl w:val="0"/>
        <w:kinsoku/>
        <w:wordWrap/>
        <w:overflowPunct/>
        <w:topLinePunct w:val="0"/>
        <w:autoSpaceDE/>
        <w:bidi w:val="0"/>
        <w:spacing w:line="576" w:lineRule="exact"/>
        <w:textAlignment w:val="auto"/>
        <w:rPr>
          <w:rFonts w:hint="eastAsia"/>
          <w:b w:val="0"/>
          <w:bCs w:val="0"/>
          <w:color w:val="auto"/>
        </w:rPr>
      </w:pPr>
    </w:p>
    <w:p>
      <w:pPr>
        <w:keepNext w:val="0"/>
        <w:keepLines w:val="0"/>
        <w:pageBreakBefore w:val="0"/>
        <w:widowControl w:val="0"/>
        <w:kinsoku/>
        <w:wordWrap/>
        <w:overflowPunct/>
        <w:topLinePunct w:val="0"/>
        <w:autoSpaceDE/>
        <w:bidi w:val="0"/>
        <w:spacing w:line="576" w:lineRule="exact"/>
        <w:textAlignment w:val="auto"/>
        <w:rPr>
          <w:rFonts w:hint="eastAsia"/>
          <w:b w:val="0"/>
          <w:bCs w:val="0"/>
          <w:color w:val="auto"/>
        </w:rPr>
      </w:pPr>
    </w:p>
    <w:p>
      <w:pPr>
        <w:keepNext w:val="0"/>
        <w:keepLines w:val="0"/>
        <w:pageBreakBefore w:val="0"/>
        <w:widowControl w:val="0"/>
        <w:pBdr>
          <w:top w:val="none" w:sz="0" w:space="0" w:color="auto"/>
          <w:left w:val="none" w:sz="0" w:space="0" w:color="auto"/>
          <w:bottom w:val="none" w:sz="0" w:space="0" w:color="auto"/>
          <w:right w:val="none" w:sz="0" w:space="0" w:color="auto"/>
          <w:between w:val="none" w:sz="0" w:space="0" w:color="auto"/>
        </w:pBdr>
        <w:kinsoku/>
        <w:wordWrap/>
        <w:overflowPunct w:val="0"/>
        <w:topLinePunct/>
        <w:autoSpaceDE/>
        <w:autoSpaceDN/>
        <w:bidi w:val="0"/>
        <w:adjustRightInd/>
        <w:snapToGrid/>
        <w:spacing w:line="560" w:lineRule="exact"/>
        <w:contextualSpacing/>
        <w:jc w:val="center"/>
        <w:textAlignment w:val="auto"/>
        <w:rPr>
          <w:rFonts w:ascii="方正小标宋简体" w:eastAsia="方正小标宋简体" w:cs="仿宋" w:hAnsi="Times New Roman" w:hint="eastAsia"/>
          <w:b w:val="0"/>
          <w:bCs w:val="0"/>
          <w:color w:val="auto"/>
          <w:spacing w:val="0"/>
          <w:kern w:val="21"/>
          <w:sz w:val="44"/>
          <w:szCs w:val="44"/>
          <w:lang w:val="en-US" w:eastAsia="zh-CN"/>
        </w:rPr>
      </w:pPr>
      <w:r>
        <w:rPr>
          <w:rFonts w:ascii="方正小标宋简体" w:eastAsia="方正小标宋简体" w:cs="仿宋" w:hAnsi="Times New Roman" w:hint="eastAsia"/>
          <w:b w:val="0"/>
          <w:bCs w:val="0"/>
          <w:color w:val="auto"/>
          <w:spacing w:val="0"/>
          <w:kern w:val="21"/>
          <w:sz w:val="44"/>
          <w:szCs w:val="44"/>
          <w:lang w:val="en-US" w:eastAsia="zh-CN"/>
        </w:rPr>
        <w:t>双鸭山市人民政府办公室关于</w:t>
      </w:r>
    </w:p>
    <w:p>
      <w:pPr>
        <w:keepNext w:val="0"/>
        <w:keepLines w:val="0"/>
        <w:pageBreakBefore w:val="0"/>
        <w:widowControl w:val="0"/>
        <w:pBdr>
          <w:top w:val="none" w:sz="0" w:space="0" w:color="auto"/>
          <w:left w:val="none" w:sz="0" w:space="0" w:color="auto"/>
          <w:bottom w:val="none" w:sz="0" w:space="0" w:color="auto"/>
          <w:right w:val="none" w:sz="0" w:space="0" w:color="auto"/>
          <w:between w:val="none" w:sz="0" w:space="0" w:color="auto"/>
        </w:pBdr>
        <w:kinsoku/>
        <w:wordWrap/>
        <w:overflowPunct w:val="0"/>
        <w:topLinePunct/>
        <w:autoSpaceDE/>
        <w:autoSpaceDN/>
        <w:bidi w:val="0"/>
        <w:adjustRightInd/>
        <w:snapToGrid/>
        <w:spacing w:line="560" w:lineRule="exact"/>
        <w:contextualSpacing/>
        <w:jc w:val="center"/>
        <w:textAlignment w:val="auto"/>
        <w:rPr>
          <w:rFonts w:ascii="方正小标宋简体" w:eastAsia="方正小标宋简体" w:cs="仿宋" w:hAnsi="Times New Roman" w:hint="eastAsia"/>
          <w:b w:val="0"/>
          <w:bCs w:val="0"/>
          <w:color w:val="auto"/>
          <w:spacing w:val="0"/>
          <w:kern w:val="21"/>
          <w:sz w:val="44"/>
          <w:szCs w:val="44"/>
          <w:lang w:val="en-US" w:eastAsia="zh-CN"/>
        </w:rPr>
      </w:pPr>
      <w:r>
        <w:rPr>
          <w:rFonts w:ascii="方正小标宋简体" w:eastAsia="方正小标宋简体" w:cs="仿宋" w:hAnsi="Times New Roman" w:hint="eastAsia"/>
          <w:b w:val="0"/>
          <w:bCs w:val="0"/>
          <w:color w:val="auto"/>
          <w:spacing w:val="0"/>
          <w:kern w:val="21"/>
          <w:sz w:val="44"/>
          <w:szCs w:val="44"/>
          <w:lang w:val="en-US" w:eastAsia="zh-CN"/>
        </w:rPr>
        <w:t>《双鸭山市关于推进基本养老服务体系</w:t>
      </w:r>
    </w:p>
    <w:p>
      <w:pPr>
        <w:keepNext w:val="0"/>
        <w:keepLines w:val="0"/>
        <w:pageBreakBefore w:val="0"/>
        <w:widowControl w:val="0"/>
        <w:pBdr>
          <w:top w:val="none" w:sz="0" w:space="0" w:color="auto"/>
          <w:left w:val="none" w:sz="0" w:space="0" w:color="auto"/>
          <w:bottom w:val="none" w:sz="0" w:space="0" w:color="auto"/>
          <w:right w:val="none" w:sz="0" w:space="0" w:color="auto"/>
          <w:between w:val="none" w:sz="0" w:space="0" w:color="auto"/>
        </w:pBdr>
        <w:kinsoku/>
        <w:wordWrap/>
        <w:overflowPunct w:val="0"/>
        <w:topLinePunct/>
        <w:autoSpaceDE/>
        <w:autoSpaceDN/>
        <w:bidi w:val="0"/>
        <w:adjustRightInd/>
        <w:snapToGrid/>
        <w:spacing w:line="560" w:lineRule="exact"/>
        <w:contextualSpacing/>
        <w:jc w:val="center"/>
        <w:textAlignment w:val="auto"/>
        <w:rPr>
          <w:rFonts w:ascii="方正小标宋简体" w:eastAsia="方正小标宋简体" w:cs="仿宋" w:hAnsi="Times New Roman" w:hint="eastAsia"/>
          <w:b w:val="0"/>
          <w:bCs w:val="0"/>
          <w:color w:val="auto"/>
          <w:spacing w:val="0"/>
          <w:kern w:val="21"/>
          <w:sz w:val="44"/>
          <w:szCs w:val="44"/>
          <w:lang w:val="en-US" w:eastAsia="zh-CN"/>
        </w:rPr>
      </w:pPr>
      <w:r>
        <w:rPr>
          <w:rFonts w:ascii="方正小标宋简体" w:eastAsia="方正小标宋简体" w:cs="仿宋" w:hAnsi="Times New Roman" w:hint="eastAsia"/>
          <w:b w:val="0"/>
          <w:bCs w:val="0"/>
          <w:color w:val="auto"/>
          <w:spacing w:val="0"/>
          <w:kern w:val="21"/>
          <w:sz w:val="44"/>
          <w:szCs w:val="44"/>
          <w:lang w:val="en-US" w:eastAsia="zh-CN"/>
        </w:rPr>
        <w:t>建设的实施方案》的通知</w:t>
      </w:r>
    </w:p>
    <w:p>
      <w:pPr>
        <w:keepNext w:val="0"/>
        <w:keepLines w:val="0"/>
        <w:pageBreakBefore w:val="0"/>
        <w:widowControl w:val="0"/>
        <w:pBdr>
          <w:top w:val="none" w:sz="0" w:space="0" w:color="auto"/>
          <w:left w:val="none" w:sz="0" w:space="0" w:color="auto"/>
          <w:bottom w:val="none" w:sz="0" w:space="0" w:color="auto"/>
          <w:right w:val="none" w:sz="0" w:space="0" w:color="auto"/>
          <w:between w:val="none" w:sz="0" w:space="0" w:color="auto"/>
        </w:pBdr>
        <w:kinsoku/>
        <w:wordWrap/>
        <w:overflowPunct w:val="0"/>
        <w:topLinePunct/>
        <w:autoSpaceDE/>
        <w:autoSpaceDN/>
        <w:bidi w:val="0"/>
        <w:adjustRightInd/>
        <w:snapToGrid/>
        <w:spacing w:line="560" w:lineRule="exact"/>
        <w:jc w:val="center"/>
        <w:textAlignment w:val="auto"/>
        <w:rPr>
          <w:rFonts w:ascii="方正小标宋简体" w:eastAsia="方正小标宋简体" w:hAnsi="宋体" w:hint="eastAsia"/>
          <w:b w:val="0"/>
          <w:bCs w:val="0"/>
          <w:color w:val="auto"/>
          <w:spacing w:val="0"/>
          <w:kern w:val="21"/>
          <w:sz w:val="44"/>
          <w:szCs w:val="44"/>
        </w:rPr>
      </w:pPr>
    </w:p>
    <w:p>
      <w:pPr>
        <w:pStyle w:val="15"/>
        <w:keepNext w:val="0"/>
        <w:keepLines w:val="0"/>
        <w:pageBreakBefore w:val="0"/>
        <w:widowControl w:val="0"/>
        <w:kinsoku/>
        <w:wordWrap/>
        <w:overflowPunct w:val="0"/>
        <w:topLinePunct/>
        <w:autoSpaceDE/>
        <w:autoSpaceDN/>
        <w:bidi w:val="0"/>
        <w:adjustRightInd/>
        <w:snapToGrid/>
        <w:spacing w:before="0" w:after="0" w:line="560" w:lineRule="exact"/>
        <w:jc w:val="left"/>
        <w:textAlignment w:val="auto"/>
        <w:rPr>
          <w:rFonts w:ascii="仿宋_GB2312" w:eastAsia="仿宋_GB2312" w:cs="仿宋_GB2312" w:hAnsi="仿宋_GB2312" w:hint="eastAsia"/>
          <w:b w:val="0"/>
          <w:bCs w:val="0"/>
          <w:color w:val="auto"/>
          <w:kern w:val="21"/>
          <w:sz w:val="32"/>
          <w:szCs w:val="32"/>
          <w:shd w:val="clear" w:color="auto" w:fill="auto"/>
          <w:lang w:val="en-US" w:eastAsia="zh-CN" w:bidi="ar-SA"/>
        </w:rPr>
      </w:pPr>
      <w:r>
        <w:rPr>
          <w:rFonts w:ascii="仿宋_GB2312" w:eastAsia="仿宋_GB2312" w:cs="仿宋_GB2312" w:hAnsi="仿宋_GB2312" w:hint="eastAsia"/>
          <w:b w:val="0"/>
          <w:bCs w:val="0"/>
          <w:color w:val="auto"/>
          <w:kern w:val="21"/>
          <w:sz w:val="32"/>
          <w:szCs w:val="32"/>
          <w:shd w:val="clear" w:color="auto" w:fill="auto"/>
          <w:lang w:val="en-US" w:eastAsia="zh-CN" w:bidi="ar-SA"/>
        </w:rPr>
        <w:t>各县（区）人民政府，市政府直属各单位：</w:t>
      </w:r>
    </w:p>
    <w:p>
      <w:pPr>
        <w:pStyle w:val="15"/>
        <w:keepNext w:val="0"/>
        <w:keepLines w:val="0"/>
        <w:pageBreakBefore w:val="0"/>
        <w:widowControl w:val="0"/>
        <w:kinsoku/>
        <w:wordWrap/>
        <w:overflowPunct w:val="0"/>
        <w:topLinePunct/>
        <w:autoSpaceDE/>
        <w:autoSpaceDN/>
        <w:bidi w:val="0"/>
        <w:adjustRightInd/>
        <w:snapToGrid/>
        <w:spacing w:before="0" w:after="0" w:line="560" w:lineRule="exact"/>
        <w:jc w:val="left"/>
        <w:textAlignment w:val="auto"/>
        <w:rPr>
          <w:rFonts w:ascii="仿宋_GB2312" w:eastAsia="仿宋_GB2312" w:cs="仿宋_GB2312" w:hAnsi="仿宋_GB2312" w:hint="eastAsia"/>
          <w:b w:val="0"/>
          <w:bCs w:val="0"/>
          <w:color w:val="auto"/>
          <w:kern w:val="21"/>
          <w:sz w:val="32"/>
          <w:szCs w:val="32"/>
          <w:shd w:val="clear" w:color="auto" w:fill="auto"/>
          <w:lang w:val="en-US" w:eastAsia="zh-CN" w:bidi="ar-SA"/>
        </w:rPr>
      </w:pPr>
      <w:r>
        <w:rPr>
          <w:rFonts w:ascii="仿宋_GB2312" w:eastAsia="仿宋_GB2312" w:cs="仿宋_GB2312" w:hAnsi="仿宋_GB2312" w:hint="eastAsia"/>
          <w:b w:val="0"/>
          <w:bCs w:val="0"/>
          <w:color w:val="auto"/>
          <w:kern w:val="21"/>
          <w:sz w:val="32"/>
          <w:szCs w:val="32"/>
          <w:shd w:val="clear" w:color="auto" w:fill="auto"/>
          <w:lang w:val="en-US" w:eastAsia="zh-CN" w:bidi="ar-SA"/>
        </w:rPr>
        <w:t xml:space="preserve">    《双鸭山市关于推进基本养老服务体系建设的实施方案》已经</w:t>
      </w:r>
      <w:r>
        <w:rPr>
          <w:rFonts w:ascii="Times New Roman" w:cs="Times New Roman" w:hAnsi="Times New Roman"/>
          <w:b w:val="0"/>
          <w:bCs w:val="0"/>
          <w:color w:val="auto"/>
          <w:kern w:val="21"/>
          <w:sz w:val="32"/>
          <w:szCs w:val="32"/>
          <w:shd w:val="clear" w:color="auto" w:fill="auto"/>
          <w:lang w:eastAsia="zh-CN" w:bidi="ar-SA"/>
        </w:rPr>
        <w:t>2024年5月7日召开的</w:t>
      </w:r>
      <w:r>
        <w:rPr>
          <w:rFonts w:ascii="仿宋_GB2312" w:eastAsia="仿宋_GB2312" w:cs="仿宋_GB2312" w:hAnsi="仿宋_GB2312" w:hint="eastAsia"/>
          <w:b w:val="0"/>
          <w:bCs w:val="0"/>
          <w:color w:val="auto"/>
          <w:kern w:val="21"/>
          <w:sz w:val="32"/>
          <w:szCs w:val="32"/>
          <w:shd w:val="clear" w:color="auto" w:fill="auto"/>
          <w:lang w:val="en-US" w:eastAsia="zh-CN" w:bidi="ar-SA"/>
        </w:rPr>
        <w:t>市政府</w:t>
      </w:r>
      <w:r>
        <w:rPr>
          <w:rFonts w:ascii="仿宋_GB2312" w:cs="仿宋_GB2312" w:hAnsi="仿宋_GB2312"/>
          <w:b w:val="0"/>
          <w:bCs w:val="0"/>
          <w:color w:val="auto"/>
          <w:kern w:val="21"/>
          <w:sz w:val="32"/>
          <w:szCs w:val="32"/>
          <w:shd w:val="clear" w:color="auto" w:fill="auto"/>
          <w:lang w:eastAsia="zh-CN" w:bidi="ar-SA"/>
        </w:rPr>
        <w:t>第三十次常务会议审议通过</w:t>
      </w:r>
      <w:r>
        <w:rPr>
          <w:rFonts w:ascii="仿宋_GB2312" w:eastAsia="仿宋_GB2312" w:cs="仿宋_GB2312" w:hAnsi="仿宋_GB2312" w:hint="eastAsia"/>
          <w:b w:val="0"/>
          <w:bCs w:val="0"/>
          <w:color w:val="auto"/>
          <w:kern w:val="21"/>
          <w:sz w:val="32"/>
          <w:szCs w:val="32"/>
          <w:shd w:val="clear" w:color="auto" w:fill="auto"/>
          <w:lang w:val="en-US" w:eastAsia="zh-CN" w:bidi="ar-SA"/>
        </w:rPr>
        <w:t>，现印发给你们，请</w:t>
      </w:r>
      <w:r>
        <w:rPr>
          <w:rFonts w:ascii="仿宋_GB2312" w:cs="仿宋_GB2312" w:hAnsi="仿宋_GB2312"/>
          <w:b w:val="0"/>
          <w:bCs w:val="0"/>
          <w:color w:val="auto"/>
          <w:kern w:val="21"/>
          <w:sz w:val="32"/>
          <w:szCs w:val="32"/>
          <w:shd w:val="clear" w:color="auto" w:fill="auto"/>
          <w:lang w:eastAsia="zh-CN" w:bidi="ar-SA"/>
        </w:rPr>
        <w:t>结合实际，</w:t>
      </w:r>
      <w:r>
        <w:rPr>
          <w:rFonts w:ascii="仿宋_GB2312" w:eastAsia="仿宋_GB2312" w:cs="仿宋_GB2312" w:hAnsi="仿宋_GB2312" w:hint="eastAsia"/>
          <w:b w:val="0"/>
          <w:bCs w:val="0"/>
          <w:color w:val="auto"/>
          <w:kern w:val="21"/>
          <w:sz w:val="32"/>
          <w:szCs w:val="32"/>
          <w:shd w:val="clear" w:color="auto" w:fill="auto"/>
          <w:lang w:val="en-US" w:eastAsia="zh-CN" w:bidi="ar-SA"/>
        </w:rPr>
        <w:t>认真贯彻执行。</w:t>
      </w:r>
    </w:p>
    <w:p>
      <w:pPr>
        <w:keepNext w:val="0"/>
        <w:keepLines w:val="0"/>
        <w:pageBreakBefore w:val="0"/>
        <w:widowControl w:val="0"/>
        <w:pBdr>
          <w:top w:val="none" w:sz="0" w:space="0" w:color="auto"/>
          <w:left w:val="none" w:sz="0" w:space="0" w:color="auto"/>
          <w:bottom w:val="none" w:sz="0" w:space="0" w:color="auto"/>
          <w:right w:val="none" w:sz="0" w:space="0" w:color="auto"/>
          <w:between w:val="none" w:sz="0" w:space="0" w:color="auto"/>
        </w:pBdr>
        <w:kinsoku/>
        <w:wordWrap/>
        <w:overflowPunct w:val="0"/>
        <w:topLinePunct/>
        <w:autoSpaceDE/>
        <w:autoSpaceDN/>
        <w:bidi w:val="0"/>
        <w:adjustRightInd/>
        <w:snapToGrid/>
        <w:spacing w:line="560" w:lineRule="exact"/>
        <w:ind w:firstLineChars="1200" w:firstLine="3790"/>
        <w:jc w:val="left"/>
        <w:textAlignment w:val="auto"/>
        <w:rPr>
          <w:rFonts w:ascii="仿宋" w:eastAsia="仿宋" w:hAnsi="仿宋" w:hint="eastAsia"/>
          <w:b w:val="0"/>
          <w:bCs w:val="0"/>
          <w:color w:val="auto"/>
          <w:spacing w:val="0"/>
          <w:kern w:val="21"/>
          <w:sz w:val="32"/>
          <w:szCs w:val="32"/>
          <w:lang w:val="en-US" w:eastAsia="zh-CN"/>
        </w:rPr>
      </w:pPr>
    </w:p>
    <w:p>
      <w:pPr>
        <w:pStyle w:val="15"/>
        <w:keepNext w:val="0"/>
        <w:keepLines w:val="0"/>
        <w:pageBreakBefore w:val="0"/>
        <w:widowControl w:val="0"/>
        <w:kinsoku/>
        <w:wordWrap/>
        <w:overflowPunct w:val="0"/>
        <w:topLinePunct/>
        <w:autoSpaceDE/>
        <w:autoSpaceDN/>
        <w:bidi w:val="0"/>
        <w:adjustRightInd/>
        <w:snapToGrid/>
        <w:spacing w:before="0" w:after="0" w:line="560" w:lineRule="exact"/>
        <w:textAlignment w:val="auto"/>
        <w:rPr>
          <w:rFonts w:hint="eastAsia"/>
          <w:lang w:val="en-US" w:eastAsia="zh-CN"/>
        </w:rPr>
      </w:pPr>
    </w:p>
    <w:p>
      <w:pPr>
        <w:keepNext w:val="0"/>
        <w:keepLines w:val="0"/>
        <w:pageBreakBefore w:val="0"/>
        <w:widowControl w:val="0"/>
        <w:pBdr>
          <w:top w:val="none" w:sz="0" w:space="0" w:color="auto"/>
          <w:left w:val="none" w:sz="0" w:space="0" w:color="auto"/>
          <w:bottom w:val="none" w:sz="0" w:space="0" w:color="auto"/>
          <w:right w:val="none" w:sz="0" w:space="0" w:color="auto"/>
          <w:between w:val="none" w:sz="0" w:space="0" w:color="auto"/>
        </w:pBdr>
        <w:kinsoku/>
        <w:wordWrap/>
        <w:overflowPunct w:val="0"/>
        <w:topLinePunct/>
        <w:autoSpaceDE/>
        <w:autoSpaceDN/>
        <w:bidi w:val="0"/>
        <w:adjustRightInd/>
        <w:snapToGrid/>
        <w:spacing w:line="560" w:lineRule="exact"/>
        <w:ind w:firstLineChars="1400" w:firstLine="4422"/>
        <w:jc w:val="left"/>
        <w:textAlignment w:val="auto"/>
        <w:rPr>
          <w:rFonts w:ascii="仿宋_GB2312" w:eastAsia="仿宋_GB2312" w:cs="仿宋_GB2312" w:hAnsi="仿宋_GB2312" w:hint="eastAsia"/>
          <w:b w:val="0"/>
          <w:bCs w:val="0"/>
          <w:color w:val="auto"/>
          <w:spacing w:val="0"/>
          <w:kern w:val="21"/>
          <w:sz w:val="32"/>
          <w:szCs w:val="32"/>
          <w:lang w:val="en-US" w:eastAsia="zh-CN"/>
        </w:rPr>
      </w:pPr>
      <w:r>
        <w:rPr>
          <w:rFonts w:ascii="仿宋_GB2312" w:eastAsia="仿宋_GB2312" w:cs="仿宋_GB2312" w:hAnsi="仿宋_GB2312" w:hint="eastAsia"/>
          <w:b w:val="0"/>
          <w:bCs w:val="0"/>
          <w:color w:val="auto"/>
          <w:spacing w:val="0"/>
          <w:kern w:val="21"/>
          <w:sz w:val="32"/>
          <w:szCs w:val="32"/>
          <w:lang w:val="en-US" w:eastAsia="zh-CN"/>
        </w:rPr>
        <w:t>双鸭山市人民政府办公室</w:t>
      </w:r>
    </w:p>
    <w:p>
      <w:pPr>
        <w:keepNext w:val="0"/>
        <w:keepLines w:val="0"/>
        <w:pageBreakBefore w:val="0"/>
        <w:widowControl w:val="0"/>
        <w:pBdr>
          <w:top w:val="none" w:sz="0" w:space="0" w:color="auto"/>
          <w:left w:val="none" w:sz="0" w:space="0" w:color="auto"/>
          <w:bottom w:val="none" w:sz="0" w:space="0" w:color="auto"/>
          <w:right w:val="none" w:sz="0" w:space="0" w:color="auto"/>
          <w:between w:val="none" w:sz="0" w:space="0" w:color="auto"/>
        </w:pBdr>
        <w:kinsoku/>
        <w:wordWrap/>
        <w:overflowPunct w:val="0"/>
        <w:topLinePunct/>
        <w:autoSpaceDE/>
        <w:autoSpaceDN/>
        <w:bidi w:val="0"/>
        <w:adjustRightInd/>
        <w:snapToGrid/>
        <w:spacing w:line="560" w:lineRule="exact"/>
        <w:ind w:firstLineChars="1600" w:firstLine="5054"/>
        <w:jc w:val="left"/>
        <w:textAlignment w:val="auto"/>
        <w:rPr>
          <w:rFonts w:ascii="Times New Roman" w:eastAsia="仿宋" w:cs="Times New Roman" w:hAnsi="Times New Roman"/>
          <w:b w:val="0"/>
          <w:bCs w:val="0"/>
          <w:color w:val="auto"/>
          <w:spacing w:val="0"/>
          <w:kern w:val="21"/>
          <w:sz w:val="44"/>
          <w:szCs w:val="44"/>
          <w:lang w:eastAsia="zh-CN"/>
        </w:rPr>
      </w:pPr>
      <w:r>
        <w:rPr>
          <w:rFonts w:ascii="Times New Roman" w:eastAsia="仿宋" w:cs="Times New Roman" w:hAnsi="Times New Roman"/>
          <w:b w:val="0"/>
          <w:bCs w:val="0"/>
          <w:color w:val="auto"/>
          <w:spacing w:val="0"/>
          <w:kern w:val="21"/>
          <w:sz w:val="32"/>
          <w:szCs w:val="32"/>
          <w:lang w:val="en-US" w:eastAsia="zh-CN"/>
        </w:rPr>
        <w:t>2024年</w:t>
      </w:r>
      <w:r>
        <w:rPr>
          <w:rFonts w:ascii="Times New Roman" w:eastAsia="仿宋" w:cs="Times New Roman" w:hAnsi="Times New Roman"/>
          <w:b w:val="0"/>
          <w:bCs w:val="0"/>
          <w:color w:val="auto"/>
          <w:spacing w:val="0"/>
          <w:kern w:val="21"/>
          <w:sz w:val="32"/>
          <w:szCs w:val="32"/>
          <w:lang w:eastAsia="zh-CN"/>
        </w:rPr>
        <w:t>5</w:t>
      </w:r>
      <w:r>
        <w:rPr>
          <w:rFonts w:ascii="Times New Roman" w:eastAsia="仿宋" w:cs="Times New Roman" w:hAnsi="Times New Roman"/>
          <w:b w:val="0"/>
          <w:bCs w:val="0"/>
          <w:color w:val="auto"/>
          <w:spacing w:val="0"/>
          <w:kern w:val="21"/>
          <w:sz w:val="32"/>
          <w:szCs w:val="32"/>
          <w:lang w:val="en-US" w:eastAsia="zh-CN"/>
        </w:rPr>
        <w:t>月</w:t>
      </w:r>
      <w:r>
        <w:rPr>
          <w:rFonts w:ascii="Times New Roman" w:eastAsia="仿宋" w:cs="Times New Roman" w:hAnsi="Times New Roman"/>
          <w:b w:val="0"/>
          <w:bCs w:val="0"/>
          <w:color w:val="auto"/>
          <w:spacing w:val="0"/>
          <w:kern w:val="21"/>
          <w:sz w:val="32"/>
          <w:szCs w:val="32"/>
          <w:lang w:eastAsia="zh-CN"/>
        </w:rPr>
        <w:t>20</w:t>
      </w:r>
      <w:r>
        <w:rPr>
          <w:rFonts w:ascii="Times New Roman" w:eastAsia="仿宋" w:cs="Times New Roman" w:hAnsi="Times New Roman"/>
          <w:b w:val="0"/>
          <w:bCs w:val="0"/>
          <w:color w:val="auto"/>
          <w:spacing w:val="0"/>
          <w:kern w:val="21"/>
          <w:sz w:val="32"/>
          <w:szCs w:val="32"/>
          <w:lang w:val="en-US" w:eastAsia="zh-CN"/>
        </w:rPr>
        <w:t>日</w:t>
      </w:r>
      <w:r>
        <w:rPr>
          <w:rFonts w:ascii="Times New Roman" w:eastAsia="仿宋" w:cs="Times New Roman" w:hAnsi="Times New Roman"/>
          <w:b w:val="0"/>
          <w:bCs w:val="0"/>
          <w:color w:val="auto"/>
          <w:spacing w:val="0"/>
          <w:kern w:val="21"/>
          <w:sz w:val="32"/>
          <w:szCs w:val="32"/>
          <w:lang w:eastAsia="zh-CN"/>
        </w:rPr>
        <w:t>　　　　</w:t>
      </w:r>
    </w:p>
    <w:p>
      <w:pPr>
        <w:keepNext w:val="0"/>
        <w:keepLines w:val="0"/>
        <w:pageBreakBefore w:val="0"/>
        <w:widowControl w:val="0"/>
        <w:pBdr>
          <w:top w:val="none" w:sz="0" w:space="0" w:color="auto"/>
          <w:left w:val="none" w:sz="0" w:space="0" w:color="auto"/>
          <w:bottom w:val="none" w:sz="0" w:space="0" w:color="auto"/>
          <w:right w:val="none" w:sz="0" w:space="0" w:color="auto"/>
          <w:between w:val="none" w:sz="0" w:space="0" w:color="auto"/>
        </w:pBdr>
        <w:kinsoku/>
        <w:wordWrap/>
        <w:overflowPunct w:val="0"/>
        <w:topLinePunct/>
        <w:autoSpaceDE/>
        <w:autoSpaceDN/>
        <w:bidi w:val="0"/>
        <w:adjustRightInd/>
        <w:snapToGrid/>
        <w:spacing w:line="560" w:lineRule="exact"/>
        <w:jc w:val="both"/>
        <w:textAlignment w:val="auto"/>
        <w:rPr>
          <w:rFonts w:ascii="方正小标宋简体" w:eastAsia="方正小标宋简体" w:cs="方正小标宋简体" w:hAnsi="方正小标宋简体" w:hint="eastAsia"/>
          <w:b w:val="0"/>
          <w:bCs w:val="0"/>
          <w:color w:val="auto"/>
          <w:spacing w:val="0"/>
          <w:kern w:val="21"/>
          <w:sz w:val="44"/>
          <w:szCs w:val="44"/>
        </w:rPr>
      </w:pPr>
    </w:p>
    <w:p>
      <w:pPr>
        <w:keepNext w:val="0"/>
        <w:keepLines w:val="0"/>
        <w:pageBreakBefore w:val="0"/>
        <w:widowControl w:val="0"/>
        <w:pBdr>
          <w:top w:val="none" w:sz="0" w:space="0" w:color="auto"/>
          <w:left w:val="none" w:sz="0" w:space="0" w:color="auto"/>
          <w:bottom w:val="none" w:sz="0" w:space="0" w:color="auto"/>
          <w:right w:val="none" w:sz="0" w:space="0" w:color="auto"/>
          <w:between w:val="none" w:sz="0" w:space="0" w:color="auto"/>
        </w:pBdr>
        <w:kinsoku/>
        <w:wordWrap/>
        <w:overflowPunct/>
        <w:topLinePunct w:val="0"/>
        <w:autoSpaceDE/>
        <w:autoSpaceDN/>
        <w:bidi w:val="0"/>
        <w:adjustRightInd/>
        <w:snapToGrid/>
        <w:spacing w:line="560" w:lineRule="exact"/>
        <w:contextualSpacing/>
        <w:jc w:val="center"/>
        <w:textAlignment w:val="auto"/>
        <w:rPr>
          <w:rFonts w:ascii="方正小标宋简体" w:eastAsia="方正小标宋简体" w:cs="仿宋" w:hAnsi="Times New Roman" w:hint="eastAsia"/>
          <w:b w:val="0"/>
          <w:bCs w:val="0"/>
          <w:color w:val="auto"/>
          <w:spacing w:val="0"/>
          <w:kern w:val="21"/>
          <w:sz w:val="44"/>
          <w:szCs w:val="44"/>
        </w:rPr>
      </w:pPr>
    </w:p>
    <w:p>
      <w:pPr>
        <w:pStyle w:val="1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Ansi="方正小标宋简体"/>
          <w:color w:val="auto"/>
          <w:spacing w:val="17"/>
          <w:sz w:val="44"/>
          <w:szCs w:val="44"/>
          <w:u w:val="none"/>
          <w:lang w:val="en-US" w:eastAsia="zh-CN"/>
          <w:highlight w:val="auto"/>
        </w:rPr>
      </w:pPr>
      <w:r>
        <w:rPr>
          <w:rFonts w:ascii="方正小标宋简体" w:eastAsia="方正小标宋简体" w:cs="方正小标宋简体" w:hAnsi="方正小标宋简体"/>
          <w:color w:val="auto"/>
          <w:spacing w:val="17"/>
          <w:sz w:val="44"/>
          <w:szCs w:val="44"/>
          <w:u w:val="none"/>
          <w:lang w:val="en-US" w:eastAsia="zh-CN"/>
          <w:highlight w:val="auto"/>
        </w:rPr>
        <w:t>双鸭山市关于推进基本</w:t>
      </w:r>
    </w:p>
    <w:p>
      <w:pPr>
        <w:pStyle w:val="17"/>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Ansi="方正小标宋简体" w:hint="eastAsia"/>
          <w:b w:val="0"/>
          <w:bCs w:val="0"/>
          <w:color w:val="auto"/>
          <w:spacing w:val="17"/>
          <w:kern w:val="2"/>
          <w:sz w:val="44"/>
          <w:szCs w:val="44"/>
          <w:u w:val="none"/>
          <w:lang w:val="en-US" w:eastAsia="zh-CN" w:bidi="ar-SA"/>
          <w:highlight w:val="auto"/>
        </w:rPr>
      </w:pPr>
      <w:r>
        <w:rPr>
          <w:rFonts w:ascii="方正小标宋简体" w:eastAsia="方正小标宋简体" w:cs="方正小标宋简体" w:hAnsi="方正小标宋简体"/>
          <w:color w:val="auto"/>
          <w:spacing w:val="17"/>
          <w:sz w:val="44"/>
          <w:szCs w:val="44"/>
          <w:u w:val="none"/>
          <w:lang w:val="en-US" w:eastAsia="zh-CN"/>
          <w:highlight w:val="auto"/>
        </w:rPr>
        <w:t>养老服务体系建设的实施方案</w:t>
      </w:r>
    </w:p>
    <w:p>
      <w:pPr>
        <w:pStyle w:val="15"/>
        <w:keepNext w:val="0"/>
        <w:keepLines w:val="0"/>
        <w:pageBreakBefore w:val="0"/>
        <w:widowControl w:val="0"/>
        <w:kinsoku/>
        <w:wordWrap/>
        <w:overflowPunct w:val="0"/>
        <w:topLinePunct/>
        <w:autoSpaceDE/>
        <w:autoSpaceDN/>
        <w:bidi w:val="0"/>
        <w:adjustRightInd/>
        <w:snapToGrid/>
        <w:spacing w:before="0" w:after="0" w:line="560" w:lineRule="exact"/>
        <w:jc w:val="both"/>
        <w:textAlignment w:val="auto"/>
        <w:rPr>
          <w:spacing w:val="0"/>
          <w:sz w:val="32"/>
          <w:szCs w:val="32"/>
        </w:rPr>
      </w:pP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仿宋_GB2312" w:eastAsia="仿宋_GB2312" w:cs="仿宋_GB2312" w:hAnsi="仿宋_GB2312" w:hint="eastAsia"/>
          <w:b w:val="0"/>
          <w:bCs w:val="0"/>
          <w:color w:val="auto"/>
          <w:spacing w:val="0"/>
          <w:kern w:val="2"/>
          <w:sz w:val="32"/>
          <w:szCs w:val="32"/>
          <w:u w:val="none"/>
          <w:lang w:val="en-US" w:eastAsia="zh-CN" w:bidi="ar-SA"/>
          <w:highlight w:val="auto"/>
        </w:rPr>
      </w:pPr>
      <w:r>
        <w:rPr>
          <w:rFonts w:ascii="仿宋_GB2312" w:eastAsia="仿宋_GB2312" w:cs="仿宋_GB2312" w:hAnsi="仿宋_GB2312" w:hint="eastAsia"/>
          <w:b w:val="0"/>
          <w:bCs w:val="0"/>
          <w:color w:val="auto"/>
          <w:spacing w:val="0"/>
          <w:kern w:val="2"/>
          <w:sz w:val="32"/>
          <w:szCs w:val="32"/>
          <w:u w:val="none"/>
          <w:lang w:val="en-US" w:eastAsia="zh-CN" w:bidi="ar-SA"/>
          <w:highlight w:val="auto"/>
        </w:rPr>
        <w:t>为深入贯彻落实《中共中央办公厅、国务院办公厅印发〈关于推进基本养老服务体系建设的意见〉的通知》（中办发〔</w:t>
      </w:r>
      <w:r>
        <w:rPr>
          <w:rFonts w:ascii="Times New Roman" w:eastAsia="仿宋_GB2312" w:cs="Times New Roman" w:hAnsi="Times New Roman"/>
          <w:b w:val="0"/>
          <w:bCs w:val="0"/>
          <w:color w:val="auto"/>
          <w:spacing w:val="0"/>
          <w:kern w:val="2"/>
          <w:sz w:val="32"/>
          <w:szCs w:val="32"/>
          <w:u w:val="none"/>
          <w:lang w:val="en-US" w:eastAsia="zh-CN" w:bidi="ar-SA"/>
          <w:highlight w:val="auto"/>
        </w:rPr>
        <w:t>2022〕42号）及《</w:t>
      </w:r>
      <w:r>
        <w:rPr>
          <w:rFonts w:ascii="Times New Roman" w:cs="Times New Roman" w:hAnsi="Times New Roman"/>
          <w:b w:val="0"/>
          <w:bCs w:val="0"/>
          <w:color w:val="auto"/>
          <w:spacing w:val="0"/>
          <w:kern w:val="2"/>
          <w:sz w:val="32"/>
          <w:szCs w:val="32"/>
          <w:u w:val="none"/>
          <w:lang w:eastAsia="zh-CN" w:bidi="ar-SA"/>
          <w:highlight w:val="auto"/>
        </w:rPr>
        <w:t>中共</w:t>
      </w:r>
      <w:r>
        <w:rPr>
          <w:rFonts w:ascii="Times New Roman" w:eastAsia="仿宋_GB2312" w:cs="Times New Roman" w:hAnsi="Times New Roman"/>
          <w:b w:val="0"/>
          <w:bCs w:val="0"/>
          <w:color w:val="auto"/>
          <w:spacing w:val="0"/>
          <w:kern w:val="2"/>
          <w:sz w:val="32"/>
          <w:szCs w:val="32"/>
          <w:u w:val="none"/>
          <w:lang w:val="en-US" w:eastAsia="zh-CN" w:bidi="ar-SA"/>
          <w:highlight w:val="auto"/>
        </w:rPr>
        <w:t>黑龙江省委办公厅、黑龙江省人民政府办公厅关于印发〈黑龙江省推进基本养老服务体系建设实施方案〉的通知》（黑办发〔2023〕20号）精神，健全基本养老服务体系，提</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高公共服务均等化水平，更好保障老年人生活，结合我市基本养老服务发展实际，制定本实施方案。</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黑体" w:eastAsia="黑体" w:cs="黑体" w:hAnsi="黑体" w:hint="eastAsia"/>
          <w:b w:val="0"/>
          <w:bCs w:val="0"/>
          <w:color w:val="auto"/>
          <w:spacing w:val="0"/>
          <w:kern w:val="2"/>
          <w:sz w:val="32"/>
          <w:szCs w:val="32"/>
          <w:u w:val="none"/>
          <w:lang w:val="en-US" w:eastAsia="zh-CN" w:bidi="ar-SA"/>
          <w:highlight w:val="auto"/>
        </w:rPr>
      </w:pPr>
      <w:r>
        <w:rPr>
          <w:rFonts w:ascii="黑体" w:eastAsia="黑体" w:cs="黑体" w:hAnsi="黑体" w:hint="eastAsia"/>
          <w:b w:val="0"/>
          <w:bCs w:val="0"/>
          <w:color w:val="auto"/>
          <w:spacing w:val="0"/>
          <w:kern w:val="2"/>
          <w:sz w:val="32"/>
          <w:szCs w:val="32"/>
          <w:u w:val="none"/>
          <w:lang w:val="en-US" w:eastAsia="zh-CN" w:bidi="ar-SA"/>
          <w:highlight w:val="auto"/>
        </w:rPr>
        <w:t>一、总体要求</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仿宋_GB2312" w:eastAsia="仿宋_GB2312" w:cs="仿宋_GB2312" w:hAnsi="仿宋_GB2312" w:hint="eastAsia"/>
          <w:b w:val="0"/>
          <w:bCs w:val="0"/>
          <w:color w:val="auto"/>
          <w:spacing w:val="0"/>
          <w:kern w:val="2"/>
          <w:sz w:val="32"/>
          <w:szCs w:val="32"/>
          <w:u w:val="none"/>
          <w:lang w:val="en-US" w:eastAsia="zh-CN" w:bidi="ar-SA"/>
          <w:highlight w:val="auto"/>
        </w:rPr>
      </w:pPr>
      <w:r>
        <w:rPr>
          <w:rFonts w:ascii="仿宋_GB2312" w:eastAsia="仿宋_GB2312" w:cs="仿宋_GB2312" w:hAnsi="仿宋_GB2312" w:hint="eastAsia"/>
          <w:b w:val="0"/>
          <w:bCs w:val="0"/>
          <w:color w:val="auto"/>
          <w:spacing w:val="0"/>
          <w:kern w:val="2"/>
          <w:sz w:val="32"/>
          <w:szCs w:val="32"/>
          <w:u w:val="none"/>
          <w:lang w:val="en-US" w:eastAsia="zh-CN" w:bidi="ar-SA"/>
          <w:highlight w:val="auto"/>
        </w:rPr>
        <w:t>以习近平新时代中国特色社会主义思想为指导，深入贯彻党的二十大精神，坚持党对基本养老服务体系建设的全面领导，坚持以人民为中心，坚持以改革创新为根本动力，坚持基础性、普惠性、共担性、系统性原则，加快建成覆盖全体老年人、权责清晰、保障适度、可持续的基本养老服务体系，不断增强老年人的获得感、幸福感、安全感。</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黑体" w:eastAsia="黑体" w:cs="黑体" w:hAnsi="黑体" w:hint="eastAsia"/>
          <w:b w:val="0"/>
          <w:bCs w:val="0"/>
          <w:color w:val="auto"/>
          <w:spacing w:val="0"/>
          <w:kern w:val="2"/>
          <w:sz w:val="32"/>
          <w:szCs w:val="32"/>
          <w:u w:val="none"/>
          <w:lang w:val="en-US" w:eastAsia="zh-CN" w:bidi="ar-SA"/>
          <w:highlight w:val="auto"/>
        </w:rPr>
      </w:pPr>
      <w:r>
        <w:rPr>
          <w:rFonts w:ascii="黑体" w:eastAsia="黑体" w:cs="黑体" w:hAnsi="黑体" w:hint="eastAsia"/>
          <w:b w:val="0"/>
          <w:bCs w:val="0"/>
          <w:color w:val="auto"/>
          <w:spacing w:val="0"/>
          <w:kern w:val="2"/>
          <w:sz w:val="32"/>
          <w:szCs w:val="32"/>
          <w:u w:val="none"/>
          <w:lang w:val="en-US" w:eastAsia="zh-CN" w:bidi="ar-SA"/>
          <w:highlight w:val="auto"/>
        </w:rPr>
        <w:t>二、重点工作</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楷体_GB2312" w:eastAsia="楷体_GB2312" w:cs="楷体_GB2312" w:hAnsi="楷体_GB2312" w:hint="eastAsia"/>
          <w:b w:val="0"/>
          <w:bCs w:val="0"/>
          <w:color w:val="auto"/>
          <w:spacing w:val="0"/>
          <w:kern w:val="2"/>
          <w:sz w:val="32"/>
          <w:szCs w:val="32"/>
          <w:u w:val="none"/>
          <w:lang w:val="en-US" w:eastAsia="zh-CN" w:bidi="ar-SA"/>
          <w:highlight w:val="auto"/>
        </w:rPr>
      </w:pPr>
      <w:r>
        <w:rPr>
          <w:rFonts w:ascii="楷体_GB2312" w:eastAsia="楷体_GB2312" w:cs="楷体_GB2312" w:hAnsi="楷体_GB2312" w:hint="eastAsia"/>
          <w:b w:val="0"/>
          <w:bCs w:val="0"/>
          <w:color w:val="auto"/>
          <w:spacing w:val="0"/>
          <w:kern w:val="2"/>
          <w:sz w:val="32"/>
          <w:szCs w:val="32"/>
          <w:u w:val="none"/>
          <w:lang w:val="en-US" w:eastAsia="zh-CN" w:bidi="ar-SA"/>
          <w:highlight w:val="auto"/>
        </w:rPr>
        <w:t>（一）完善落实基本养老服务清单</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仿宋_GB2312" w:eastAsia="仿宋_GB2312" w:cs="仿宋_GB2312" w:hAnsi="仿宋_GB2312" w:hint="eastAsia"/>
          <w:b w:val="0"/>
          <w:bCs w:val="0"/>
          <w:color w:val="auto"/>
          <w:spacing w:val="0"/>
          <w:kern w:val="2"/>
          <w:sz w:val="32"/>
          <w:szCs w:val="32"/>
          <w:u w:val="none"/>
          <w:lang w:val="en-US" w:eastAsia="zh-CN" w:bidi="ar-SA"/>
          <w:highlight w:val="auto"/>
        </w:rPr>
      </w:pPr>
      <w:r>
        <w:rPr>
          <w:rFonts w:ascii="Times New Roman" w:eastAsia="仿宋_GB2312" w:cs="Times New Roman" w:hAnsi="Times New Roman"/>
          <w:b w:val="0"/>
          <w:bCs w:val="0"/>
          <w:color w:val="auto"/>
          <w:spacing w:val="0"/>
          <w:kern w:val="2"/>
          <w:sz w:val="32"/>
          <w:szCs w:val="32"/>
          <w:u w:val="none"/>
          <w:lang w:val="en-US" w:eastAsia="zh-CN" w:bidi="ar-SA"/>
          <w:highlight w:val="auto"/>
        </w:rPr>
        <w:t>1.明</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确基本养老服务对象。基本养老服务是由国家直接提供或者通过一定方式支持相关主体向老年人提供服务，实现老有所养、老有所依必需的基础性、普惠性、兜底性服务，包括物质帮助、照护服务、关爱服务等内容。“十四五”时期，重点聚焦老年人面临家庭和个人难以应对的失能、残疾、无人照顾等困难时的基本养老服务需求。</w:t>
      </w:r>
      <w:r>
        <w:rPr>
          <w:rFonts w:ascii="Times New Roman" w:eastAsia="仿宋_GB2312" w:cs="Times New Roman" w:hAnsi="Times New Roman"/>
          <w:b w:val="0"/>
          <w:bCs w:val="0"/>
          <w:color w:val="auto"/>
          <w:spacing w:val="0"/>
          <w:kern w:val="2"/>
          <w:sz w:val="32"/>
          <w:szCs w:val="32"/>
          <w:u w:val="none"/>
          <w:lang w:val="en-US" w:eastAsia="zh-CN" w:bidi="ar-SA"/>
          <w:highlight w:val="auto"/>
        </w:rPr>
        <w:t>到2025</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年，基本养老服务制度体系基本健全，基本养老服务清单不断完善，服务对象、服务内容、服务标准等清晰明确，服务供给、服务保障、服务监管等机制不断健全，让老年人更好地共享双鸭山全面振兴全方位振兴发展成果。</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仿宋_GB2312" w:eastAsia="仿宋_GB2312" w:cs="仿宋_GB2312" w:hAnsi="仿宋_GB2312" w:hint="eastAsia"/>
          <w:b w:val="0"/>
          <w:bCs w:val="0"/>
          <w:color w:val="auto"/>
          <w:spacing w:val="0"/>
          <w:kern w:val="2"/>
          <w:sz w:val="32"/>
          <w:szCs w:val="32"/>
          <w:u w:val="none"/>
          <w:lang w:val="en-US" w:eastAsia="zh-CN" w:bidi="ar-SA"/>
          <w:highlight w:val="auto"/>
        </w:rPr>
      </w:pPr>
      <w:r>
        <w:rPr>
          <w:rFonts w:ascii="Times New Roman" w:eastAsia="仿宋_GB2312" w:cs="Times New Roman" w:hAnsi="Times New Roman"/>
          <w:b w:val="0"/>
          <w:bCs w:val="0"/>
          <w:color w:val="auto"/>
          <w:spacing w:val="0"/>
          <w:kern w:val="2"/>
          <w:sz w:val="32"/>
          <w:szCs w:val="32"/>
          <w:u w:val="none"/>
          <w:lang w:val="en-US" w:eastAsia="zh-CN" w:bidi="ar-SA"/>
          <w:highlight w:val="auto"/>
        </w:rPr>
        <w:t>2.完</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善基本养老服务清单。各县（区）对照《双鸭山市基本养老服务清单》（见附件），完善本地基本养老服务清单，明确具体服务对象、内容、标准等，各县（区）清单应当包含省、市级清单服务内容，且覆盖范围和实现程度不得低于省级清单要求。</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黑体" w:eastAsia="黑体" w:cs="黑体" w:hAnsi="黑体" w:hint="eastAsia"/>
          <w:b w:val="0"/>
          <w:bCs w:val="0"/>
          <w:color w:val="auto"/>
          <w:spacing w:val="0"/>
          <w:kern w:val="2"/>
          <w:sz w:val="32"/>
          <w:szCs w:val="32"/>
          <w:u w:val="none"/>
          <w:lang w:val="en-US" w:eastAsia="zh-CN" w:bidi="ar-SA"/>
          <w:highlight w:val="auto"/>
        </w:rPr>
      </w:pPr>
      <w:r>
        <w:rPr>
          <w:rFonts w:ascii="Times New Roman" w:eastAsia="仿宋_GB2312" w:cs="Times New Roman" w:hAnsi="Times New Roman"/>
          <w:b w:val="0"/>
          <w:bCs w:val="0"/>
          <w:color w:val="auto"/>
          <w:spacing w:val="0"/>
          <w:kern w:val="2"/>
          <w:sz w:val="32"/>
          <w:szCs w:val="32"/>
          <w:u w:val="none"/>
          <w:lang w:val="en-US" w:eastAsia="zh-CN" w:bidi="ar-SA"/>
          <w:highlight w:val="auto"/>
        </w:rPr>
        <w:t>3.实</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行动态调整机制。在提高基本公共服务均等化水平的过程中，逐步拓展基本养老服务的对象和内容。市级基本养老服务清单根据省级清单调整情况、经济社会发展水平及财力状况等因素适时调整，由市民政局、市发展改革委会同相关部门适时提出修订意见，按程序报批后以市委</w:t>
      </w:r>
      <w:r>
        <w:rPr>
          <w:rFonts w:ascii="仿宋_GB2312" w:cs="仿宋_GB2312" w:hAnsi="仿宋_GB2312"/>
          <w:b w:val="0"/>
          <w:bCs w:val="0"/>
          <w:color w:val="auto"/>
          <w:spacing w:val="0"/>
          <w:kern w:val="2"/>
          <w:sz w:val="32"/>
          <w:szCs w:val="32"/>
          <w:u w:val="none"/>
          <w:lang w:eastAsia="zh-CN" w:bidi="ar-SA"/>
          <w:highlight w:val="auto"/>
        </w:rPr>
        <w:t>、</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市政府名义联合印发。市级基本养老服务清单调整发布后，各县（区）应对照市级清单调整发布。〔以下分工均涉及各县（区）政府，不再列出〕</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楷体_GB2312" w:eastAsia="楷体_GB2312" w:cs="楷体_GB2312" w:hAnsi="楷体_GB2312" w:hint="eastAsia"/>
          <w:b w:val="0"/>
          <w:bCs w:val="0"/>
          <w:color w:val="auto"/>
          <w:spacing w:val="0"/>
          <w:kern w:val="2"/>
          <w:sz w:val="32"/>
          <w:szCs w:val="32"/>
          <w:u w:val="none"/>
          <w:lang w:val="en-US" w:eastAsia="zh-CN" w:bidi="ar-SA"/>
          <w:highlight w:val="auto"/>
        </w:rPr>
      </w:pPr>
      <w:r>
        <w:rPr>
          <w:rFonts w:ascii="楷体_GB2312" w:eastAsia="楷体_GB2312" w:cs="楷体_GB2312" w:hAnsi="楷体_GB2312" w:hint="eastAsia"/>
          <w:b w:val="0"/>
          <w:bCs w:val="0"/>
          <w:color w:val="auto"/>
          <w:spacing w:val="0"/>
          <w:kern w:val="2"/>
          <w:sz w:val="32"/>
          <w:szCs w:val="32"/>
          <w:u w:val="none"/>
          <w:lang w:val="en-US" w:eastAsia="zh-CN" w:bidi="ar-SA"/>
          <w:highlight w:val="auto"/>
        </w:rPr>
        <w:t>（二）建立服务主动响应机制</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仿宋_GB2312" w:eastAsia="仿宋_GB2312" w:cs="仿宋_GB2312" w:hAnsi="仿宋_GB2312" w:hint="eastAsia"/>
          <w:b w:val="0"/>
          <w:bCs w:val="0"/>
          <w:color w:val="auto"/>
          <w:spacing w:val="0"/>
          <w:kern w:val="2"/>
          <w:sz w:val="32"/>
          <w:szCs w:val="32"/>
          <w:u w:val="none"/>
          <w:lang w:val="en-US" w:eastAsia="zh-CN" w:bidi="ar-SA"/>
          <w:highlight w:val="auto"/>
        </w:rPr>
      </w:pPr>
      <w:r>
        <w:rPr>
          <w:rFonts w:ascii="Times New Roman" w:eastAsia="仿宋_GB2312" w:cs="Times New Roman" w:hAnsi="Times New Roman"/>
          <w:b w:val="0"/>
          <w:bCs w:val="0"/>
          <w:color w:val="auto"/>
          <w:spacing w:val="0"/>
          <w:kern w:val="2"/>
          <w:sz w:val="32"/>
          <w:szCs w:val="32"/>
          <w:u w:val="none"/>
          <w:lang w:val="en-US" w:eastAsia="zh-CN" w:bidi="ar-SA"/>
          <w:highlight w:val="auto"/>
        </w:rPr>
        <w:t>4.开</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展能力评估。按照全国统一的老年人能力评估标准，支持通过政府购买服务等方式，开展老年人能力评估，按照国家要求，推动老年人能力评估结果省际间互认。各县（区）应做好老年人能力评估结果省内互认、按需使用工作。评估结果可作为领取补贴、接受基本养老服务的依据。〔责任单位：市民政局、市财政局；完成时限：持续推进〕</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仿宋_GB2312" w:eastAsia="仿宋_GB2312" w:cs="仿宋_GB2312" w:hAnsi="仿宋_GB2312" w:hint="eastAsia"/>
          <w:b w:val="0"/>
          <w:bCs w:val="0"/>
          <w:color w:val="auto"/>
          <w:spacing w:val="0"/>
          <w:kern w:val="2"/>
          <w:sz w:val="32"/>
          <w:szCs w:val="32"/>
          <w:u w:val="none"/>
          <w:lang w:val="en-US" w:eastAsia="zh-CN" w:bidi="ar-SA"/>
          <w:highlight w:val="auto"/>
        </w:rPr>
      </w:pPr>
      <w:r>
        <w:rPr>
          <w:rFonts w:ascii="Times New Roman" w:eastAsia="仿宋_GB2312" w:cs="Times New Roman" w:hAnsi="Times New Roman" w:hint="eastAsia"/>
          <w:b w:val="0"/>
          <w:bCs w:val="0"/>
          <w:color w:val="auto"/>
          <w:spacing w:val="0"/>
          <w:kern w:val="2"/>
          <w:sz w:val="32"/>
          <w:szCs w:val="32"/>
          <w:u w:val="none"/>
          <w:lang w:val="en-US" w:eastAsia="zh-CN" w:bidi="ar-SA"/>
          <w:highlight w:val="auto"/>
        </w:rPr>
        <w:t>5.整合</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服务资源。依托政务服务平台，推进市内跨部门间数据共享，建立困难老年人精准识别和动态管理机制，由县（区）、乡（镇）、村（社区）三级实施动态管理，细化与常住人口、服务半径挂钩的制度安排，逐步实现从“人找政策”到“政策找人”。推动残疾老年人身份识别、待遇享受、服务递送、无障碍环境建设等资源整合，加强残疾老年人养老服务保障。依托国家人口基础信息库推进基本养老服务对象信息、服务保障信息统一归集、互认和开放共享。〔责任单位：市营商环境局、市民政局、市卫生健康委、市公安局、市残联、市住房城乡建设局、市交通运输局；完成时限：持续推进〕</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仿宋_GB2312" w:eastAsia="仿宋_GB2312" w:cs="仿宋_GB2312" w:hAnsi="仿宋_GB2312" w:hint="eastAsia"/>
          <w:b w:val="0"/>
          <w:bCs w:val="0"/>
          <w:color w:val="auto"/>
          <w:spacing w:val="0"/>
          <w:kern w:val="2"/>
          <w:sz w:val="32"/>
          <w:szCs w:val="32"/>
          <w:u w:val="none"/>
          <w:lang w:val="en-US" w:eastAsia="zh-CN" w:bidi="ar-SA"/>
          <w:highlight w:val="auto"/>
        </w:rPr>
      </w:pPr>
      <w:r>
        <w:rPr>
          <w:rFonts w:ascii="Times New Roman" w:eastAsia="仿宋_GB2312" w:cs="Times New Roman" w:hAnsi="Times New Roman"/>
          <w:b w:val="0"/>
          <w:bCs w:val="0"/>
          <w:color w:val="auto"/>
          <w:spacing w:val="0"/>
          <w:kern w:val="2"/>
          <w:sz w:val="32"/>
          <w:szCs w:val="32"/>
          <w:u w:val="none"/>
          <w:lang w:val="en-US" w:eastAsia="zh-CN" w:bidi="ar-SA"/>
          <w:highlight w:val="auto"/>
        </w:rPr>
        <w:t>6.丰富</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供给主体。深化公建民营养老机构改革试点，在确保国有资产不流失的前提下，引入运营主体，引导社会力量参与公办养老机构改革。提升国有经济对养老服务体系的支持能力，支持国有企业进入养老服务领域，强化国有经济在基本养老服务领域有效供给，打造普惠性、连锁化国有企业养老服务知名品牌。光荣院等优抚机构在保障好集中供养对象的前提下，可利用空余床位为其他无法定赡养人、扶养人或者法定赡养人、扶养人无赡养、扶养能力的老年优待抚恤对象提供优惠服务。鼓励支持党政机关和国有企事业单位所属培训疗养机构转型为普惠型养老服务设施。鼓励支持生活照料、医疗护理、老年教育、健身娱乐、老年产品和紧急救援等各类主体进入养老服务市场，提供多元化、个性化为老服务。〔责任单位：市民政局、市国资办、</w:t>
      </w:r>
      <w:r>
        <w:rPr>
          <w:rFonts w:ascii="仿宋_GB2312" w:cs="仿宋_GB2312" w:hAnsi="仿宋_GB2312"/>
          <w:b w:val="0"/>
          <w:bCs w:val="0"/>
          <w:color w:val="auto"/>
          <w:spacing w:val="0"/>
          <w:kern w:val="2"/>
          <w:sz w:val="32"/>
          <w:szCs w:val="32"/>
          <w:u w:val="none"/>
          <w:lang w:eastAsia="zh-CN" w:bidi="ar-SA"/>
          <w:highlight w:val="auto"/>
        </w:rPr>
        <w:t>市退役军人局</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、市发展改革委、市残联、市市场监管局；完成时限：持续推进〕</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楷体_GB2312" w:eastAsia="楷体_GB2312" w:cs="楷体_GB2312" w:hAnsi="楷体_GB2312" w:hint="eastAsia"/>
          <w:b w:val="0"/>
          <w:bCs w:val="0"/>
          <w:color w:val="auto"/>
          <w:spacing w:val="0"/>
          <w:kern w:val="2"/>
          <w:sz w:val="32"/>
          <w:szCs w:val="32"/>
          <w:u w:val="none"/>
          <w:lang w:val="en-US" w:eastAsia="zh-CN" w:bidi="ar-SA"/>
          <w:highlight w:val="auto"/>
        </w:rPr>
      </w:pPr>
      <w:r>
        <w:rPr>
          <w:rFonts w:ascii="楷体_GB2312" w:eastAsia="楷体_GB2312" w:cs="楷体_GB2312" w:hAnsi="楷体_GB2312" w:hint="eastAsia"/>
          <w:b w:val="0"/>
          <w:bCs w:val="0"/>
          <w:color w:val="auto"/>
          <w:spacing w:val="0"/>
          <w:kern w:val="2"/>
          <w:sz w:val="32"/>
          <w:szCs w:val="32"/>
          <w:u w:val="none"/>
          <w:lang w:val="en-US" w:eastAsia="zh-CN" w:bidi="ar-SA"/>
          <w:highlight w:val="auto"/>
        </w:rPr>
        <w:t>（三）完善服务保障机制</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仿宋_GB2312" w:eastAsia="仿宋_GB2312" w:cs="仿宋_GB2312" w:hAnsi="仿宋_GB2312" w:hint="eastAsia"/>
          <w:b w:val="0"/>
          <w:bCs w:val="0"/>
          <w:color w:val="auto"/>
          <w:spacing w:val="0"/>
          <w:kern w:val="2"/>
          <w:sz w:val="32"/>
          <w:szCs w:val="32"/>
          <w:u w:val="none"/>
          <w:lang w:val="en-US" w:eastAsia="zh-CN" w:bidi="ar-SA"/>
          <w:highlight w:val="auto"/>
        </w:rPr>
      </w:pPr>
      <w:r>
        <w:rPr>
          <w:rFonts w:ascii="Times New Roman" w:eastAsia="仿宋_GB2312" w:cs="Times New Roman" w:hAnsi="Times New Roman"/>
          <w:b w:val="0"/>
          <w:bCs w:val="0"/>
          <w:color w:val="auto"/>
          <w:spacing w:val="0"/>
          <w:kern w:val="2"/>
          <w:sz w:val="32"/>
          <w:szCs w:val="32"/>
          <w:u w:val="none"/>
          <w:lang w:val="en-US" w:eastAsia="zh-CN" w:bidi="ar-SA"/>
          <w:highlight w:val="auto"/>
        </w:rPr>
        <w:t>7.强</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化政策扶持。市级财政统筹现有资金渠道给予支持，县级以上政府应当建立基本养老服务经费保障机制，确保基本养老服务项目及标准落实到位。要强化土地、住房、投资、融资、人才等多领域综合保障，按规定落实税收优惠等养老服务优惠扶持政策。对革命老区、少数民族地区、边境地区、乡村振兴重点帮扶地区，市级相关部门在分配财政补助及有关基础设施建设资金、遴选相关试点时给予倾斜支持。〔责任单位：市民政局、市发展改革委、市财政局、市自然资源局、市人力资源社会保障局、市住房城乡建设局、国家税务总局双鸭山市税务局、人民银行双鸭山市分行、国家金融监督管理总局双鸭山监管分局；完成时限：持续推进〕</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仿宋_GB2312" w:eastAsia="仿宋_GB2312" w:cs="仿宋_GB2312" w:hAnsi="仿宋_GB2312" w:hint="eastAsia"/>
          <w:b w:val="0"/>
          <w:bCs w:val="0"/>
          <w:color w:val="auto"/>
          <w:spacing w:val="0"/>
          <w:kern w:val="2"/>
          <w:sz w:val="32"/>
          <w:szCs w:val="32"/>
          <w:u w:val="none"/>
          <w:lang w:val="en-US" w:eastAsia="zh-CN" w:bidi="ar-SA"/>
          <w:highlight w:val="auto"/>
        </w:rPr>
      </w:pPr>
      <w:r>
        <w:rPr>
          <w:rFonts w:ascii="Times New Roman" w:eastAsia="仿宋_GB2312" w:cs="Times New Roman" w:hAnsi="Times New Roman"/>
          <w:b w:val="0"/>
          <w:bCs w:val="0"/>
          <w:color w:val="auto"/>
          <w:spacing w:val="0"/>
          <w:kern w:val="2"/>
          <w:sz w:val="32"/>
          <w:szCs w:val="32"/>
          <w:u w:val="none"/>
          <w:lang w:val="en-US" w:eastAsia="zh-CN" w:bidi="ar-SA"/>
          <w:highlight w:val="auto"/>
        </w:rPr>
        <w:t>8.突</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出重点保障。政府投入资源或者出资建设的养老服务设施要优先保障基本养老服务。政府投资兴办的养老机构在满足特困人员集中供养需求的前提下，优先服务经济困难的高龄、独居、失能失智、残疾、退役军人和其他优抚对象老年人、计划生育特殊家庭老年人。将政府购买服务与直接提供服务相结合，充实政府购买服务指导性目录，重点购买生活照料、康复护理、人员培训等服务。〔责任单位：市民政局、市财政局、市人力资源社会保障局、市卫生健康委、</w:t>
      </w:r>
      <w:r>
        <w:rPr>
          <w:rFonts w:ascii="仿宋_GB2312" w:cs="仿宋_GB2312" w:hAnsi="仿宋_GB2312"/>
          <w:b w:val="0"/>
          <w:bCs w:val="0"/>
          <w:color w:val="auto"/>
          <w:spacing w:val="0"/>
          <w:kern w:val="2"/>
          <w:sz w:val="32"/>
          <w:szCs w:val="32"/>
          <w:u w:val="none"/>
          <w:lang w:eastAsia="zh-CN" w:bidi="ar-SA"/>
          <w:highlight w:val="auto"/>
        </w:rPr>
        <w:t>市退役军人局</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；完成时限：持续推进〕</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仿宋_GB2312" w:eastAsia="仿宋_GB2312" w:cs="仿宋_GB2312" w:hAnsi="仿宋_GB2312" w:hint="eastAsia"/>
          <w:b w:val="0"/>
          <w:bCs w:val="0"/>
          <w:color w:val="auto"/>
          <w:spacing w:val="0"/>
          <w:kern w:val="2"/>
          <w:sz w:val="32"/>
          <w:szCs w:val="32"/>
          <w:u w:val="none"/>
          <w:lang w:val="en-US" w:eastAsia="zh-CN" w:bidi="ar-SA"/>
          <w:highlight w:val="auto"/>
        </w:rPr>
      </w:pPr>
      <w:r>
        <w:rPr>
          <w:rFonts w:ascii="Times New Roman" w:eastAsia="仿宋_GB2312" w:cs="Times New Roman" w:hAnsi="Times New Roman"/>
          <w:b w:val="0"/>
          <w:bCs w:val="0"/>
          <w:color w:val="auto"/>
          <w:spacing w:val="0"/>
          <w:kern w:val="2"/>
          <w:sz w:val="32"/>
          <w:szCs w:val="32"/>
          <w:u w:val="none"/>
          <w:lang w:val="en-US" w:eastAsia="zh-CN" w:bidi="ar-SA"/>
          <w:highlight w:val="auto"/>
        </w:rPr>
        <w:t>9.扩</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大社会参与。鼓励和引导企业、社会组织、个人等依法通过捐赠、设立慈善基金、志愿服务等方式，为基本养老服务提供支持帮助。在政府支持引导下，通过发挥市场作用、引导社会互助共济等方式，帮助困难家庭分担供养、照料方面的负担，扩大养老服务参与度。〔责任单位：市民政局、市卫生健康委、市残联、市工业和信息化局；完成时限：持续推进〕</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仿宋_GB2312" w:eastAsia="仿宋_GB2312" w:cs="仿宋_GB2312" w:hAnsi="仿宋_GB2312" w:hint="eastAsia"/>
          <w:b w:val="0"/>
          <w:bCs w:val="0"/>
          <w:color w:val="auto"/>
          <w:spacing w:val="0"/>
          <w:kern w:val="2"/>
          <w:sz w:val="32"/>
          <w:szCs w:val="32"/>
          <w:u w:val="none"/>
          <w:lang w:val="en-US" w:eastAsia="zh-CN" w:bidi="ar-SA"/>
          <w:highlight w:val="auto"/>
        </w:rPr>
      </w:pPr>
      <w:r>
        <w:rPr>
          <w:rFonts w:ascii="Times New Roman" w:eastAsia="仿宋_GB2312" w:cs="Times New Roman" w:hAnsi="Times New Roman"/>
          <w:b w:val="0"/>
          <w:bCs w:val="0"/>
          <w:color w:val="auto"/>
          <w:spacing w:val="0"/>
          <w:kern w:val="2"/>
          <w:sz w:val="32"/>
          <w:szCs w:val="32"/>
          <w:u w:val="none"/>
          <w:lang w:val="en-US" w:eastAsia="zh-CN" w:bidi="ar-SA"/>
          <w:highlight w:val="auto"/>
        </w:rPr>
        <w:t>10.加强</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人才队伍建设。建设专业化养老服务人才队伍。加强养老技能人才培训，鼓励有医疗、护理、家政等专业的职业院校开设养老服务相关专业，建设养老实训基地。支持养老从业人员参加职业技能等级认定，开展职业技能竞赛并按规定给予奖励激励，增强职业荣誉感。将失能老年人家庭成员照护培训纳入政府购买养老服务目录，符合条件的按规定给予职业培训补贴。〔责任单位：市民政局、市财政局、市人力资源社会保障局、市教育和体育局；完成时限：持续推进〕</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楷体_GB2312" w:eastAsia="楷体_GB2312" w:cs="楷体_GB2312" w:hAnsi="楷体_GB2312" w:hint="eastAsia"/>
          <w:b w:val="0"/>
          <w:bCs w:val="0"/>
          <w:color w:val="auto"/>
          <w:spacing w:val="0"/>
          <w:kern w:val="2"/>
          <w:sz w:val="32"/>
          <w:szCs w:val="32"/>
          <w:u w:val="none"/>
          <w:lang w:val="en-US" w:eastAsia="zh-CN" w:bidi="ar-SA"/>
          <w:highlight w:val="auto"/>
        </w:rPr>
      </w:pPr>
      <w:r>
        <w:rPr>
          <w:rFonts w:ascii="楷体_GB2312" w:eastAsia="楷体_GB2312" w:cs="楷体_GB2312" w:hAnsi="楷体_GB2312" w:hint="eastAsia"/>
          <w:b w:val="0"/>
          <w:bCs w:val="0"/>
          <w:color w:val="auto"/>
          <w:spacing w:val="0"/>
          <w:kern w:val="2"/>
          <w:sz w:val="32"/>
          <w:szCs w:val="32"/>
          <w:u w:val="none"/>
          <w:lang w:val="en-US" w:eastAsia="zh-CN" w:bidi="ar-SA"/>
          <w:highlight w:val="auto"/>
        </w:rPr>
        <w:t>（四）落实综合监管机制</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Times New Roman" w:eastAsia="仿宋_GB2312" w:cs="Times New Roman" w:hAnsi="Times New Roman"/>
          <w:b w:val="0"/>
          <w:bCs w:val="0"/>
          <w:color w:val="auto"/>
          <w:spacing w:val="0"/>
          <w:kern w:val="2"/>
          <w:sz w:val="32"/>
          <w:szCs w:val="32"/>
          <w:u w:val="none"/>
          <w:lang w:val="en-US" w:eastAsia="zh-CN" w:bidi="ar-SA"/>
          <w:highlight w:val="auto"/>
        </w:rPr>
      </w:pPr>
      <w:r>
        <w:rPr>
          <w:rFonts w:ascii="Times New Roman" w:eastAsia="仿宋_GB2312" w:cs="Times New Roman" w:hAnsi="Times New Roman"/>
          <w:b w:val="0"/>
          <w:bCs w:val="0"/>
          <w:color w:val="auto"/>
          <w:spacing w:val="0"/>
          <w:kern w:val="2"/>
          <w:sz w:val="32"/>
          <w:szCs w:val="32"/>
          <w:u w:val="none"/>
          <w:lang w:val="en-US" w:eastAsia="zh-CN" w:bidi="ar-SA"/>
          <w:highlight w:val="auto"/>
        </w:rPr>
        <w:t>11.提</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升监管效能。健全以“双随机、一公开”监管为基本手段、以信用监管为基础的养老服务综合监管机制，促进养老服务领域公平竞争、守法经营，确保服务质量和安全，对违法违规行为依法严肃查处。完善联合执法机制，提升养老服务综合监管效能。</w:t>
      </w:r>
      <w:r>
        <w:rPr>
          <w:rFonts w:ascii="Times New Roman" w:eastAsia="仿宋_GB2312" w:cs="Times New Roman" w:hAnsi="Times New Roman"/>
          <w:b w:val="0"/>
          <w:bCs w:val="0"/>
          <w:color w:val="auto"/>
          <w:spacing w:val="0"/>
          <w:kern w:val="2"/>
          <w:sz w:val="32"/>
          <w:szCs w:val="32"/>
          <w:u w:val="none"/>
          <w:lang w:val="en-US" w:eastAsia="zh-CN" w:bidi="ar-SA"/>
          <w:highlight w:val="auto"/>
        </w:rPr>
        <w:t>到2025年建立起全覆盖、全方位、全过程的养老服务综合监管格局。〔责任单位：市民政局、市应急局、市住房城乡建设局、市卫生健康委、市市场监管局、市消防救援支队；完成时限：持续推进〕</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仿宋_GB2312" w:eastAsia="仿宋_GB2312" w:cs="仿宋_GB2312" w:hAnsi="仿宋_GB2312" w:hint="eastAsia"/>
          <w:b w:val="0"/>
          <w:bCs w:val="0"/>
          <w:color w:val="auto"/>
          <w:spacing w:val="0"/>
          <w:kern w:val="2"/>
          <w:sz w:val="32"/>
          <w:szCs w:val="32"/>
          <w:u w:val="none"/>
          <w:lang w:val="en-US" w:eastAsia="zh-CN" w:bidi="ar-SA"/>
          <w:highlight w:val="auto"/>
        </w:rPr>
      </w:pPr>
      <w:r>
        <w:rPr>
          <w:rFonts w:ascii="Times New Roman" w:eastAsia="仿宋_GB2312" w:cs="Times New Roman" w:hAnsi="Times New Roman"/>
          <w:b w:val="0"/>
          <w:bCs w:val="0"/>
          <w:color w:val="auto"/>
          <w:spacing w:val="0"/>
          <w:kern w:val="2"/>
          <w:sz w:val="32"/>
          <w:szCs w:val="32"/>
          <w:u w:val="none"/>
          <w:lang w:val="en-US" w:eastAsia="zh-CN" w:bidi="ar-SA"/>
          <w:highlight w:val="auto"/>
        </w:rPr>
        <w:t>12.</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优化评价体系。开展基本养老服务统计监测工作，建立基本养老服务项目统计调查制度，定期发布基本养老服务统计数据。做好养老服务主体信息归集和公示工作，依托黑龙江省公共信用信息平台，依法依规归集各行业部门报送的养老服务机构行政处罚、抽查检查结果等信息，通过信用中国（黑龙江）网站、国家企业信用信息公示系统（黑龙江）和信用中国（黑龙江双鸭山）网站依法公示。建立与国家有关标准相适应的全省养老机构服务质量评价体系。〔责任单位：市民政局、市营商环境局、市市场监管局；完成时限：持续推进〕</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仿宋_GB2312" w:eastAsia="仿宋_GB2312" w:cs="仿宋_GB2312" w:hAnsi="仿宋_GB2312" w:hint="eastAsia"/>
          <w:b w:val="0"/>
          <w:bCs w:val="0"/>
          <w:color w:val="auto"/>
          <w:spacing w:val="0"/>
          <w:kern w:val="2"/>
          <w:sz w:val="32"/>
          <w:szCs w:val="32"/>
          <w:u w:val="none"/>
          <w:lang w:val="en-US" w:eastAsia="zh-CN" w:bidi="ar-SA"/>
          <w:highlight w:val="auto"/>
        </w:rPr>
      </w:pPr>
      <w:r>
        <w:rPr>
          <w:rFonts w:ascii="Times New Roman" w:eastAsia="仿宋_GB2312" w:cs="Times New Roman" w:hAnsi="Times New Roman"/>
          <w:b w:val="0"/>
          <w:bCs w:val="0"/>
          <w:color w:val="auto"/>
          <w:spacing w:val="0"/>
          <w:kern w:val="2"/>
          <w:sz w:val="32"/>
          <w:szCs w:val="32"/>
          <w:u w:val="none"/>
          <w:lang w:val="en-US" w:eastAsia="zh-CN" w:bidi="ar-SA"/>
          <w:highlight w:val="auto"/>
        </w:rPr>
        <w:t>13.</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加强养老维权。广泛开展尊老、敬老、爱老、助老的美德教育宣传，形成关心关爱养老事业的社会化大环境。优先受理养老服务的消费投诉、举报、咨询等维权业务，及时妥善解决合理诉求。依法打击以养老服务名义实施非法集资、欺诈销售等违法行为，切实保护老年人合法权益。〔责任单位：市市场监管局、市民政局、市司法局、市公安局、市卫生健康委；完成时限：持续推进〕</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仿宋_GB2312" w:eastAsia="仿宋_GB2312" w:cs="仿宋_GB2312" w:hAnsi="仿宋_GB2312" w:hint="eastAsia"/>
          <w:b w:val="0"/>
          <w:bCs w:val="0"/>
          <w:color w:val="auto"/>
          <w:spacing w:val="0"/>
          <w:kern w:val="2"/>
          <w:sz w:val="32"/>
          <w:szCs w:val="32"/>
          <w:u w:val="none"/>
          <w:lang w:val="en-US" w:eastAsia="zh-CN" w:bidi="ar-SA"/>
          <w:highlight w:val="auto"/>
        </w:rPr>
      </w:pPr>
      <w:r>
        <w:rPr>
          <w:rFonts w:ascii="Times New Roman" w:eastAsia="仿宋_GB2312" w:cs="Times New Roman" w:hAnsi="Times New Roman"/>
          <w:b w:val="0"/>
          <w:bCs w:val="0"/>
          <w:color w:val="auto"/>
          <w:spacing w:val="0"/>
          <w:kern w:val="2"/>
          <w:sz w:val="32"/>
          <w:szCs w:val="32"/>
          <w:u w:val="none"/>
          <w:lang w:val="en-US" w:eastAsia="zh-CN" w:bidi="ar-SA"/>
          <w:highlight w:val="auto"/>
        </w:rPr>
        <w:t>14.</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落实完善服务标准。推动养老服务设施建设、养老机构服务安全、养老服务质量、从业人员技能评价、老年人能力评估、养老机构等级评定、适老化产品等方面国家标准的推广执行。制定全市居家社区养老、医养结合服务质量、行业信用评价、养老机构分级照护、岗位培训、诚信服务等地方标准。积极推进养老服务认证工作。〔责任单位：市民政局、市市场监管局、市住房城乡建设局、市卫生健康委；完成时限：持续推进〕</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仿宋_GB2312" w:eastAsia="仿宋_GB2312" w:cs="仿宋_GB2312" w:hAnsi="仿宋_GB2312" w:hint="eastAsia"/>
          <w:b w:val="0"/>
          <w:bCs w:val="0"/>
          <w:color w:val="auto"/>
          <w:spacing w:val="0"/>
          <w:kern w:val="2"/>
          <w:sz w:val="32"/>
          <w:szCs w:val="32"/>
          <w:u w:val="none"/>
          <w:lang w:val="en-US" w:eastAsia="zh-CN" w:bidi="ar-SA"/>
          <w:highlight w:val="auto"/>
        </w:rPr>
      </w:pPr>
      <w:r>
        <w:rPr>
          <w:rFonts w:ascii="Times New Roman" w:eastAsia="仿宋_GB2312" w:cs="Times New Roman" w:hAnsi="Times New Roman"/>
          <w:b w:val="0"/>
          <w:bCs w:val="0"/>
          <w:color w:val="auto"/>
          <w:spacing w:val="0"/>
          <w:kern w:val="2"/>
          <w:sz w:val="32"/>
          <w:szCs w:val="32"/>
          <w:u w:val="none"/>
          <w:lang w:val="en-US" w:eastAsia="zh-CN" w:bidi="ar-SA"/>
          <w:highlight w:val="auto"/>
        </w:rPr>
        <w:t>15.化</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解消防安全隐患。依据国家建筑设计防火规范，针对养老机构火灾隐患，督导养老机构（光荣院）加强消防设施技术改造、配置消防设施器材、解决消防设施设备重大风险隐患问题。加强对养老机构消防工作的日常监管，逐级落实消防安全责任，开展防火检查巡查和火灾隐患整改，提升养老机构消防安全标准化管理水平。〔责任单位：市民政局、市住房城乡建设局、市消防救援支队；完成时限：持续推进〕</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仿宋_GB2312" w:eastAsia="仿宋_GB2312" w:cs="仿宋_GB2312" w:hAnsi="仿宋_GB2312" w:hint="eastAsia"/>
          <w:b w:val="0"/>
          <w:bCs w:val="0"/>
          <w:color w:val="auto"/>
          <w:spacing w:val="0"/>
          <w:kern w:val="2"/>
          <w:sz w:val="32"/>
          <w:szCs w:val="32"/>
          <w:u w:val="none"/>
          <w:lang w:val="en-US" w:eastAsia="zh-CN" w:bidi="ar-SA"/>
          <w:highlight w:val="auto"/>
        </w:rPr>
      </w:pPr>
      <w:r>
        <w:rPr>
          <w:rFonts w:ascii="Times New Roman" w:eastAsia="仿宋_GB2312" w:cs="Times New Roman" w:hAnsi="Times New Roman"/>
          <w:b w:val="0"/>
          <w:bCs w:val="0"/>
          <w:color w:val="auto"/>
          <w:spacing w:val="0"/>
          <w:kern w:val="2"/>
          <w:sz w:val="32"/>
          <w:szCs w:val="32"/>
          <w:u w:val="none"/>
          <w:lang w:val="en-US" w:eastAsia="zh-CN" w:bidi="ar-SA"/>
          <w:highlight w:val="auto"/>
        </w:rPr>
        <w:t>16.防范</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机构运营风险。强化养老机构综合监管，消除问题隐患。树立全员风险防范意识，完善安全应急应对机制，提升房屋安全、燃气安全、突发公共卫生事件等风险防范和处置能力。建立养老服务质量评价体系，规范服务行为，提高服务质量。加强养老服务从业人员监管，依法依规从严惩处养老服务机构及人员欺老虐老等行为。〔责任单位：市民政局、市公安局、市市场监管局、市卫生健康委；完成时限：持续推进〕</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楷体_GB2312" w:eastAsia="楷体_GB2312" w:cs="楷体_GB2312" w:hAnsi="楷体_GB2312" w:hint="eastAsia"/>
          <w:b w:val="0"/>
          <w:bCs w:val="0"/>
          <w:color w:val="auto"/>
          <w:spacing w:val="0"/>
          <w:kern w:val="2"/>
          <w:sz w:val="32"/>
          <w:szCs w:val="32"/>
          <w:u w:val="none"/>
          <w:lang w:val="en-US" w:eastAsia="zh-CN" w:bidi="ar-SA"/>
          <w:highlight w:val="auto"/>
        </w:rPr>
      </w:pPr>
      <w:r>
        <w:rPr>
          <w:rFonts w:ascii="楷体_GB2312" w:eastAsia="楷体_GB2312" w:cs="楷体_GB2312" w:hAnsi="楷体_GB2312" w:hint="eastAsia"/>
          <w:b w:val="0"/>
          <w:bCs w:val="0"/>
          <w:color w:val="auto"/>
          <w:spacing w:val="0"/>
          <w:kern w:val="2"/>
          <w:sz w:val="32"/>
          <w:szCs w:val="32"/>
          <w:u w:val="none"/>
          <w:lang w:val="en-US" w:eastAsia="zh-CN" w:bidi="ar-SA"/>
          <w:highlight w:val="auto"/>
        </w:rPr>
        <w:t>（五）提高基本养老服务供给能力</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仿宋_GB2312" w:eastAsia="仿宋_GB2312" w:cs="仿宋_GB2312" w:hAnsi="仿宋_GB2312" w:hint="eastAsia"/>
          <w:b w:val="0"/>
          <w:bCs w:val="0"/>
          <w:color w:val="auto"/>
          <w:spacing w:val="0"/>
          <w:kern w:val="2"/>
          <w:sz w:val="32"/>
          <w:szCs w:val="32"/>
          <w:u w:val="none"/>
          <w:lang w:val="en-US" w:eastAsia="zh-CN" w:bidi="ar-SA"/>
          <w:highlight w:val="auto"/>
        </w:rPr>
      </w:pPr>
      <w:r>
        <w:rPr>
          <w:rFonts w:ascii="Times New Roman" w:eastAsia="仿宋_GB2312" w:cs="Times New Roman" w:hAnsi="Times New Roman"/>
          <w:b w:val="0"/>
          <w:bCs w:val="0"/>
          <w:color w:val="auto"/>
          <w:spacing w:val="0"/>
          <w:kern w:val="2"/>
          <w:sz w:val="32"/>
          <w:szCs w:val="32"/>
          <w:u w:val="none"/>
          <w:lang w:val="en-US" w:eastAsia="zh-CN" w:bidi="ar-SA"/>
          <w:highlight w:val="auto"/>
        </w:rPr>
        <w:t>17.推</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进养老服务设施规划建设。各县（区）应当编制养老服务设施（含光荣院）专项规划，并纳入国土空间等规划，合理确定设施种类、数量、规模以及布局，形成结构科学、功能完备、布局合理的养老服务设施网络。研究制定推进公办养老机构高质量发展的政策措施，重点支持公办失能半失能护理型养老机构改造，增设失能老年人照护</w:t>
      </w:r>
      <w:r>
        <w:rPr>
          <w:rFonts w:ascii="Times New Roman" w:eastAsia="仿宋_GB2312" w:cs="Times New Roman" w:hAnsi="Times New Roman"/>
          <w:b w:val="0"/>
          <w:bCs w:val="0"/>
          <w:color w:val="auto"/>
          <w:spacing w:val="0"/>
          <w:kern w:val="2"/>
          <w:sz w:val="32"/>
          <w:szCs w:val="32"/>
          <w:u w:val="none"/>
          <w:lang w:val="en-US" w:eastAsia="zh-CN" w:bidi="ar-SA"/>
          <w:highlight w:val="auto"/>
        </w:rPr>
        <w:t>单元，提升专业化服务能力水平，到2025年护理型床位占比达到55%。</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仿宋_GB2312" w:eastAsia="仿宋_GB2312" w:cs="仿宋_GB2312" w:hAnsi="仿宋_GB2312" w:hint="eastAsia"/>
          <w:b w:val="0"/>
          <w:bCs w:val="0"/>
          <w:color w:val="auto"/>
          <w:spacing w:val="0"/>
          <w:kern w:val="2"/>
          <w:sz w:val="32"/>
          <w:szCs w:val="32"/>
          <w:u w:val="none"/>
          <w:lang w:val="en-US" w:eastAsia="zh-CN" w:bidi="ar-SA"/>
          <w:highlight w:val="auto"/>
        </w:rPr>
      </w:pPr>
      <w:r>
        <w:rPr>
          <w:rFonts w:ascii="Times New Roman" w:eastAsia="仿宋_GB2312" w:cs="Times New Roman" w:hAnsi="Times New Roman"/>
          <w:b w:val="0"/>
          <w:bCs w:val="0"/>
          <w:color w:val="auto"/>
          <w:spacing w:val="0"/>
          <w:kern w:val="2"/>
          <w:sz w:val="32"/>
          <w:szCs w:val="32"/>
          <w:u w:val="none"/>
          <w:lang w:val="en-US" w:eastAsia="zh-CN" w:bidi="ar-SA"/>
          <w:highlight w:val="auto"/>
        </w:rPr>
        <w:t>18.发挥</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公办养老机构兜底作用。推动特困供养机构转型为区域性养老服务中心，发挥公办养老机构兜底保障作用，在满足特困人员集中供养需求的前提下，重点为经济困难失能、失智、计划生育特殊家庭以及退役军人和其他优抚对象老年人提供无偿或低收费托养服务，其余床位允许向社会开放，收益用于支持兜底保障对象的养老服务。政府</w:t>
      </w:r>
      <w:r>
        <w:rPr>
          <w:rFonts w:ascii="Times New Roman" w:eastAsia="仿宋_GB2312" w:cs="Times New Roman" w:hAnsi="Times New Roman"/>
          <w:b w:val="0"/>
          <w:bCs w:val="0"/>
          <w:color w:val="auto"/>
          <w:spacing w:val="0"/>
          <w:kern w:val="2"/>
          <w:sz w:val="32"/>
          <w:szCs w:val="32"/>
          <w:u w:val="none"/>
          <w:lang w:val="en-US" w:eastAsia="zh-CN" w:bidi="ar-SA"/>
          <w:highlight w:val="auto"/>
        </w:rPr>
        <w:t>投入资源或者出资建设的养老服务设施要优先用于基本养老服务。到2025年，每个县（区）要建有至少1所以失能特困人员专业照护为主的县级特困人员供养服务机构</w:t>
      </w:r>
      <w:r>
        <w:rPr>
          <w:rFonts w:ascii="Times New Roman" w:cs="Times New Roman" w:hAnsi="Times New Roman"/>
          <w:b w:val="0"/>
          <w:bCs w:val="0"/>
          <w:color w:val="auto"/>
          <w:spacing w:val="0"/>
          <w:kern w:val="2"/>
          <w:sz w:val="32"/>
          <w:szCs w:val="32"/>
          <w:u w:val="none"/>
          <w:lang w:eastAsia="zh-CN" w:bidi="ar-SA"/>
          <w:highlight w:val="auto"/>
        </w:rPr>
        <w:t>，</w:t>
      </w:r>
      <w:r>
        <w:rPr>
          <w:rFonts w:ascii="Times New Roman" w:eastAsia="仿宋_GB2312" w:cs="Times New Roman" w:hAnsi="Times New Roman"/>
          <w:b w:val="0"/>
          <w:bCs w:val="0"/>
          <w:color w:val="auto"/>
          <w:spacing w:val="0"/>
          <w:kern w:val="2"/>
          <w:sz w:val="32"/>
          <w:szCs w:val="32"/>
          <w:u w:val="none"/>
          <w:lang w:val="en-US" w:eastAsia="zh-CN" w:bidi="ar-SA"/>
          <w:highlight w:val="auto"/>
        </w:rPr>
        <w:t>评定为一级以上的乡镇级公办养老机构、评定为二级以上的县级公办养老机构均达到80%以上</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仿宋_GB2312" w:eastAsia="仿宋_GB2312" w:cs="仿宋_GB2312" w:hAnsi="仿宋_GB2312" w:hint="eastAsia"/>
          <w:b w:val="0"/>
          <w:bCs w:val="0"/>
          <w:color w:val="auto"/>
          <w:spacing w:val="0"/>
          <w:kern w:val="2"/>
          <w:sz w:val="32"/>
          <w:szCs w:val="32"/>
          <w:u w:val="none"/>
          <w:lang w:val="en-US" w:eastAsia="zh-CN" w:bidi="ar-SA"/>
          <w:highlight w:val="auto"/>
        </w:rPr>
      </w:pPr>
      <w:r>
        <w:rPr>
          <w:rFonts w:ascii="Times New Roman" w:eastAsia="仿宋_GB2312" w:cs="Times New Roman" w:hAnsi="Times New Roman"/>
          <w:b w:val="0"/>
          <w:bCs w:val="0"/>
          <w:color w:val="auto"/>
          <w:spacing w:val="0"/>
          <w:kern w:val="2"/>
          <w:sz w:val="32"/>
          <w:szCs w:val="32"/>
          <w:u w:val="none"/>
          <w:lang w:val="en-US" w:eastAsia="zh-CN" w:bidi="ar-SA"/>
          <w:highlight w:val="auto"/>
        </w:rPr>
        <w:t>19.加快补齐配建养老服务设施短板。推动实现基本养老服务便利可及化，按照《双鸭山市城乡社区配建居家养老服务用房的指导意见》（双民联〔2022〕6号）</w:t>
      </w:r>
      <w:r>
        <w:rPr>
          <w:rFonts w:ascii="Times New Roman" w:cs="Times New Roman" w:hAnsi="Times New Roman"/>
          <w:b w:val="0"/>
          <w:bCs w:val="0"/>
          <w:color w:val="auto"/>
          <w:spacing w:val="0"/>
          <w:kern w:val="2"/>
          <w:sz w:val="32"/>
          <w:szCs w:val="32"/>
          <w:u w:val="none"/>
          <w:lang w:eastAsia="zh-CN" w:bidi="ar-SA"/>
          <w:highlight w:val="auto"/>
        </w:rPr>
        <w:t>要求</w:t>
      </w:r>
      <w:r>
        <w:rPr>
          <w:rFonts w:ascii="Times New Roman" w:eastAsia="仿宋_GB2312" w:cs="Times New Roman" w:hAnsi="Times New Roman"/>
          <w:b w:val="0"/>
          <w:bCs w:val="0"/>
          <w:color w:val="auto"/>
          <w:spacing w:val="0"/>
          <w:kern w:val="2"/>
          <w:sz w:val="32"/>
          <w:szCs w:val="32"/>
          <w:u w:val="none"/>
          <w:lang w:val="en-US" w:eastAsia="zh-CN" w:bidi="ar-SA"/>
          <w:highlight w:val="auto"/>
        </w:rPr>
        <w:t>，新建住宅小区每百户20至30平方米配套建设社区居家养老服务用房，已建成小区要按每百户15至20平方米的标准调剂解决</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，无养老服务设施或现有设施未达到标准的，要通过购买、置换、租赁等方式，按标准建成。〔责任单位：市民政局、市发展改革委、市财政局、</w:t>
      </w:r>
      <w:r>
        <w:rPr>
          <w:rFonts w:ascii="仿宋_GB2312" w:cs="仿宋_GB2312" w:hAnsi="仿宋_GB2312"/>
          <w:b w:val="0"/>
          <w:bCs w:val="0"/>
          <w:color w:val="auto"/>
          <w:spacing w:val="0"/>
          <w:kern w:val="2"/>
          <w:sz w:val="32"/>
          <w:szCs w:val="32"/>
          <w:u w:val="none"/>
          <w:lang w:eastAsia="zh-CN" w:bidi="ar-SA"/>
          <w:highlight w:val="auto"/>
        </w:rPr>
        <w:t>市退役军人局</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、市自然资源局、市住房城乡建设局；完成时限：</w:t>
      </w:r>
      <w:r>
        <w:rPr>
          <w:rFonts w:ascii="Times New Roman" w:eastAsia="仿宋_GB2312" w:cs="Times New Roman" w:hAnsi="Times New Roman"/>
          <w:b w:val="0"/>
          <w:bCs w:val="0"/>
          <w:color w:val="auto"/>
          <w:spacing w:val="0"/>
          <w:kern w:val="2"/>
          <w:sz w:val="32"/>
          <w:szCs w:val="32"/>
          <w:u w:val="none"/>
          <w:lang w:val="en-US" w:eastAsia="zh-CN" w:bidi="ar-SA"/>
          <w:highlight w:val="auto"/>
        </w:rPr>
        <w:t>2025</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年基本建成〕</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楷体_GB2312" w:eastAsia="楷体_GB2312" w:cs="楷体_GB2312" w:hAnsi="楷体_GB2312" w:hint="eastAsia"/>
          <w:b w:val="0"/>
          <w:bCs w:val="0"/>
          <w:color w:val="auto"/>
          <w:spacing w:val="0"/>
          <w:kern w:val="2"/>
          <w:sz w:val="32"/>
          <w:szCs w:val="32"/>
          <w:u w:val="none"/>
          <w:lang w:val="en-US" w:eastAsia="zh-CN" w:bidi="ar-SA"/>
          <w:highlight w:val="auto"/>
        </w:rPr>
      </w:pPr>
      <w:r>
        <w:rPr>
          <w:rFonts w:ascii="楷体_GB2312" w:eastAsia="楷体_GB2312" w:cs="楷体_GB2312" w:hAnsi="楷体_GB2312" w:hint="eastAsia"/>
          <w:b w:val="0"/>
          <w:bCs w:val="0"/>
          <w:color w:val="auto"/>
          <w:spacing w:val="0"/>
          <w:kern w:val="2"/>
          <w:sz w:val="32"/>
          <w:szCs w:val="32"/>
          <w:u w:val="none"/>
          <w:lang w:val="en-US" w:eastAsia="zh-CN" w:bidi="ar-SA"/>
          <w:highlight w:val="auto"/>
        </w:rPr>
        <w:t>（六）提升基本养老服务便利化可及化水平</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仿宋_GB2312" w:eastAsia="仿宋_GB2312" w:cs="仿宋_GB2312" w:hAnsi="仿宋_GB2312" w:hint="eastAsia"/>
          <w:b w:val="0"/>
          <w:bCs w:val="0"/>
          <w:color w:val="auto"/>
          <w:spacing w:val="0"/>
          <w:kern w:val="2"/>
          <w:sz w:val="32"/>
          <w:szCs w:val="32"/>
          <w:u w:val="none"/>
          <w:lang w:val="en-US" w:eastAsia="zh-CN" w:bidi="ar-SA"/>
          <w:highlight w:val="auto"/>
        </w:rPr>
      </w:pPr>
      <w:r>
        <w:rPr>
          <w:rFonts w:ascii="Times New Roman" w:eastAsia="仿宋_GB2312" w:cs="Times New Roman" w:hAnsi="Times New Roman"/>
          <w:b w:val="0"/>
          <w:bCs w:val="0"/>
          <w:color w:val="auto"/>
          <w:spacing w:val="0"/>
          <w:kern w:val="2"/>
          <w:sz w:val="32"/>
          <w:szCs w:val="32"/>
          <w:u w:val="none"/>
          <w:lang w:val="en-US" w:eastAsia="zh-CN" w:bidi="ar-SA"/>
          <w:highlight w:val="auto"/>
        </w:rPr>
        <w:t>20.提</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升社区居家基本养老服务能力。开展特殊困难老年人探访关爱服务，提供生活照料、精神慰藉、安全监护、权益维护等服务。通过开展“关心我的特殊困难老人邻居”志愿服务活动等多种形式，探访关爱特殊困难老年人，提供生活照料、精神慰藉、安全监护等服务。依托基层管理服务平台，提供养老服务政策咨询、信息查询、业务办理等便民养老服务。健全定期巡访独居、空巢、留守老人工作机制，通过政府购买服务、志愿服务等方式，支持基层组织、社会组织等提供上门服务。打造示范</w:t>
      </w:r>
      <w:r>
        <w:rPr>
          <w:rFonts w:ascii="Times New Roman" w:eastAsia="仿宋_GB2312" w:cs="Times New Roman" w:hAnsi="Times New Roman"/>
          <w:b w:val="0"/>
          <w:bCs w:val="0"/>
          <w:color w:val="auto"/>
          <w:spacing w:val="0"/>
          <w:kern w:val="2"/>
          <w:sz w:val="32"/>
          <w:szCs w:val="32"/>
          <w:u w:val="none"/>
          <w:lang w:val="en-US" w:eastAsia="zh-CN" w:bidi="ar-SA"/>
          <w:highlight w:val="auto"/>
        </w:rPr>
        <w:t>性社区居家养老服务网络，在城市以社区养老服务设施为基础，建设15</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分钟“助老生活圈”，实现城市主城区助老服务全覆盖。支持养老机构运营社区养老服务设施，按规定统筹养老服务资源。支持物业服务企业提供居家社区养老服务，增加养老服务供给。在农村，建设农村幸福大院等互助养老设施，发展村民互助养老模式，形成乡（镇）有“院（所）”、村有“点”设施网络。</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仿宋_GB2312" w:eastAsia="仿宋_GB2312" w:cs="仿宋_GB2312" w:hAnsi="仿宋_GB2312" w:hint="eastAsia"/>
          <w:b w:val="0"/>
          <w:bCs w:val="0"/>
          <w:color w:val="auto"/>
          <w:spacing w:val="0"/>
          <w:kern w:val="2"/>
          <w:sz w:val="32"/>
          <w:szCs w:val="32"/>
          <w:u w:val="none"/>
          <w:lang w:val="en-US" w:eastAsia="zh-CN" w:bidi="ar-SA"/>
          <w:highlight w:val="auto"/>
        </w:rPr>
      </w:pPr>
      <w:r>
        <w:rPr>
          <w:rFonts w:ascii="Times New Roman" w:eastAsia="仿宋_GB2312" w:cs="Times New Roman" w:hAnsi="Times New Roman"/>
          <w:b w:val="0"/>
          <w:bCs w:val="0"/>
          <w:color w:val="auto"/>
          <w:spacing w:val="0"/>
          <w:kern w:val="2"/>
          <w:sz w:val="32"/>
          <w:szCs w:val="32"/>
          <w:u w:val="none"/>
          <w:lang w:val="en-US" w:eastAsia="zh-CN" w:bidi="ar-SA"/>
          <w:highlight w:val="auto"/>
        </w:rPr>
        <w:t>21.推进</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无障碍环境和信息建设。优先推进与老年人日常生活密切相关的公共服务设施改造，为老年人提供安全、便利和舒适的环境。推广智慧养老技术，构建社区居家智慧养老信息平台。加强信息无障碍建设，降低老年人应用数字技术难度，保留线下服务途径，为老年人获取服务提供便利。〔责任单位：市民政局、市住房城乡建设局、市财政局、市卫生健康委、市自然资源局；完成时限：持续推进〕</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Times New Roman" w:eastAsia="仿宋_GB2312" w:cs="Times New Roman" w:hAnsi="Times New Roman"/>
          <w:b w:val="0"/>
          <w:bCs w:val="0"/>
          <w:color w:val="auto"/>
          <w:spacing w:val="0"/>
          <w:kern w:val="2"/>
          <w:sz w:val="32"/>
          <w:szCs w:val="32"/>
          <w:u w:val="none"/>
          <w:lang w:val="en-US" w:eastAsia="zh-CN" w:bidi="ar-SA"/>
          <w:highlight w:val="auto"/>
        </w:rPr>
      </w:pPr>
      <w:r>
        <w:rPr>
          <w:rFonts w:ascii="Times New Roman" w:eastAsia="仿宋_GB2312" w:cs="Times New Roman" w:hAnsi="Times New Roman"/>
          <w:b w:val="0"/>
          <w:bCs w:val="0"/>
          <w:color w:val="auto"/>
          <w:spacing w:val="0"/>
          <w:kern w:val="2"/>
          <w:sz w:val="32"/>
          <w:szCs w:val="32"/>
          <w:u w:val="none"/>
          <w:lang w:val="en-US" w:eastAsia="zh-CN" w:bidi="ar-SA"/>
          <w:highlight w:val="auto"/>
        </w:rPr>
        <w:t>22.推进特殊</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困难老年人居家适老化改造。以满足居家生活照料、起居行动、康复护理等需求为重点，依据民政</w:t>
      </w:r>
      <w:r>
        <w:rPr>
          <w:rFonts w:ascii="Times New Roman" w:eastAsia="仿宋_GB2312" w:cs="Times New Roman" w:hAnsi="Times New Roman"/>
          <w:b w:val="0"/>
          <w:bCs w:val="0"/>
          <w:color w:val="auto"/>
          <w:spacing w:val="0"/>
          <w:kern w:val="2"/>
          <w:sz w:val="32"/>
          <w:szCs w:val="32"/>
          <w:u w:val="none"/>
          <w:lang w:val="en-US" w:eastAsia="zh-CN" w:bidi="ar-SA"/>
          <w:highlight w:val="auto"/>
        </w:rPr>
        <w:t>部等9</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部门印发的《老年人居家适老化改造项目和老年用品配置推荐清单》，按照自愿、安全、便利、经济的思路，通过政府补贴等方式由第三方专业机构开展特殊困难老年人居家适老化改造，进一步提升老年人生活自理能力和居家</w:t>
      </w:r>
      <w:r>
        <w:rPr>
          <w:rFonts w:ascii="Times New Roman" w:eastAsia="仿宋_GB2312" w:cs="Times New Roman" w:hAnsi="Times New Roman"/>
          <w:b w:val="0"/>
          <w:bCs w:val="0"/>
          <w:color w:val="auto"/>
          <w:spacing w:val="0"/>
          <w:kern w:val="2"/>
          <w:sz w:val="32"/>
          <w:szCs w:val="32"/>
          <w:u w:val="none"/>
          <w:lang w:val="en-US" w:eastAsia="zh-CN" w:bidi="ar-SA"/>
          <w:highlight w:val="auto"/>
        </w:rPr>
        <w:t>生活品质。〔责任单位：市民政局、市财政局、市住房城乡建设局、市残联；完成时限：2025年基本建成〕</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黑体" w:eastAsia="黑体" w:cs="黑体" w:hAnsi="黑体" w:hint="eastAsia"/>
          <w:b w:val="0"/>
          <w:bCs w:val="0"/>
          <w:color w:val="auto"/>
          <w:spacing w:val="0"/>
          <w:kern w:val="2"/>
          <w:sz w:val="32"/>
          <w:szCs w:val="32"/>
          <w:u w:val="none"/>
          <w:lang w:val="en-US" w:eastAsia="zh-CN" w:bidi="ar-SA"/>
          <w:highlight w:val="auto"/>
        </w:rPr>
      </w:pPr>
      <w:r>
        <w:rPr>
          <w:rFonts w:ascii="黑体" w:eastAsia="黑体" w:cs="黑体" w:hAnsi="黑体" w:hint="eastAsia"/>
          <w:b w:val="0"/>
          <w:bCs w:val="0"/>
          <w:color w:val="auto"/>
          <w:spacing w:val="0"/>
          <w:kern w:val="2"/>
          <w:sz w:val="32"/>
          <w:szCs w:val="32"/>
          <w:u w:val="none"/>
          <w:lang w:val="en-US" w:eastAsia="zh-CN" w:bidi="ar-SA"/>
          <w:highlight w:val="auto"/>
        </w:rPr>
        <w:t>三、组织保障</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仿宋_GB2312" w:eastAsia="仿宋_GB2312" w:cs="仿宋_GB2312" w:hAnsi="仿宋_GB2312" w:hint="eastAsia"/>
          <w:b w:val="0"/>
          <w:bCs w:val="0"/>
          <w:color w:val="auto"/>
          <w:spacing w:val="0"/>
          <w:kern w:val="2"/>
          <w:sz w:val="32"/>
          <w:szCs w:val="32"/>
          <w:u w:val="none"/>
          <w:lang w:val="en-US" w:eastAsia="zh-CN" w:bidi="ar-SA"/>
          <w:highlight w:val="auto"/>
        </w:rPr>
      </w:pPr>
      <w:r>
        <w:rPr>
          <w:rFonts w:ascii="楷体_GB2312" w:eastAsia="楷体_GB2312" w:cs="楷体_GB2312" w:hAnsi="楷体_GB2312" w:hint="eastAsia"/>
          <w:b w:val="0"/>
          <w:bCs w:val="0"/>
          <w:color w:val="auto"/>
          <w:spacing w:val="0"/>
          <w:kern w:val="2"/>
          <w:sz w:val="32"/>
          <w:szCs w:val="32"/>
          <w:u w:val="none"/>
          <w:lang w:val="en-US" w:eastAsia="zh-CN" w:bidi="ar-SA"/>
          <w:highlight w:val="auto"/>
        </w:rPr>
        <w:t>（一）加强组织领导。</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各县（区）要高度重视基本养老服务体系建设工作，坚持党政主要负责人亲自抓、负总责，将基本养老服务体系建设纳入当地经济社会发展规划和重要议事日程，纳入民生实事项目。各相关单位要按照职责分工，明确落实措施和进度安排。</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仿宋_GB2312" w:eastAsia="仿宋_GB2312" w:cs="仿宋_GB2312" w:hAnsi="仿宋_GB2312" w:hint="eastAsia"/>
          <w:b w:val="0"/>
          <w:bCs w:val="0"/>
          <w:color w:val="auto"/>
          <w:spacing w:val="0"/>
          <w:kern w:val="2"/>
          <w:sz w:val="32"/>
          <w:szCs w:val="32"/>
          <w:u w:val="none"/>
          <w:lang w:val="en-US" w:eastAsia="zh-CN" w:bidi="ar-SA"/>
          <w:highlight w:val="auto"/>
        </w:rPr>
      </w:pPr>
      <w:r>
        <w:rPr>
          <w:rFonts w:ascii="楷体_GB2312" w:eastAsia="楷体_GB2312" w:cs="楷体_GB2312" w:hAnsi="楷体_GB2312" w:hint="eastAsia"/>
          <w:b w:val="0"/>
          <w:bCs w:val="0"/>
          <w:color w:val="auto"/>
          <w:spacing w:val="0"/>
          <w:kern w:val="2"/>
          <w:sz w:val="32"/>
          <w:szCs w:val="32"/>
          <w:u w:val="none"/>
          <w:lang w:val="en-US" w:eastAsia="zh-CN" w:bidi="ar-SA"/>
          <w:highlight w:val="auto"/>
        </w:rPr>
        <w:t>（二）强化工作推进。</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市民政局会同市发展改革委等相关部门，按照省委部署安排，落实基本养老服务体系建设情况纳入积极应对人口老龄化综合绩效评估要求。及时研究解决基本养老服务体系建设工作中的重大问题，各相关单位要保持上下联动，形成整体合力。</w:t>
      </w: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ascii="仿宋_GB2312" w:eastAsia="仿宋_GB2312" w:cs="仿宋_GB2312" w:hAnsi="仿宋_GB2312" w:hint="eastAsia"/>
          <w:b w:val="0"/>
          <w:bCs w:val="0"/>
          <w:color w:val="auto"/>
          <w:spacing w:val="0"/>
          <w:kern w:val="2"/>
          <w:sz w:val="32"/>
          <w:szCs w:val="32"/>
          <w:u w:val="none"/>
          <w:lang w:val="en-US" w:eastAsia="zh-CN" w:bidi="ar-SA"/>
          <w:highlight w:val="auto"/>
        </w:rPr>
      </w:pPr>
      <w:r>
        <w:rPr>
          <w:rFonts w:ascii="楷体_GB2312" w:eastAsia="楷体_GB2312" w:cs="楷体_GB2312" w:hAnsi="楷体_GB2312" w:hint="eastAsia"/>
          <w:b w:val="0"/>
          <w:bCs w:val="0"/>
          <w:color w:val="auto"/>
          <w:spacing w:val="0"/>
          <w:kern w:val="2"/>
          <w:sz w:val="32"/>
          <w:szCs w:val="32"/>
          <w:u w:val="none"/>
          <w:lang w:val="en-US" w:eastAsia="zh-CN" w:bidi="ar-SA"/>
          <w:highlight w:val="auto"/>
        </w:rPr>
        <w:t>（三）严格综合监管。</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各县（区）政府要加强绩效评价和监督检查，切实履行制度建设、行业规划、行政执法等方面监管责任。加强组织、协调和督导，强化对基本养老服务的综合监管，确保服务质量和安全。</w:t>
      </w:r>
    </w:p>
    <w:p>
      <w:pPr>
        <w:keepNext w:val="0"/>
        <w:keepLines w:val="0"/>
        <w:pageBreakBefore w:val="0"/>
        <w:widowControl w:val="0"/>
        <w:kinsoku/>
        <w:wordWrap/>
        <w:overflowPunct w:val="0"/>
        <w:topLinePunct/>
        <w:autoSpaceDE/>
        <w:autoSpaceDN/>
        <w:bidi w:val="0"/>
        <w:adjustRightInd/>
        <w:snapToGrid/>
        <w:spacing w:line="560" w:lineRule="exact"/>
        <w:ind w:firstLineChars="200" w:firstLine="632"/>
        <w:jc w:val="both"/>
        <w:textAlignment w:val="auto"/>
        <w:rPr>
          <w:rFonts w:hint="eastAsia"/>
          <w:b w:val="0"/>
          <w:bCs w:val="0"/>
          <w:color w:val="auto"/>
          <w:spacing w:val="0"/>
          <w:sz w:val="32"/>
          <w:szCs w:val="32"/>
        </w:rPr>
      </w:pPr>
      <w:r>
        <w:rPr>
          <w:rFonts w:ascii="楷体_GB2312" w:eastAsia="楷体_GB2312" w:cs="楷体_GB2312" w:hAnsi="楷体_GB2312" w:hint="eastAsia"/>
          <w:b w:val="0"/>
          <w:bCs w:val="0"/>
          <w:color w:val="auto"/>
          <w:spacing w:val="0"/>
          <w:kern w:val="2"/>
          <w:sz w:val="32"/>
          <w:szCs w:val="32"/>
          <w:u w:val="none"/>
          <w:lang w:val="en-US" w:eastAsia="zh-CN" w:bidi="ar-SA"/>
          <w:highlight w:val="auto"/>
        </w:rPr>
        <w:t>（四）凝聚社会共识。</w:t>
      </w:r>
      <w:r>
        <w:rPr>
          <w:rFonts w:ascii="仿宋_GB2312" w:eastAsia="仿宋_GB2312" w:cs="仿宋_GB2312" w:hAnsi="仿宋_GB2312" w:hint="eastAsia"/>
          <w:b w:val="0"/>
          <w:bCs w:val="0"/>
          <w:color w:val="auto"/>
          <w:spacing w:val="0"/>
          <w:kern w:val="2"/>
          <w:sz w:val="32"/>
          <w:szCs w:val="32"/>
          <w:u w:val="none"/>
          <w:lang w:val="en-US" w:eastAsia="zh-CN" w:bidi="ar-SA"/>
          <w:highlight w:val="auto"/>
        </w:rPr>
        <w:t>各县（区）、各相关单位要加强基本养老服务政策宣传解读，及时公开基本养老服务信息，畅通意见建议反馈渠道。要凝聚社会共识，充分调动各方支持配合基本养老服务体系建设的积极性和主动性。重要改革事项要充分听取意见，提前做好风险评估。</w:t>
      </w:r>
    </w:p>
    <w:p>
      <w:pPr>
        <w:keepNext w:val="0"/>
        <w:keepLines w:val="0"/>
        <w:pageBreakBefore w:val="0"/>
        <w:widowControl w:val="0"/>
        <w:kinsoku/>
        <w:wordWrap/>
        <w:overflowPunct w:val="0"/>
        <w:topLinePunct/>
        <w:autoSpaceDE/>
        <w:autoSpaceDN/>
        <w:bidi w:val="0"/>
        <w:adjustRightInd/>
        <w:snapToGrid/>
        <w:spacing w:line="560" w:lineRule="exact"/>
        <w:textAlignment w:val="auto"/>
        <w:rPr>
          <w:rFonts w:hint="eastAsia"/>
          <w:b w:val="0"/>
          <w:bCs w:val="0"/>
          <w:color w:val="auto"/>
        </w:rPr>
      </w:pPr>
    </w:p>
    <w:p>
      <w:pPr>
        <w:pStyle w:val="17"/>
        <w:keepNext w:val="0"/>
        <w:keepLines w:val="0"/>
        <w:pageBreakBefore w:val="0"/>
        <w:widowControl w:val="0"/>
        <w:kinsoku/>
        <w:wordWrap/>
        <w:overflowPunct w:val="0"/>
        <w:topLinePunct/>
        <w:autoSpaceDE/>
        <w:autoSpaceDN/>
        <w:bidi w:val="0"/>
        <w:adjustRightInd/>
        <w:snapToGrid/>
        <w:spacing w:line="560" w:lineRule="exact"/>
        <w:ind w:firstLineChars="200" w:firstLine="700"/>
        <w:jc w:val="both"/>
        <w:textAlignment w:val="auto"/>
        <w:rPr>
          <w:rFonts w:ascii="仿宋_GB2312" w:eastAsia="仿宋_GB2312" w:cs="仿宋_GB2312" w:hAnsi="仿宋_GB2312" w:hint="eastAsia"/>
          <w:b w:val="0"/>
          <w:bCs w:val="0"/>
          <w:color w:val="auto"/>
          <w:spacing w:val="17"/>
          <w:kern w:val="2"/>
          <w:sz w:val="32"/>
          <w:szCs w:val="32"/>
          <w:u w:val="none"/>
          <w:lang w:val="en-US" w:eastAsia="zh-CN" w:bidi="ar-SA"/>
          <w:highlight w:val="auto"/>
        </w:rPr>
      </w:pPr>
      <w:r>
        <w:rPr>
          <w:rFonts w:ascii="仿宋_GB2312" w:eastAsia="仿宋_GB2312" w:cs="仿宋_GB2312" w:hAnsi="仿宋_GB2312" w:hint="eastAsia"/>
          <w:b w:val="0"/>
          <w:bCs w:val="0"/>
          <w:color w:val="auto"/>
          <w:spacing w:val="17"/>
          <w:kern w:val="2"/>
          <w:sz w:val="32"/>
          <w:szCs w:val="32"/>
          <w:u w:val="none"/>
          <w:lang w:val="en-US" w:eastAsia="zh-CN" w:bidi="ar-SA"/>
          <w:highlight w:val="auto"/>
        </w:rPr>
        <w:t>附件：双鸭山市基本养老服务清单</w:t>
      </w:r>
    </w:p>
    <w:p>
      <w:pPr>
        <w:keepNext w:val="0"/>
        <w:keepLines w:val="0"/>
        <w:pageBreakBefore w:val="0"/>
        <w:widowControl w:val="0"/>
        <w:kinsoku/>
        <w:wordWrap/>
        <w:overflowPunct w:val="0"/>
        <w:topLinePunct/>
        <w:autoSpaceDE/>
        <w:autoSpaceDN/>
        <w:bidi w:val="0"/>
        <w:adjustRightInd/>
        <w:snapToGrid/>
        <w:spacing w:line="560" w:lineRule="exact"/>
        <w:textAlignment w:val="auto"/>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tbl>
      <w:tblPr>
        <w:tblpPr w:leftFromText="181" w:rightFromText="181" w:vertAnchor="page" w:horzAnchor="page" w:tblpXSpec="center" w:tblpY="13119"/>
        <w:tblOverlap w:val="never"/>
        <w:tblBorders>
          <w:top w:val="single" w:sz="4" w:space="0" w:color="auto"/>
          <w:left w:val="none" w:sz="0" w:space="0" w:color="auto"/>
          <w:bottom w:val="single" w:sz="4" w:space="0" w:color="auto"/>
          <w:right w:val="none" w:sz="0" w:space="0" w:color="auto"/>
          <w:insideH w:val="single" w:sz="2" w:space="0" w:color="auto"/>
          <w:insideV w:val="single" w:sz="4" w:space="0" w:color="auto"/>
        </w:tblBorders>
        <w:tblLayout w:type="fixed"/>
        <w:tblCellMar>
          <w:top w:w="0" w:type="dxa"/>
          <w:left w:w="108" w:type="dxa"/>
          <w:bottom w:w="0" w:type="dxa"/>
          <w:right w:w="108" w:type="dxa"/>
        </w:tblCellMar>
      </w:tblPr>
      <w:tblGrid>
        <w:gridCol w:w="9028"/>
      </w:tblGrid>
      <w:tr>
        <w:tc>
          <w:tcPr>
            <w:tcW w:w="9028" w:type="dxa"/>
            <w:tcBorders>
              <w:tl2br w:val="nil"/>
              <w:tr2bl w:val="nil"/>
            </w:tcBorders>
          </w:tcPr>
          <w:p>
            <w:pPr>
              <w:keepNext w:val="0"/>
              <w:keepLines w:val="0"/>
              <w:pageBreakBefore w:val="0"/>
              <w:widowControl w:val="0"/>
              <w:kinsoku/>
              <w:wordWrap/>
              <w:overflowPunct w:val="0"/>
              <w:topLinePunct/>
              <w:autoSpaceDE/>
              <w:autoSpaceDN/>
              <w:bidi w:val="0"/>
              <w:adjustRightInd/>
              <w:snapToGrid/>
              <w:spacing w:line="400" w:lineRule="exact"/>
              <w:ind w:right="0" w:firstLineChars="100" w:firstLine="276"/>
              <w:textAlignment w:val="auto"/>
              <w:rPr>
                <w:rFonts w:ascii="Times New Roman" w:eastAsia="仿宋_GB2312" w:cs="Times New Roman" w:hAnsi="Times New Roman"/>
                <w:b w:val="0"/>
                <w:bCs w:val="0"/>
                <w:sz w:val="28"/>
                <w:szCs w:val="28"/>
              </w:rPr>
            </w:pPr>
            <w:r>
              <w:rPr>
                <w:rFonts w:ascii="Times New Roman" w:eastAsia="仿宋_GB2312" w:cs="Times New Roman" w:hAnsi="Times New Roman"/>
                <w:b w:val="0"/>
                <w:bCs w:val="0"/>
                <w:sz w:val="28"/>
                <w:szCs w:val="28"/>
              </w:rPr>
              <w:t>抄送：市委办公室，市纪委</w:t>
            </w:r>
            <w:r>
              <w:rPr>
                <w:rFonts w:ascii="Times New Roman" w:eastAsia="仿宋_GB2312" w:cs="Times New Roman" w:hAnsi="Times New Roman"/>
                <w:b w:val="0"/>
                <w:bCs w:val="0"/>
                <w:sz w:val="28"/>
                <w:szCs w:val="28"/>
                <w:lang w:eastAsia="zh-CN"/>
              </w:rPr>
              <w:t>办公室</w:t>
            </w:r>
            <w:r>
              <w:rPr>
                <w:rFonts w:ascii="Times New Roman" w:eastAsia="仿宋_GB2312" w:cs="Times New Roman" w:hAnsi="Times New Roman"/>
                <w:b w:val="0"/>
                <w:bCs w:val="0"/>
                <w:sz w:val="28"/>
                <w:szCs w:val="28"/>
              </w:rPr>
              <w:t>，</w:t>
            </w:r>
            <w:r>
              <w:rPr>
                <w:rFonts w:ascii="Times New Roman" w:eastAsia="仿宋_GB2312" w:cs="Times New Roman" w:hAnsi="Times New Roman"/>
                <w:b w:val="0"/>
                <w:bCs w:val="0"/>
                <w:sz w:val="28"/>
                <w:szCs w:val="28"/>
                <w:lang w:eastAsia="zh-CN"/>
              </w:rPr>
              <w:t>双鸭山</w:t>
            </w:r>
            <w:r>
              <w:rPr>
                <w:rFonts w:ascii="Times New Roman" w:eastAsia="仿宋_GB2312" w:cs="Times New Roman" w:hAnsi="Times New Roman"/>
                <w:b w:val="0"/>
                <w:bCs w:val="0"/>
                <w:sz w:val="28"/>
                <w:szCs w:val="28"/>
              </w:rPr>
              <w:t>军分区。</w:t>
            </w:r>
          </w:p>
          <w:p>
            <w:pPr>
              <w:pStyle w:val="15"/>
              <w:keepNext w:val="0"/>
              <w:keepLines w:val="0"/>
              <w:pageBreakBefore w:val="0"/>
              <w:widowControl w:val="0"/>
              <w:kinsoku/>
              <w:wordWrap/>
              <w:overflowPunct w:val="0"/>
              <w:topLinePunct/>
              <w:autoSpaceDE/>
              <w:autoSpaceDN/>
              <w:bidi w:val="0"/>
              <w:adjustRightInd/>
              <w:snapToGrid/>
              <w:spacing w:before="0" w:after="0" w:line="400" w:lineRule="exact"/>
              <w:ind w:left="0" w:right="0"/>
              <w:jc w:val="both"/>
              <w:textAlignment w:val="auto"/>
            </w:pPr>
            <w:r>
              <w:rPr>
                <w:rFonts w:ascii="Times New Roman" w:cs="Times New Roman" w:hAnsi="Times New Roman"/>
                <w:b w:val="0"/>
                <w:bCs w:val="0"/>
                <w:sz w:val="28"/>
                <w:szCs w:val="28"/>
              </w:rPr>
              <w:t xml:space="preserve">        市残联。</w:t>
            </w:r>
          </w:p>
          <w:p>
            <w:pPr>
              <w:keepNext w:val="0"/>
              <w:keepLines w:val="0"/>
              <w:pageBreakBefore w:val="0"/>
              <w:widowControl w:val="0"/>
              <w:kinsoku/>
              <w:wordWrap/>
              <w:overflowPunct w:val="0"/>
              <w:topLinePunct/>
              <w:autoSpaceDE/>
              <w:autoSpaceDN/>
              <w:bidi w:val="0"/>
              <w:adjustRightInd/>
              <w:snapToGrid/>
              <w:spacing w:line="400" w:lineRule="exact"/>
              <w:ind w:right="0" w:firstLineChars="400" w:firstLine="1103"/>
              <w:textAlignment w:val="auto"/>
              <w:rPr>
                <w:b w:val="0"/>
                <w:bCs w:val="0"/>
                <w:sz w:val="28"/>
                <w:szCs w:val="28"/>
              </w:rPr>
            </w:pPr>
            <w:r>
              <w:rPr>
                <w:rFonts w:ascii="Times New Roman" w:eastAsia="仿宋_GB2312" w:cs="Times New Roman" w:hAnsi="Times New Roman"/>
                <w:b w:val="0"/>
                <w:bCs w:val="0"/>
                <w:sz w:val="28"/>
                <w:szCs w:val="28"/>
              </w:rPr>
              <w:t>市人大常委会办公室，市政协办公室，市</w:t>
            </w:r>
            <w:r>
              <w:rPr>
                <w:rFonts w:ascii="Times New Roman" w:eastAsia="仿宋_GB2312" w:cs="Times New Roman" w:hAnsi="Times New Roman"/>
                <w:b w:val="0"/>
                <w:bCs w:val="0"/>
                <w:sz w:val="28"/>
                <w:szCs w:val="28"/>
                <w:lang w:eastAsia="zh-CN"/>
              </w:rPr>
              <w:t>中级</w:t>
            </w:r>
            <w:r>
              <w:rPr>
                <w:rFonts w:ascii="Times New Roman" w:eastAsia="仿宋_GB2312" w:cs="Times New Roman" w:hAnsi="Times New Roman"/>
                <w:b w:val="0"/>
                <w:bCs w:val="0"/>
                <w:sz w:val="28"/>
                <w:szCs w:val="28"/>
              </w:rPr>
              <w:t>法院，市检察院。</w:t>
            </w:r>
          </w:p>
        </w:tc>
      </w:tr>
      <w:tr>
        <w:tc>
          <w:tcPr>
            <w:tcW w:w="9028" w:type="dxa"/>
            <w:tcBorders>
              <w:tl2br w:val="nil"/>
              <w:tr2bl w:val="nil"/>
            </w:tcBorders>
          </w:tcPr>
          <w:p>
            <w:pPr>
              <w:keepNext w:val="0"/>
              <w:keepLines w:val="0"/>
              <w:pageBreakBefore w:val="0"/>
              <w:widowControl w:val="0"/>
              <w:kinsoku/>
              <w:wordWrap/>
              <w:overflowPunct w:val="0"/>
              <w:topLinePunct/>
              <w:autoSpaceDE/>
              <w:autoSpaceDN/>
              <w:bidi w:val="0"/>
              <w:adjustRightInd/>
              <w:snapToGrid/>
              <w:spacing w:line="400" w:lineRule="exact"/>
              <w:ind w:rightChars="100" w:right="316" w:firstLineChars="100" w:firstLine="276"/>
              <w:textAlignment w:val="auto"/>
              <w:rPr>
                <w:rFonts w:ascii="Times New Roman" w:eastAsia="仿宋_GB2312" w:cs="Times New Roman" w:hAnsi="Times New Roman"/>
                <w:b w:val="0"/>
                <w:bCs w:val="0"/>
                <w:sz w:val="28"/>
                <w:szCs w:val="28"/>
              </w:rPr>
            </w:pPr>
            <w:r>
              <w:rPr>
                <w:rFonts w:ascii="Times New Roman" w:eastAsia="仿宋_GB2312" w:cs="Times New Roman" w:hAnsi="Times New Roman"/>
                <w:b w:val="0"/>
                <w:bCs w:val="0"/>
                <w:sz w:val="28"/>
                <w:szCs w:val="28"/>
              </w:rPr>
              <w:t xml:space="preserve">双鸭山市人民政府办公室         </w:t>
            </w:r>
            <w:r>
              <w:rPr>
                <w:rFonts w:ascii="Times New Roman" w:cs="Times New Roman" w:hAnsi="Times New Roman"/>
                <w:b w:val="0"/>
                <w:bCs w:val="0"/>
                <w:sz w:val="28"/>
                <w:szCs w:val="28"/>
              </w:rPr>
              <w:t xml:space="preserve">  </w:t>
            </w:r>
            <w:r>
              <w:rPr>
                <w:rFonts w:ascii="Times New Roman" w:eastAsia="仿宋_GB2312" w:cs="Times New Roman" w:hAnsi="Times New Roman"/>
                <w:b w:val="0"/>
                <w:bCs w:val="0"/>
                <w:sz w:val="28"/>
                <w:szCs w:val="28"/>
              </w:rPr>
              <w:t xml:space="preserve">       </w:t>
            </w:r>
            <w:r>
              <w:rPr>
                <w:rFonts w:ascii="Times New Roman" w:eastAsia="仿宋_GB2312" w:cs="Times New Roman" w:hAnsi="Times New Roman"/>
                <w:b w:val="0"/>
                <w:bCs w:val="0"/>
                <w:sz w:val="28"/>
                <w:szCs w:val="28"/>
                <w:lang w:eastAsia="zh-CN"/>
              </w:rPr>
              <w:t>202</w:t>
            </w:r>
            <w:r>
              <w:rPr>
                <w:rFonts w:ascii="Times New Roman" w:cs="Times New Roman" w:hAnsi="Times New Roman"/>
                <w:b w:val="0"/>
                <w:bCs w:val="0"/>
                <w:sz w:val="28"/>
                <w:szCs w:val="28"/>
                <w:lang w:val="en-US" w:eastAsia="zh-CN"/>
              </w:rPr>
              <w:t>4</w:t>
            </w:r>
            <w:r>
              <w:rPr>
                <w:rFonts w:ascii="Times New Roman" w:eastAsia="仿宋_GB2312" w:cs="Times New Roman" w:hAnsi="Times New Roman"/>
                <w:b w:val="0"/>
                <w:bCs w:val="0"/>
                <w:sz w:val="28"/>
                <w:szCs w:val="28"/>
              </w:rPr>
              <w:t>年</w:t>
            </w:r>
            <w:r>
              <w:rPr>
                <w:rFonts w:ascii="Times New Roman" w:cs="Times New Roman" w:hAnsi="Times New Roman"/>
                <w:b w:val="0"/>
                <w:bCs w:val="0"/>
                <w:sz w:val="28"/>
                <w:szCs w:val="28"/>
                <w:lang w:eastAsia="zh-CN"/>
              </w:rPr>
              <w:t>5</w:t>
            </w:r>
            <w:r>
              <w:rPr>
                <w:rFonts w:ascii="Times New Roman" w:cs="Times New Roman" w:hAnsi="Times New Roman"/>
                <w:b w:val="0"/>
                <w:bCs w:val="0"/>
                <w:sz w:val="28"/>
                <w:szCs w:val="28"/>
              </w:rPr>
              <w:t>月</w:t>
            </w:r>
            <w:r>
              <w:rPr>
                <w:rFonts w:ascii="Times New Roman" w:cs="Times New Roman" w:hAnsi="Times New Roman"/>
                <w:b w:val="0"/>
                <w:bCs w:val="0"/>
                <w:sz w:val="28"/>
                <w:szCs w:val="28"/>
                <w:lang w:eastAsia="zh-CN"/>
              </w:rPr>
              <w:t>20</w:t>
            </w:r>
            <w:r>
              <w:rPr>
                <w:rFonts w:ascii="Times New Roman" w:eastAsia="仿宋_GB2312" w:cs="Times New Roman" w:hAnsi="Times New Roman"/>
                <w:b w:val="0"/>
                <w:bCs w:val="0"/>
                <w:sz w:val="28"/>
                <w:szCs w:val="28"/>
              </w:rPr>
              <w:t>日印发</w:t>
            </w:r>
          </w:p>
        </w:tc>
      </w:tr>
    </w:tbl>
    <w:p>
      <w:pPr>
        <w:rPr>
          <w:rFonts w:hint="eastAsia"/>
          <w:b w:val="0"/>
          <w:bCs w:val="0"/>
          <w:color w:val="auto"/>
        </w:rPr>
        <w:sectPr>
          <w:footerReference w:type="default" r:id="rId2"/>
          <w:footerReference w:type="even" r:id="rId3"/>
          <w:pgSz w:w="11906" w:h="16838"/>
          <w:pgMar w:top="2098" w:right="1474" w:bottom="1985" w:left="1588" w:header="851" w:footer="1587" w:gutter="0"/>
          <w:pgBorders>
            <w:top w:val="none" w:sz="0" w:space="0" w:color="auto"/>
            <w:left w:val="none" w:sz="0" w:space="0" w:color="auto"/>
            <w:bottom w:val="none" w:sz="0" w:space="0" w:color="auto"/>
            <w:right w:val="none" w:sz="0" w:space="0" w:color="auto"/>
          </w:pgBorders>
          <w:pgNumType/>
          <w:docGrid w:type="linesAndChars" w:linePitch="579" w:charSpace="-849"/>
        </w:sectPr>
      </w:pPr>
    </w:p>
    <w:p>
      <w:pPr>
        <w:keepNext w:val="0"/>
        <w:keepLines w:val="0"/>
        <w:pageBreakBefore w:val="0"/>
        <w:widowControl w:val="0"/>
        <w:kinsoku/>
        <w:wordWrap/>
        <w:overflowPunct w:val="0"/>
        <w:topLinePunct/>
        <w:autoSpaceDE/>
        <w:autoSpaceDN/>
        <w:bidi w:val="0"/>
        <w:adjustRightInd/>
        <w:snapToGrid/>
        <w:spacing w:line="560" w:lineRule="exact"/>
        <w:textAlignment w:val="auto"/>
        <w:rPr>
          <w:rFonts w:ascii="黑体" w:eastAsia="黑体" w:cs="黑体" w:hAnsi="黑体" w:hint="eastAsia"/>
          <w:color w:val="auto"/>
          <w:sz w:val="32"/>
          <w:szCs w:val="32"/>
          <w:shd w:val="clear" w:color="auto" w:fill="auto"/>
          <w:lang w:val="en-US" w:eastAsia="zh-CN"/>
        </w:rPr>
      </w:pPr>
      <w:r>
        <w:rPr>
          <w:rFonts w:ascii="黑体" w:eastAsia="黑体" w:cs="黑体" w:hAnsi="黑体" w:hint="eastAsia"/>
          <w:color w:val="auto"/>
          <w:sz w:val="32"/>
          <w:szCs w:val="32"/>
          <w:shd w:val="clear" w:color="auto" w:fill="auto"/>
          <w:lang w:val="en-US" w:eastAsia="zh-CN"/>
        </w:rPr>
        <w:t>附件</w:t>
      </w:r>
    </w:p>
    <w:p>
      <w:pPr>
        <w:keepNext w:val="0"/>
        <w:keepLines w:val="0"/>
        <w:pageBreakBefore w:val="0"/>
        <w:widowControl w:val="0"/>
        <w:kinsoku/>
        <w:wordWrap/>
        <w:overflowPunct w:val="0"/>
        <w:topLinePunct/>
        <w:autoSpaceDE/>
        <w:autoSpaceDN/>
        <w:bidi w:val="0"/>
        <w:adjustRightInd/>
        <w:snapToGrid/>
        <w:spacing w:line="560" w:lineRule="exact"/>
        <w:ind w:right="0"/>
        <w:jc w:val="center"/>
        <w:textAlignment w:val="auto"/>
        <w:rPr>
          <w:rFonts w:ascii="方正小标宋简体" w:eastAsia="方正小标宋简体" w:cs="方正小标宋简体" w:hAnsi="方正小标宋简体" w:hint="eastAsia"/>
          <w:color w:val="auto"/>
          <w:sz w:val="44"/>
          <w:szCs w:val="44"/>
          <w:shd w:val="clear" w:color="auto" w:fill="auto"/>
          <w:lang w:val="en-US" w:eastAsia="zh-CN"/>
          <w:highlight w:val="auto"/>
        </w:rPr>
      </w:pPr>
      <w:r>
        <w:rPr>
          <w:rFonts w:ascii="方正小标宋简体" w:eastAsia="方正小标宋简体" w:cs="方正小标宋简体" w:hAnsi="方正小标宋简体" w:hint="eastAsia"/>
          <w:color w:val="auto"/>
          <w:sz w:val="44"/>
          <w:szCs w:val="44"/>
          <w:shd w:val="clear" w:color="auto" w:fill="auto"/>
          <w:lang w:val="en-US" w:eastAsia="zh-CN"/>
          <w:highlight w:val="auto"/>
        </w:rPr>
        <w:t>《双鸭山市基本养老服务清单》</w:t>
      </w:r>
    </w:p>
    <w:p>
      <w:pPr>
        <w:pStyle w:val="15"/>
        <w:keepNext w:val="0"/>
        <w:keepLines w:val="0"/>
        <w:pageBreakBefore w:val="0"/>
        <w:widowControl w:val="0"/>
        <w:kinsoku/>
        <w:wordWrap/>
        <w:overflowPunct w:val="0"/>
        <w:topLinePunct/>
        <w:autoSpaceDE/>
        <w:autoSpaceDN/>
        <w:bidi w:val="0"/>
        <w:adjustRightInd/>
        <w:snapToGrid/>
        <w:spacing w:before="0" w:after="0" w:line="560" w:lineRule="exact"/>
        <w:textAlignment w:val="auto"/>
        <w:rPr>
          <w:rFonts w:hint="eastAsia"/>
          <w:lang w:val="en-US" w:eastAsia="zh-CN"/>
        </w:rPr>
      </w:pPr>
    </w:p>
    <w:tbl>
      <w:tblPr>
        <w:jc w:val="center"/>
        <w:tblW w:w="1287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387"/>
        <w:gridCol w:w="675"/>
        <w:gridCol w:w="2003"/>
        <w:gridCol w:w="4246"/>
        <w:gridCol w:w="2336"/>
        <w:gridCol w:w="1232"/>
      </w:tblGrid>
      <w:tr>
        <w:trPr>
          <w:trHeight w:val="90"/>
          <w:tblHeader/>
        </w:trPr>
        <w:tc>
          <w:tcPr>
            <w:tcW w:w="238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黑体" w:cs="Times New Roman" w:hAnsi="Times New Roman"/>
                <w:b w:val="0"/>
                <w:bCs w:val="0"/>
                <w:i w:val="0"/>
                <w:iCs w:val="0"/>
                <w:color w:val="auto"/>
                <w:sz w:val="21"/>
                <w:szCs w:val="21"/>
                <w:u w:val="none"/>
                <w:shd w:val="clear" w:color="auto" w:fill="auto"/>
              </w:rPr>
            </w:pPr>
            <w:r>
              <w:rPr>
                <w:rFonts w:ascii="Times New Roman" w:eastAsia="黑体" w:cs="Times New Roman" w:hAnsi="Times New Roman"/>
                <w:b w:val="0"/>
                <w:bCs w:val="0"/>
                <w:i w:val="0"/>
                <w:iCs w:val="0"/>
                <w:color w:val="auto"/>
                <w:kern w:val="0"/>
                <w:sz w:val="21"/>
                <w:szCs w:val="21"/>
                <w:u w:val="none"/>
                <w:shd w:val="clear" w:color="auto" w:fill="auto"/>
                <w:lang w:val="en-US" w:eastAsia="zh-CN" w:bidi="ar-SA"/>
              </w:rPr>
              <w:t>服务对象</w:t>
            </w:r>
          </w:p>
        </w:tc>
        <w:tc>
          <w:tcPr>
            <w:tcW w:w="2678"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黑体" w:cs="Times New Roman" w:hAnsi="Times New Roman"/>
                <w:b w:val="0"/>
                <w:bCs w:val="0"/>
                <w:i w:val="0"/>
                <w:iCs w:val="0"/>
                <w:color w:val="auto"/>
                <w:sz w:val="21"/>
                <w:szCs w:val="21"/>
                <w:u w:val="none"/>
                <w:shd w:val="clear" w:color="auto" w:fill="auto"/>
              </w:rPr>
            </w:pPr>
            <w:r>
              <w:rPr>
                <w:rFonts w:ascii="Times New Roman" w:eastAsia="黑体" w:cs="Times New Roman" w:hAnsi="Times New Roman"/>
                <w:b w:val="0"/>
                <w:bCs w:val="0"/>
                <w:i w:val="0"/>
                <w:iCs w:val="0"/>
                <w:color w:val="auto"/>
                <w:kern w:val="0"/>
                <w:sz w:val="21"/>
                <w:szCs w:val="21"/>
                <w:u w:val="none"/>
                <w:shd w:val="clear" w:color="auto" w:fill="auto"/>
                <w:lang w:val="en-US" w:eastAsia="zh-CN" w:bidi="ar-SA"/>
              </w:rPr>
              <w:t>服务项目</w:t>
            </w:r>
          </w:p>
        </w:tc>
        <w:tc>
          <w:tcPr>
            <w:tcW w:w="424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黑体" w:cs="Times New Roman" w:hAnsi="Times New Roman"/>
                <w:b w:val="0"/>
                <w:bCs w:val="0"/>
                <w:i w:val="0"/>
                <w:iCs w:val="0"/>
                <w:color w:val="auto"/>
                <w:sz w:val="21"/>
                <w:szCs w:val="21"/>
                <w:u w:val="none"/>
                <w:shd w:val="clear" w:color="auto" w:fill="auto"/>
              </w:rPr>
            </w:pPr>
            <w:r>
              <w:rPr>
                <w:rFonts w:ascii="Times New Roman" w:eastAsia="黑体" w:cs="Times New Roman" w:hAnsi="Times New Roman"/>
                <w:b w:val="0"/>
                <w:bCs w:val="0"/>
                <w:i w:val="0"/>
                <w:iCs w:val="0"/>
                <w:color w:val="auto"/>
                <w:kern w:val="0"/>
                <w:sz w:val="21"/>
                <w:szCs w:val="21"/>
                <w:u w:val="none"/>
                <w:shd w:val="clear" w:color="auto" w:fill="auto"/>
                <w:lang w:val="en-US" w:eastAsia="zh-CN" w:bidi="ar-SA"/>
              </w:rPr>
              <w:t>服务内容及标准</w:t>
            </w:r>
          </w:p>
        </w:tc>
        <w:tc>
          <w:tcPr>
            <w:tcW w:w="233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黑体" w:cs="Times New Roman" w:hAnsi="Times New Roman"/>
                <w:b w:val="0"/>
                <w:bCs w:val="0"/>
                <w:i w:val="0"/>
                <w:iCs w:val="0"/>
                <w:color w:val="auto"/>
                <w:sz w:val="21"/>
                <w:szCs w:val="21"/>
                <w:u w:val="none"/>
                <w:shd w:val="clear" w:color="auto" w:fill="auto"/>
              </w:rPr>
            </w:pPr>
            <w:r>
              <w:rPr>
                <w:rFonts w:ascii="Times New Roman" w:eastAsia="黑体" w:cs="Times New Roman" w:hAnsi="Times New Roman"/>
                <w:b w:val="0"/>
                <w:bCs w:val="0"/>
                <w:i w:val="0"/>
                <w:iCs w:val="0"/>
                <w:color w:val="auto"/>
                <w:kern w:val="0"/>
                <w:sz w:val="21"/>
                <w:szCs w:val="21"/>
                <w:u w:val="none"/>
                <w:shd w:val="clear" w:color="auto" w:fill="auto"/>
                <w:lang w:val="en-US" w:eastAsia="zh-CN" w:bidi="ar-SA"/>
              </w:rPr>
              <w:t>牵头单位</w:t>
            </w:r>
          </w:p>
        </w:tc>
        <w:tc>
          <w:tcPr>
            <w:tcW w:w="12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黑体" w:cs="Times New Roman" w:hAnsi="Times New Roman"/>
                <w:b w:val="0"/>
                <w:bCs w:val="0"/>
                <w:i w:val="0"/>
                <w:iCs w:val="0"/>
                <w:color w:val="auto"/>
                <w:sz w:val="21"/>
                <w:szCs w:val="21"/>
                <w:u w:val="none"/>
                <w:shd w:val="clear" w:color="auto" w:fill="auto"/>
              </w:rPr>
            </w:pPr>
            <w:r>
              <w:rPr>
                <w:rFonts w:ascii="Times New Roman" w:eastAsia="黑体" w:cs="Times New Roman" w:hAnsi="Times New Roman"/>
                <w:b w:val="0"/>
                <w:bCs w:val="0"/>
                <w:i w:val="0"/>
                <w:iCs w:val="0"/>
                <w:color w:val="auto"/>
                <w:kern w:val="0"/>
                <w:sz w:val="21"/>
                <w:szCs w:val="21"/>
                <w:u w:val="none"/>
                <w:shd w:val="clear" w:color="auto" w:fill="auto"/>
                <w:lang w:val="en-US" w:eastAsia="zh-CN" w:bidi="ar-SA"/>
              </w:rPr>
              <w:t>服务类型</w:t>
            </w:r>
          </w:p>
        </w:tc>
      </w:tr>
      <w:tr>
        <w:trPr>
          <w:trHeight w:val="90"/>
        </w:trPr>
        <w:tc>
          <w:tcPr>
            <w:tcW w:w="238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both"/>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符合相关条件的老年人</w:t>
            </w:r>
          </w:p>
        </w:tc>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1</w:t>
            </w:r>
          </w:p>
        </w:tc>
        <w:tc>
          <w:tcPr>
            <w:tcW w:w="200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基本医疗保险</w:t>
            </w:r>
          </w:p>
        </w:tc>
        <w:tc>
          <w:tcPr>
            <w:tcW w:w="424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ind w:firstLineChars="200" w:firstLine="412"/>
              <w:jc w:val="both"/>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优先为符合条件的参保老年人提供城镇职工基本医疗保险或城乡居民基本医疗保险服务保障。</w:t>
            </w:r>
          </w:p>
        </w:tc>
        <w:tc>
          <w:tcPr>
            <w:tcW w:w="233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市医保局</w:t>
            </w:r>
          </w:p>
        </w:tc>
        <w:tc>
          <w:tcPr>
            <w:tcW w:w="12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物质帮助</w:t>
            </w:r>
          </w:p>
        </w:tc>
      </w:tr>
      <w:tr>
        <w:trPr>
          <w:trHeight w:val="123"/>
        </w:trPr>
        <w:tc>
          <w:tcPr>
            <w:tcW w:w="238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both"/>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达到待遇享受年龄的老年人</w:t>
            </w:r>
          </w:p>
        </w:tc>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2</w:t>
            </w:r>
          </w:p>
        </w:tc>
        <w:tc>
          <w:tcPr>
            <w:tcW w:w="200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基本养老保险</w:t>
            </w:r>
          </w:p>
        </w:tc>
        <w:tc>
          <w:tcPr>
            <w:tcW w:w="424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ind w:firstLineChars="200" w:firstLine="412"/>
              <w:jc w:val="both"/>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职工基本养老保险为符合条件的参保老年人按时足额发放基本养老金；城乡居民基本养老保险为符合条件的参保老年人按时足额发放基础养老金和个人账户养老金。</w:t>
            </w:r>
          </w:p>
        </w:tc>
        <w:tc>
          <w:tcPr>
            <w:tcW w:w="233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市人力资源社会保障局</w:t>
            </w:r>
          </w:p>
        </w:tc>
        <w:tc>
          <w:tcPr>
            <w:tcW w:w="12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物质帮助</w:t>
            </w:r>
          </w:p>
        </w:tc>
      </w:tr>
      <w:tr>
        <w:trPr>
          <w:trHeight w:val="1680"/>
        </w:trPr>
        <w:tc>
          <w:tcPr>
            <w:tcW w:w="238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both"/>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80周岁及以上的具有双鸭山市户籍的老年人</w:t>
            </w:r>
          </w:p>
        </w:tc>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3</w:t>
            </w:r>
          </w:p>
        </w:tc>
        <w:tc>
          <w:tcPr>
            <w:tcW w:w="200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高龄津贴</w:t>
            </w:r>
          </w:p>
        </w:tc>
        <w:tc>
          <w:tcPr>
            <w:tcW w:w="424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ind w:firstLineChars="200" w:firstLine="412"/>
              <w:jc w:val="both"/>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对具有双鸭山市户籍，年龄在80（含）至89周岁的经济收入正常的老年人每人每年发放不低于300元高龄津贴；对具有双鸭山市户籍，年龄在80（含）至89周岁的低保和低保边缘老年人，以及年龄在90周岁及以上的老年人每人每年发放不低于1200元高龄津贴（具体按发放办法执行）。</w:t>
            </w:r>
          </w:p>
        </w:tc>
        <w:tc>
          <w:tcPr>
            <w:tcW w:w="233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市民政局</w:t>
            </w:r>
          </w:p>
        </w:tc>
        <w:tc>
          <w:tcPr>
            <w:tcW w:w="12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物质帮助</w:t>
            </w:r>
          </w:p>
        </w:tc>
      </w:tr>
      <w:tr>
        <w:trPr>
          <w:trHeight w:val="90"/>
        </w:trPr>
        <w:tc>
          <w:tcPr>
            <w:tcW w:w="2387"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both"/>
              <w:textAlignment w:val="center"/>
              <w:rPr>
                <w:rFonts w:ascii="Times New Roman" w:eastAsia="仿宋_GB2312" w:cs="Times New Roman" w:hAnsi="Times New Roman"/>
                <w:i w:val="0"/>
                <w:iCs w:val="0"/>
                <w:color w:val="auto"/>
                <w:sz w:val="21"/>
                <w:szCs w:val="21"/>
                <w:u w:val="none"/>
                <w:shd w:val="clear" w:color="auto" w:fill="auto"/>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经认定生活不能自理的老年人</w:t>
            </w:r>
          </w:p>
        </w:tc>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4</w:t>
            </w:r>
          </w:p>
        </w:tc>
        <w:tc>
          <w:tcPr>
            <w:tcW w:w="200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护理补贴</w:t>
            </w:r>
          </w:p>
        </w:tc>
        <w:tc>
          <w:tcPr>
            <w:tcW w:w="424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ind w:firstLineChars="200" w:firstLine="412"/>
              <w:jc w:val="both"/>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具有双鸭山市户籍且年龄在60周岁以上的城乡低保、低保边缘家庭失能和半失能老年人，享受失能护理补贴，补贴标准为：低保家庭失能老年人每人每月150元、半失能老年人每人每月100元；低保边缘家庭失能老年人每人每月100元、半失能老年人每人每月50元。</w:t>
            </w:r>
          </w:p>
        </w:tc>
        <w:tc>
          <w:tcPr>
            <w:tcW w:w="233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市民政局</w:t>
            </w:r>
          </w:p>
        </w:tc>
        <w:tc>
          <w:tcPr>
            <w:tcW w:w="12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物质帮助</w:t>
            </w:r>
          </w:p>
        </w:tc>
      </w:tr>
      <w:tr>
        <w:trPr>
          <w:trHeight w:val="90"/>
        </w:trPr>
        <w:tc>
          <w:tcPr>
            <w:tcW w:w="2387"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5</w:t>
            </w:r>
          </w:p>
        </w:tc>
        <w:tc>
          <w:tcPr>
            <w:tcW w:w="200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家庭养老支持服务</w:t>
            </w:r>
          </w:p>
        </w:tc>
        <w:tc>
          <w:tcPr>
            <w:tcW w:w="424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ind w:firstLineChars="200" w:firstLine="412"/>
              <w:jc w:val="both"/>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符合条件的失能老年人家庭成员参加照护培训等相关职业技能培训的，按规定给予职业培训补贴。</w:t>
            </w:r>
          </w:p>
        </w:tc>
        <w:tc>
          <w:tcPr>
            <w:tcW w:w="233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市人力资源社会保障局</w:t>
            </w:r>
          </w:p>
        </w:tc>
        <w:tc>
          <w:tcPr>
            <w:tcW w:w="12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照护服务</w:t>
            </w:r>
          </w:p>
        </w:tc>
      </w:tr>
      <w:tr>
        <w:trPr>
          <w:trHeight w:val="720"/>
        </w:trPr>
        <w:tc>
          <w:tcPr>
            <w:tcW w:w="238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both"/>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纳入最低生活保障范围的老年人</w:t>
            </w:r>
          </w:p>
        </w:tc>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6</w:t>
            </w:r>
          </w:p>
        </w:tc>
        <w:tc>
          <w:tcPr>
            <w:tcW w:w="200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最低社会保障</w:t>
            </w:r>
          </w:p>
        </w:tc>
        <w:tc>
          <w:tcPr>
            <w:tcW w:w="424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ind w:firstLineChars="200" w:firstLine="412"/>
              <w:jc w:val="both"/>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对低保家庭中的老年人，按照当地低保标准15%予以低保金加发，有条件的可进一步提高加发比例。</w:t>
            </w:r>
          </w:p>
        </w:tc>
        <w:tc>
          <w:tcPr>
            <w:tcW w:w="233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市民政局</w:t>
            </w:r>
          </w:p>
        </w:tc>
        <w:tc>
          <w:tcPr>
            <w:tcW w:w="12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物质帮助</w:t>
            </w:r>
          </w:p>
        </w:tc>
      </w:tr>
      <w:tr>
        <w:trPr>
          <w:trHeight w:val="90"/>
        </w:trPr>
        <w:tc>
          <w:tcPr>
            <w:tcW w:w="238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both"/>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计划生育特殊家庭的老年人</w:t>
            </w:r>
          </w:p>
        </w:tc>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7</w:t>
            </w:r>
          </w:p>
        </w:tc>
        <w:tc>
          <w:tcPr>
            <w:tcW w:w="200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优先享受机构养老</w:t>
            </w:r>
          </w:p>
        </w:tc>
        <w:tc>
          <w:tcPr>
            <w:tcW w:w="424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ind w:firstLineChars="200" w:firstLine="412"/>
              <w:jc w:val="both"/>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同等条件下优先入住政府投资兴办的养老机构。</w:t>
            </w:r>
          </w:p>
        </w:tc>
        <w:tc>
          <w:tcPr>
            <w:tcW w:w="233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spacing w:val="-6"/>
                <w:kern w:val="0"/>
                <w:sz w:val="21"/>
                <w:szCs w:val="21"/>
                <w:u w:val="none"/>
                <w:shd w:val="clear" w:color="auto" w:fill="auto"/>
                <w:lang w:val="en-US" w:eastAsia="zh-CN" w:bidi="ar-SA"/>
              </w:rPr>
              <w:t>市卫生健康委</w:t>
            </w:r>
          </w:p>
        </w:tc>
        <w:tc>
          <w:tcPr>
            <w:tcW w:w="12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照护服务</w:t>
            </w:r>
          </w:p>
        </w:tc>
      </w:tr>
      <w:tr>
        <w:trPr>
          <w:trHeight w:val="90"/>
        </w:trPr>
        <w:tc>
          <w:tcPr>
            <w:tcW w:w="2387"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both"/>
              <w:textAlignment w:val="center"/>
              <w:rPr>
                <w:rFonts w:ascii="Times New Roman" w:eastAsia="仿宋_GB2312" w:cs="Times New Roman" w:hAnsi="Times New Roman"/>
                <w:i w:val="0"/>
                <w:iCs w:val="0"/>
                <w:color w:val="auto"/>
                <w:sz w:val="21"/>
                <w:szCs w:val="21"/>
                <w:u w:val="none"/>
                <w:shd w:val="clear" w:color="auto" w:fill="auto"/>
              </w:rPr>
            </w:pPr>
            <w:r>
              <w:rPr>
                <w:rFonts w:ascii="Times New Roman" w:eastAsia="仿宋_GB2312" w:cs="Times New Roman" w:hAnsi="Times New Roman"/>
                <w:i w:val="0"/>
                <w:iCs w:val="0"/>
                <w:color w:val="auto"/>
                <w:kern w:val="0"/>
                <w:sz w:val="21"/>
                <w:szCs w:val="21"/>
                <w:u w:val="none"/>
                <w:shd w:val="clear" w:color="auto" w:fill="auto"/>
                <w:lang w:val="en-US" w:eastAsia="zh-CN" w:bidi="ar-SA"/>
              </w:rPr>
              <w:t>65周岁及以上老年人</w:t>
            </w:r>
          </w:p>
        </w:tc>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8</w:t>
            </w:r>
          </w:p>
        </w:tc>
        <w:tc>
          <w:tcPr>
            <w:tcW w:w="200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老年人健康管理</w:t>
            </w:r>
          </w:p>
        </w:tc>
        <w:tc>
          <w:tcPr>
            <w:tcW w:w="424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ind w:firstLineChars="200" w:firstLine="412"/>
              <w:jc w:val="both"/>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每年为辖区内65周岁及以上常住居民提供1次生活方式和健康状况评估、体格检查及辅助检查、健康指导服务。</w:t>
            </w:r>
          </w:p>
        </w:tc>
        <w:tc>
          <w:tcPr>
            <w:tcW w:w="233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spacing w:val="-6"/>
                <w:kern w:val="0"/>
                <w:sz w:val="21"/>
                <w:szCs w:val="21"/>
                <w:u w:val="none"/>
                <w:shd w:val="clear" w:color="auto" w:fill="auto"/>
                <w:lang w:val="en-US" w:eastAsia="zh-CN" w:bidi="ar-SA"/>
              </w:rPr>
              <w:t>市卫生健康委</w:t>
            </w:r>
          </w:p>
        </w:tc>
        <w:tc>
          <w:tcPr>
            <w:tcW w:w="12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照护服务</w:t>
            </w:r>
          </w:p>
        </w:tc>
      </w:tr>
      <w:tr>
        <w:trPr>
          <w:trHeight w:val="90"/>
        </w:trPr>
        <w:tc>
          <w:tcPr>
            <w:tcW w:w="2387" w:type="dxa"/>
            <w:vMerge/>
            <w:tcBorders>
              <w:top w:val="single" w:sz="4" w:space="0" w:color="000000"/>
              <w:left w:val="single" w:sz="4" w:space="0" w:color="000000"/>
              <w:bottom w:val="single" w:sz="4" w:space="0" w:color="auto"/>
              <w:right w:val="single" w:sz="4" w:space="0" w:color="000000"/>
              <w:tl2br w:val="nil"/>
              <w:tr2bl w:val="nil"/>
            </w:tcBorders>
            <w:vAlign w:val="center"/>
          </w:tcPr>
          <w:p/>
        </w:tc>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9</w:t>
            </w:r>
          </w:p>
        </w:tc>
        <w:tc>
          <w:tcPr>
            <w:tcW w:w="200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0"/>
                <w:szCs w:val="20"/>
                <w:u w:val="none"/>
                <w:shd w:val="clear" w:color="auto" w:fill="auto"/>
                <w:lang w:val="en-US" w:eastAsia="zh-CN" w:bidi="ar-SA"/>
              </w:rPr>
              <w:t>老年人能力综合评估</w:t>
            </w:r>
          </w:p>
        </w:tc>
        <w:tc>
          <w:tcPr>
            <w:tcW w:w="424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ind w:firstLineChars="200" w:firstLine="412"/>
              <w:jc w:val="both"/>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为65周岁及以上的老年人提供能力综合评估，做好老年人能力综合评估与健康状况评估的衔接。</w:t>
            </w:r>
          </w:p>
        </w:tc>
        <w:tc>
          <w:tcPr>
            <w:tcW w:w="233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市民政局</w:t>
            </w:r>
          </w:p>
        </w:tc>
        <w:tc>
          <w:tcPr>
            <w:tcW w:w="12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照护服务</w:t>
            </w:r>
          </w:p>
        </w:tc>
      </w:tr>
      <w:tr>
        <w:trPr>
          <w:trHeight w:val="90"/>
        </w:trPr>
        <w:tc>
          <w:tcPr>
            <w:tcW w:w="2387"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both"/>
              <w:textAlignment w:val="center"/>
              <w:rPr>
                <w:rFonts w:ascii="Times New Roman" w:eastAsia="仿宋_GB2312" w:cs="Times New Roman" w:hAnsi="Times New Roman"/>
                <w:i w:val="0"/>
                <w:iCs w:val="0"/>
                <w:color w:val="auto"/>
                <w:sz w:val="21"/>
                <w:szCs w:val="21"/>
                <w:u w:val="none"/>
                <w:shd w:val="clear" w:color="auto" w:fill="auto"/>
              </w:rPr>
            </w:pPr>
            <w:r>
              <w:rPr>
                <w:rFonts w:ascii="Times New Roman" w:eastAsia="仿宋_GB2312" w:cs="Times New Roman" w:hAnsi="Times New Roman"/>
                <w:i w:val="0"/>
                <w:iCs w:val="0"/>
                <w:color w:val="auto"/>
                <w:kern w:val="0"/>
                <w:sz w:val="21"/>
                <w:szCs w:val="21"/>
                <w:u w:val="none"/>
                <w:shd w:val="clear" w:color="auto" w:fill="auto"/>
                <w:lang w:val="en-US" w:eastAsia="zh-CN" w:bidi="ar-SA"/>
              </w:rPr>
              <w:t>60周岁以上的老年人</w:t>
            </w:r>
          </w:p>
        </w:tc>
        <w:tc>
          <w:tcPr>
            <w:tcW w:w="675" w:type="dxa"/>
            <w:tcBorders>
              <w:top w:val="single" w:sz="4" w:space="0" w:color="000000"/>
              <w:left w:val="single" w:sz="4" w:space="0" w:color="auto"/>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10</w:t>
            </w:r>
          </w:p>
        </w:tc>
        <w:tc>
          <w:tcPr>
            <w:tcW w:w="200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老年人家庭医养支持服务</w:t>
            </w:r>
          </w:p>
        </w:tc>
        <w:tc>
          <w:tcPr>
            <w:tcW w:w="424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ind w:firstLineChars="200" w:firstLine="412"/>
              <w:jc w:val="both"/>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通过兼具养老服务能力和医疗卫生资质的医养结合机构，为有需求的老年人提供养老、医疗、护理、康复、心理支持等服务。</w:t>
            </w:r>
          </w:p>
        </w:tc>
        <w:tc>
          <w:tcPr>
            <w:tcW w:w="233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spacing w:val="-6"/>
                <w:kern w:val="0"/>
                <w:sz w:val="21"/>
                <w:szCs w:val="21"/>
                <w:u w:val="none"/>
                <w:shd w:val="clear" w:color="auto" w:fill="auto"/>
                <w:lang w:val="en-US" w:eastAsia="zh-CN" w:bidi="ar-SA"/>
              </w:rPr>
              <w:t>市卫生健康委</w:t>
            </w:r>
          </w:p>
        </w:tc>
        <w:tc>
          <w:tcPr>
            <w:tcW w:w="12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照护服务</w:t>
            </w:r>
          </w:p>
        </w:tc>
      </w:tr>
      <w:tr>
        <w:trPr>
          <w:trHeight w:val="90"/>
        </w:trPr>
        <w:tc>
          <w:tcPr>
            <w:tcW w:w="2387"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675" w:type="dxa"/>
            <w:tcBorders>
              <w:top w:val="single" w:sz="4" w:space="0" w:color="000000"/>
              <w:left w:val="single" w:sz="4" w:space="0" w:color="auto"/>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11</w:t>
            </w:r>
          </w:p>
        </w:tc>
        <w:tc>
          <w:tcPr>
            <w:tcW w:w="200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老年人乘坐交通工具优惠</w:t>
            </w:r>
          </w:p>
        </w:tc>
        <w:tc>
          <w:tcPr>
            <w:tcW w:w="424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ind w:firstLineChars="200" w:firstLine="412"/>
              <w:jc w:val="both"/>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65周岁以上的老年人免费乘坐公共汽车、轨道交通、轮渡等城市公共交通工具，60周岁（含）至65周岁的老年人享受半价优惠（老年人在出行高峰时段乘坐城市轨道交通的具体规定由市级政府规定）。</w:t>
            </w:r>
          </w:p>
        </w:tc>
        <w:tc>
          <w:tcPr>
            <w:tcW w:w="233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spacing w:val="-6"/>
                <w:kern w:val="0"/>
                <w:sz w:val="21"/>
                <w:szCs w:val="21"/>
                <w:u w:val="none"/>
                <w:shd w:val="clear" w:color="auto" w:fill="auto"/>
                <w:lang w:val="en-US" w:eastAsia="zh-CN" w:bidi="ar-SA"/>
              </w:rPr>
              <w:t>市交通运输局</w:t>
            </w:r>
          </w:p>
        </w:tc>
        <w:tc>
          <w:tcPr>
            <w:tcW w:w="12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物质帮助</w:t>
            </w:r>
          </w:p>
        </w:tc>
      </w:tr>
      <w:tr>
        <w:trPr>
          <w:trHeight w:val="90"/>
        </w:trPr>
        <w:tc>
          <w:tcPr>
            <w:tcW w:w="2387"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675" w:type="dxa"/>
            <w:tcBorders>
              <w:top w:val="single" w:sz="4" w:space="0" w:color="000000"/>
              <w:left w:val="single" w:sz="4" w:space="0" w:color="auto"/>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12</w:t>
            </w:r>
          </w:p>
        </w:tc>
        <w:tc>
          <w:tcPr>
            <w:tcW w:w="200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老年人参观景区景点优惠</w:t>
            </w:r>
          </w:p>
        </w:tc>
        <w:tc>
          <w:tcPr>
            <w:tcW w:w="424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ind w:firstLineChars="200" w:firstLine="412"/>
              <w:jc w:val="both"/>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65周岁及以上的老年人凭有效证件，进入旅游景区享受免门票优惠，60周岁（含）至65周岁的老年人凭有效证件，进入旅游景区享受门票半价优惠。</w:t>
            </w:r>
          </w:p>
        </w:tc>
        <w:tc>
          <w:tcPr>
            <w:tcW w:w="233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highlight w:val="auto"/>
              </w:rPr>
            </w:pPr>
            <w:r>
              <w:rPr>
                <w:rFonts w:ascii="Times New Roman" w:eastAsia="仿宋_GB2312" w:cs="Times New Roman" w:hAnsi="Times New Roman"/>
                <w:i w:val="0"/>
                <w:iCs w:val="0"/>
                <w:color w:val="auto"/>
                <w:kern w:val="0"/>
                <w:sz w:val="21"/>
                <w:szCs w:val="21"/>
                <w:u w:val="none"/>
                <w:shd w:val="clear" w:color="auto" w:fill="auto"/>
                <w:lang w:val="en-US" w:eastAsia="zh-CN" w:bidi="ar-SA"/>
                <w:highlight w:val="auto"/>
              </w:rPr>
              <w:t>市文化广电和旅游局</w:t>
            </w:r>
          </w:p>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spacing w:val="-6"/>
                <w:kern w:val="0"/>
                <w:sz w:val="21"/>
                <w:szCs w:val="21"/>
                <w:u w:val="none"/>
                <w:shd w:val="clear" w:color="auto" w:fill="auto"/>
                <w:lang w:val="en-US" w:eastAsia="zh-CN" w:bidi="ar-SA"/>
              </w:rPr>
              <w:t>市发展改革委</w:t>
            </w:r>
          </w:p>
        </w:tc>
        <w:tc>
          <w:tcPr>
            <w:tcW w:w="12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物质帮助</w:t>
            </w:r>
          </w:p>
        </w:tc>
      </w:tr>
      <w:tr>
        <w:trPr>
          <w:trHeight w:val="90"/>
        </w:trPr>
        <w:tc>
          <w:tcPr>
            <w:tcW w:w="2387" w:type="dxa"/>
            <w:tcBorders>
              <w:top w:val="single" w:sz="4" w:space="0" w:color="auto"/>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both"/>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缴纳诉讼费用困难和无力支付律师费的老年人</w:t>
            </w:r>
          </w:p>
        </w:tc>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13</w:t>
            </w:r>
          </w:p>
        </w:tc>
        <w:tc>
          <w:tcPr>
            <w:tcW w:w="200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老年人缓交、减交或者免交诉讼费用</w:t>
            </w:r>
          </w:p>
        </w:tc>
        <w:tc>
          <w:tcPr>
            <w:tcW w:w="424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ind w:firstLineChars="200" w:firstLine="412"/>
              <w:jc w:val="both"/>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老年人合法权益受侵害提起诉讼，交纳诉讼费确有困难的，可以申请缓交、减交或者免交；需要获得律师帮助，但无力支付律师费用的，可以获得法律援助。对老年人提出的法律援助申请，法律援助机构应当按照有关规定简化程序，优先受理、审查和指派人员办理。</w:t>
            </w:r>
          </w:p>
        </w:tc>
        <w:tc>
          <w:tcPr>
            <w:tcW w:w="233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highlight w:val="cyan"/>
              </w:rPr>
            </w:pPr>
            <w:r>
              <w:rPr>
                <w:rFonts w:ascii="Times New Roman" w:eastAsia="仿宋_GB2312" w:cs="Times New Roman" w:hAnsi="Times New Roman"/>
                <w:i w:val="0"/>
                <w:iCs w:val="0"/>
                <w:color w:val="auto"/>
                <w:kern w:val="0"/>
                <w:sz w:val="21"/>
                <w:szCs w:val="21"/>
                <w:u w:val="none"/>
                <w:shd w:val="clear" w:color="auto" w:fill="auto"/>
                <w:lang w:val="en-US" w:eastAsia="zh-CN" w:bidi="ar-SA"/>
                <w:highlight w:val="auto"/>
              </w:rPr>
              <w:t>市中级法院</w:t>
            </w:r>
          </w:p>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市司法局</w:t>
            </w:r>
          </w:p>
        </w:tc>
        <w:tc>
          <w:tcPr>
            <w:tcW w:w="12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物质帮助</w:t>
            </w:r>
          </w:p>
        </w:tc>
      </w:tr>
      <w:tr>
        <w:trPr>
          <w:trHeight w:val="520"/>
        </w:trPr>
        <w:tc>
          <w:tcPr>
            <w:tcW w:w="2387"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both"/>
              <w:textAlignment w:val="center"/>
              <w:rPr>
                <w:rFonts w:ascii="Times New Roman" w:eastAsia="仿宋_GB2312" w:cs="Times New Roman" w:hAnsi="Times New Roman"/>
                <w:i w:val="0"/>
                <w:iCs w:val="0"/>
                <w:color w:val="auto"/>
                <w:sz w:val="21"/>
                <w:szCs w:val="21"/>
                <w:u w:val="none"/>
                <w:shd w:val="clear" w:color="auto" w:fill="auto"/>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符合条件的特困老年人</w:t>
            </w:r>
          </w:p>
        </w:tc>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14</w:t>
            </w:r>
          </w:p>
        </w:tc>
        <w:tc>
          <w:tcPr>
            <w:tcW w:w="200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分散供养</w:t>
            </w:r>
          </w:p>
        </w:tc>
        <w:tc>
          <w:tcPr>
            <w:tcW w:w="424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ind w:firstLineChars="200" w:firstLine="412"/>
              <w:jc w:val="both"/>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对分散供养特困人员，经本人同意，乡镇政府（街道办事处）可委托其亲友或村（居）民委员会、供养服务机构、社会组织、社会工作服务机构等提供日常看护、生活照料、住院陪护等服务。</w:t>
            </w:r>
          </w:p>
        </w:tc>
        <w:tc>
          <w:tcPr>
            <w:tcW w:w="233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市民政局</w:t>
            </w:r>
          </w:p>
        </w:tc>
        <w:tc>
          <w:tcPr>
            <w:tcW w:w="12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照护服务</w:t>
            </w:r>
          </w:p>
        </w:tc>
      </w:tr>
      <w:tr>
        <w:trPr>
          <w:trHeight w:val="119"/>
        </w:trPr>
        <w:tc>
          <w:tcPr>
            <w:tcW w:w="2387"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15</w:t>
            </w:r>
          </w:p>
        </w:tc>
        <w:tc>
          <w:tcPr>
            <w:tcW w:w="200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集中供养</w:t>
            </w:r>
          </w:p>
        </w:tc>
        <w:tc>
          <w:tcPr>
            <w:tcW w:w="424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ind w:firstLineChars="200" w:firstLine="412"/>
              <w:jc w:val="both"/>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对需要集中供养特困老年人，由县级政府民政部门按照便于管理的原则，就近安排到相应的供养服务机构，提供基本生活条件、疾病治疗、办理丧葬事宜等，对生活不能自理的给予照料。</w:t>
            </w:r>
          </w:p>
        </w:tc>
        <w:tc>
          <w:tcPr>
            <w:tcW w:w="233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市民政局</w:t>
            </w:r>
          </w:p>
        </w:tc>
        <w:tc>
          <w:tcPr>
            <w:tcW w:w="12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照护服务</w:t>
            </w:r>
          </w:p>
        </w:tc>
      </w:tr>
      <w:tr>
        <w:trPr>
          <w:trHeight w:val="90"/>
        </w:trPr>
        <w:tc>
          <w:tcPr>
            <w:tcW w:w="2387"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both"/>
              <w:textAlignment w:val="center"/>
              <w:rPr>
                <w:rFonts w:ascii="Times New Roman" w:eastAsia="仿宋_GB2312" w:cs="Times New Roman" w:hAnsi="Times New Roman"/>
                <w:i w:val="0"/>
                <w:iCs w:val="0"/>
                <w:color w:val="auto"/>
                <w:sz w:val="21"/>
                <w:szCs w:val="21"/>
                <w:u w:val="none"/>
                <w:shd w:val="clear" w:color="auto" w:fill="auto"/>
              </w:rPr>
            </w:pPr>
            <w:r>
              <w:rPr>
                <w:rFonts w:ascii="Times New Roman" w:eastAsia="仿宋_GB2312" w:cs="Times New Roman" w:hAnsi="Times New Roman"/>
                <w:i w:val="0"/>
                <w:iCs w:val="0"/>
                <w:color w:val="auto"/>
                <w:kern w:val="0"/>
                <w:sz w:val="21"/>
                <w:szCs w:val="21"/>
                <w:u w:val="none"/>
                <w:shd w:val="clear" w:color="auto" w:fill="auto"/>
                <w:lang w:val="en-US" w:eastAsia="zh-CN" w:bidi="ar-SA"/>
              </w:rPr>
              <w:t>为国家和社会做出特殊贡献的老年人</w:t>
            </w:r>
          </w:p>
        </w:tc>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16</w:t>
            </w:r>
          </w:p>
        </w:tc>
        <w:tc>
          <w:tcPr>
            <w:tcW w:w="200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优先保障</w:t>
            </w:r>
          </w:p>
        </w:tc>
        <w:tc>
          <w:tcPr>
            <w:tcW w:w="424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ind w:firstLineChars="200" w:firstLine="412"/>
              <w:jc w:val="both"/>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对现役军人家属和烈士、因公牺牲军人、病故军人的遗属，符合条件申请入住公办养老机构的，同等条件下优先安排。</w:t>
            </w:r>
          </w:p>
        </w:tc>
        <w:tc>
          <w:tcPr>
            <w:tcW w:w="233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市民政局</w:t>
            </w:r>
          </w:p>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eastAsia="zh-CN" w:bidi="ar-SA"/>
              </w:rPr>
            </w:pPr>
            <w:r>
              <w:rPr>
                <w:rFonts w:ascii="Times New Roman" w:cs="Times New Roman" w:hAnsi="Times New Roman"/>
                <w:i w:val="0"/>
                <w:iCs w:val="0"/>
                <w:color w:val="auto"/>
                <w:kern w:val="0"/>
                <w:sz w:val="21"/>
                <w:szCs w:val="21"/>
                <w:u w:val="none"/>
                <w:shd w:val="clear" w:color="auto" w:fill="auto"/>
                <w:lang w:eastAsia="zh-CN" w:bidi="ar-SA"/>
              </w:rPr>
              <w:t>市退役军人局</w:t>
            </w:r>
          </w:p>
        </w:tc>
        <w:tc>
          <w:tcPr>
            <w:tcW w:w="12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照护服务</w:t>
            </w:r>
          </w:p>
        </w:tc>
      </w:tr>
      <w:tr>
        <w:trPr>
          <w:trHeight w:val="145"/>
        </w:trPr>
        <w:tc>
          <w:tcPr>
            <w:tcW w:w="2387"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17</w:t>
            </w:r>
          </w:p>
        </w:tc>
        <w:tc>
          <w:tcPr>
            <w:tcW w:w="200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集中供养</w:t>
            </w:r>
          </w:p>
        </w:tc>
        <w:tc>
          <w:tcPr>
            <w:tcW w:w="424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ind w:firstLineChars="200" w:firstLine="412"/>
              <w:jc w:val="both"/>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老年烈士遗属、因公牺牲军人遗属、病故军人遗属和进入老年的残疾军人、复员军人、退伍军人，无法定赡养人、扶养人或者法定赡养人、扶养人无赡养、扶养能力且享受国家定期服务补助待遇的，提供集中供养、医疗等保障。</w:t>
            </w:r>
          </w:p>
        </w:tc>
        <w:tc>
          <w:tcPr>
            <w:tcW w:w="233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eastAsia="zh-CN" w:bidi="ar-SA"/>
              </w:rPr>
            </w:pPr>
            <w:r>
              <w:rPr>
                <w:rFonts w:ascii="Times New Roman" w:cs="Times New Roman" w:hAnsi="Times New Roman"/>
                <w:i w:val="0"/>
                <w:iCs w:val="0"/>
                <w:color w:val="auto"/>
                <w:kern w:val="0"/>
                <w:sz w:val="21"/>
                <w:szCs w:val="21"/>
                <w:u w:val="none"/>
                <w:shd w:val="clear" w:color="auto" w:fill="auto"/>
                <w:lang w:eastAsia="zh-CN" w:bidi="ar-SA"/>
              </w:rPr>
              <w:t>市退役军人局</w:t>
            </w:r>
          </w:p>
        </w:tc>
        <w:tc>
          <w:tcPr>
            <w:tcW w:w="12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照护服务</w:t>
            </w:r>
          </w:p>
        </w:tc>
      </w:tr>
      <w:tr>
        <w:trPr>
          <w:trHeight w:val="90"/>
        </w:trPr>
        <w:tc>
          <w:tcPr>
            <w:tcW w:w="2387" w:type="dxa"/>
            <w:tcBorders>
              <w:top w:val="nil"/>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both"/>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特殊困难老年人</w:t>
            </w:r>
          </w:p>
        </w:tc>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18</w:t>
            </w:r>
          </w:p>
        </w:tc>
        <w:tc>
          <w:tcPr>
            <w:tcW w:w="200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探访服务</w:t>
            </w:r>
          </w:p>
        </w:tc>
        <w:tc>
          <w:tcPr>
            <w:tcW w:w="424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ind w:firstLineChars="200" w:firstLine="412"/>
              <w:jc w:val="both"/>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建立居家探访关爱服务制度，定期巡访关爱独居、空巢、留守、失能、重残、计划生育特殊家庭等老年人。</w:t>
            </w:r>
          </w:p>
        </w:tc>
        <w:tc>
          <w:tcPr>
            <w:tcW w:w="233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市民政局</w:t>
            </w:r>
          </w:p>
        </w:tc>
        <w:tc>
          <w:tcPr>
            <w:tcW w:w="12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关爱服务</w:t>
            </w:r>
          </w:p>
        </w:tc>
      </w:tr>
      <w:tr>
        <w:trPr>
          <w:trHeight w:val="1059"/>
        </w:trPr>
        <w:tc>
          <w:tcPr>
            <w:tcW w:w="2387" w:type="dxa"/>
            <w:vMerge w:val="restart"/>
            <w:tcBorders>
              <w:top w:val="single" w:sz="4" w:space="0" w:color="000000"/>
              <w:left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both"/>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经济困难的老年人</w:t>
            </w:r>
          </w:p>
        </w:tc>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19</w:t>
            </w:r>
          </w:p>
        </w:tc>
        <w:tc>
          <w:tcPr>
            <w:tcW w:w="200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家庭适老化改造</w:t>
            </w:r>
          </w:p>
        </w:tc>
        <w:tc>
          <w:tcPr>
            <w:tcW w:w="424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ind w:firstLineChars="200" w:firstLine="412"/>
              <w:jc w:val="both"/>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对纳入分散供养特困人员家庭等特殊困难老年人家庭中有需求的失能、高龄、残疾老年人家庭实施居家适老化改造。有条件的地方可将改造对象范围扩大到城乡低保对象中的失能、高龄、残疾老年人家庭。</w:t>
            </w:r>
          </w:p>
        </w:tc>
        <w:tc>
          <w:tcPr>
            <w:tcW w:w="233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市民政局</w:t>
            </w:r>
          </w:p>
        </w:tc>
        <w:tc>
          <w:tcPr>
            <w:tcW w:w="12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物质帮助</w:t>
            </w:r>
          </w:p>
        </w:tc>
      </w:tr>
      <w:tr>
        <w:trPr>
          <w:trHeight w:val="90"/>
        </w:trPr>
        <w:tc>
          <w:tcPr>
            <w:tcW w:w="2387" w:type="dxa"/>
            <w:vMerge/>
            <w:tcBorders>
              <w:left w:val="single" w:sz="4" w:space="0" w:color="000000"/>
              <w:bottom w:val="single" w:sz="4" w:space="0" w:color="000000"/>
              <w:right w:val="single" w:sz="4" w:space="0" w:color="000000"/>
              <w:tl2br w:val="nil"/>
              <w:tr2bl w:val="nil"/>
            </w:tcBorders>
            <w:vAlign w:val="center"/>
          </w:tcPr>
          <w:p/>
        </w:tc>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20</w:t>
            </w:r>
          </w:p>
        </w:tc>
        <w:tc>
          <w:tcPr>
            <w:tcW w:w="200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养老服务补贴</w:t>
            </w:r>
          </w:p>
        </w:tc>
        <w:tc>
          <w:tcPr>
            <w:tcW w:w="424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ind w:firstLineChars="200" w:firstLine="412"/>
              <w:jc w:val="both"/>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为经济困难的老年人提供养老服务补贴。</w:t>
            </w:r>
          </w:p>
        </w:tc>
        <w:tc>
          <w:tcPr>
            <w:tcW w:w="233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市民政局</w:t>
            </w:r>
          </w:p>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市财政局</w:t>
            </w:r>
          </w:p>
        </w:tc>
        <w:tc>
          <w:tcPr>
            <w:tcW w:w="12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物质帮助</w:t>
            </w:r>
          </w:p>
        </w:tc>
      </w:tr>
      <w:tr>
        <w:trPr>
          <w:trHeight w:val="316"/>
        </w:trPr>
        <w:tc>
          <w:tcPr>
            <w:tcW w:w="2387"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both"/>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生活无着的流浪、乞讨老年人</w:t>
            </w:r>
          </w:p>
        </w:tc>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21</w:t>
            </w:r>
          </w:p>
        </w:tc>
        <w:tc>
          <w:tcPr>
            <w:tcW w:w="200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社会救助</w:t>
            </w:r>
          </w:p>
        </w:tc>
        <w:tc>
          <w:tcPr>
            <w:tcW w:w="424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ind w:firstLineChars="200" w:firstLine="412"/>
              <w:jc w:val="both"/>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由救助管理站等机构免费提供临时的、基本的食物、住处、疾病救治、返回及安置服务等社会救助。</w:t>
            </w:r>
          </w:p>
        </w:tc>
        <w:tc>
          <w:tcPr>
            <w:tcW w:w="233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市民政局</w:t>
            </w:r>
          </w:p>
        </w:tc>
        <w:tc>
          <w:tcPr>
            <w:tcW w:w="12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物质帮助</w:t>
            </w:r>
          </w:p>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关爱服务</w:t>
            </w:r>
          </w:p>
        </w:tc>
      </w:tr>
      <w:tr>
        <w:trPr>
          <w:trHeight w:val="90"/>
        </w:trPr>
        <w:tc>
          <w:tcPr>
            <w:tcW w:w="2387"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both"/>
              <w:textAlignment w:val="center"/>
              <w:rPr>
                <w:rFonts w:ascii="Times New Roman" w:eastAsia="仿宋_GB2312" w:cs="Times New Roman" w:hAnsi="Times New Roman"/>
                <w:i w:val="0"/>
                <w:iCs w:val="0"/>
                <w:color w:val="auto"/>
                <w:sz w:val="21"/>
                <w:szCs w:val="21"/>
                <w:u w:val="none"/>
                <w:shd w:val="clear" w:color="auto" w:fill="auto"/>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经认定符合条件的残疾老年人</w:t>
            </w:r>
          </w:p>
        </w:tc>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22</w:t>
            </w:r>
          </w:p>
        </w:tc>
        <w:tc>
          <w:tcPr>
            <w:tcW w:w="200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困难残疾人生活</w:t>
            </w:r>
          </w:p>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补贴</w:t>
            </w:r>
          </w:p>
        </w:tc>
        <w:tc>
          <w:tcPr>
            <w:tcW w:w="424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ind w:firstLineChars="200" w:firstLine="412"/>
              <w:jc w:val="both"/>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为低保家庭中的残疾人提供生活补贴，有条件的地方可逐步扩大到低保边缘家庭残疾人及其他困难残疾人。</w:t>
            </w:r>
          </w:p>
        </w:tc>
        <w:tc>
          <w:tcPr>
            <w:tcW w:w="233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市民政局</w:t>
            </w:r>
          </w:p>
        </w:tc>
        <w:tc>
          <w:tcPr>
            <w:tcW w:w="12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物质帮助</w:t>
            </w:r>
          </w:p>
        </w:tc>
      </w:tr>
      <w:tr>
        <w:trPr>
          <w:trHeight w:val="90"/>
        </w:trPr>
        <w:tc>
          <w:tcPr>
            <w:tcW w:w="2387" w:type="dxa"/>
            <w:vMerge/>
            <w:tcBorders>
              <w:top w:val="single" w:sz="4" w:space="0" w:color="000000"/>
              <w:left w:val="single" w:sz="4" w:space="0" w:color="000000"/>
              <w:bottom w:val="single" w:sz="4" w:space="0" w:color="000000"/>
              <w:right w:val="single" w:sz="4" w:space="0" w:color="000000"/>
              <w:tl2br w:val="nil"/>
              <w:tr2bl w:val="nil"/>
            </w:tcBorders>
            <w:vAlign w:val="center"/>
          </w:tcPr>
          <w:p/>
        </w:tc>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23</w:t>
            </w:r>
          </w:p>
        </w:tc>
        <w:tc>
          <w:tcPr>
            <w:tcW w:w="2003"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重度残疾人护理</w:t>
            </w:r>
          </w:p>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补贴</w:t>
            </w:r>
          </w:p>
        </w:tc>
        <w:tc>
          <w:tcPr>
            <w:tcW w:w="424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ind w:firstLineChars="200" w:firstLine="412"/>
              <w:jc w:val="both"/>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为残疾等级被评定为一级、二级且需长期照护的重度残疾人提供护理补贴，有条件的地方可扩大至三、四级智力、精神残疾人。</w:t>
            </w:r>
          </w:p>
        </w:tc>
        <w:tc>
          <w:tcPr>
            <w:tcW w:w="2336"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0"/>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市民政局</w:t>
            </w:r>
          </w:p>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市残联</w:t>
            </w:r>
          </w:p>
        </w:tc>
        <w:tc>
          <w:tcPr>
            <w:tcW w:w="1232" w:type="dxa"/>
            <w:tcBorders>
              <w:top w:val="single" w:sz="4" w:space="0" w:color="000000"/>
              <w:left w:val="single" w:sz="4" w:space="0" w:color="000000"/>
              <w:bottom w:val="single" w:sz="4" w:space="0" w:color="000000"/>
              <w:right w:val="single" w:sz="4" w:space="0" w:color="000000"/>
              <w:tl2br w:val="nil"/>
              <w:tr2bl w:val="nil"/>
            </w:tcBorders>
            <w:vAlign w:val="center"/>
          </w:tcPr>
          <w:p>
            <w:pPr>
              <w:keepNext w:val="0"/>
              <w:keepLines w:val="0"/>
              <w:pageBreakBefore w:val="0"/>
              <w:widowControl w:val="0"/>
              <w:suppressLineNumbers w:val="0"/>
              <w:kinsoku/>
              <w:wordWrap/>
              <w:overflowPunct w:val="0"/>
              <w:topLinePunct/>
              <w:autoSpaceDE/>
              <w:autoSpaceDN/>
              <w:bidi w:val="0"/>
              <w:adjustRightInd/>
              <w:snapToGrid/>
              <w:spacing w:line="280" w:lineRule="exact"/>
              <w:jc w:val="center"/>
              <w:textAlignment w:val="center"/>
              <w:rPr>
                <w:rFonts w:ascii="Times New Roman" w:eastAsia="仿宋_GB2312" w:cs="Times New Roman" w:hAnsi="Times New Roman"/>
                <w:i w:val="0"/>
                <w:iCs w:val="0"/>
                <w:color w:val="auto"/>
                <w:kern w:val="2"/>
                <w:sz w:val="21"/>
                <w:szCs w:val="21"/>
                <w:u w:val="none"/>
                <w:shd w:val="clear" w:color="auto" w:fill="auto"/>
                <w:lang w:val="en-US" w:eastAsia="zh-CN" w:bidi="ar-SA"/>
              </w:rPr>
            </w:pPr>
            <w:r>
              <w:rPr>
                <w:rFonts w:ascii="Times New Roman" w:eastAsia="仿宋_GB2312" w:cs="Times New Roman" w:hAnsi="Times New Roman"/>
                <w:i w:val="0"/>
                <w:iCs w:val="0"/>
                <w:color w:val="auto"/>
                <w:kern w:val="0"/>
                <w:sz w:val="21"/>
                <w:szCs w:val="21"/>
                <w:u w:val="none"/>
                <w:shd w:val="clear" w:color="auto" w:fill="auto"/>
                <w:lang w:val="en-US" w:eastAsia="zh-CN" w:bidi="ar-SA"/>
              </w:rPr>
              <w:t>物质帮助</w:t>
            </w:r>
          </w:p>
        </w:tc>
      </w:tr>
    </w:tbl>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r>
        <w:rPr>
          <w:b w:val="0"/>
          <w:bCs w:val="0"/>
          <w:color w:val="auto"/>
          <w:sz w:val="32"/>
        </w:rPr>
        <mc:AlternateContent>
          <mc:Choice Requires="wps">
            <w:drawing>
              <wp:anchor distT="0" distB="0" distL="114300" distR="114300" simplePos="0" relativeHeight="17" behindDoc="0" locked="0" layoutInCell="1" hidden="0" allowOverlap="1">
                <wp:simplePos x="0" y="0"/>
                <wp:positionH relativeFrom="column">
                  <wp:posOffset>-92710</wp:posOffset>
                </wp:positionH>
                <wp:positionV relativeFrom="paragraph">
                  <wp:posOffset>7382510</wp:posOffset>
                </wp:positionV>
                <wp:extent cx="1164590" cy="179704"/>
                <wp:effectExtent l="0" t="0" r="0" b="0"/>
                <wp:wrapNone/>
                <wp:docPr id="10" name="文本框 144"/>
                <wp:cNvGraphicFramePr>
                  <a:graphicFrameLocks noChangeAspect="0"/>
                </wp:cNvGraphicFramePr>
                <a:graphic>
                  <a:graphicData uri="http://schemas.microsoft.com/office/word/2010/wordprocessingShape">
                    <wps:wsp>
                      <wps:cNvSpPr/>
                      <wps:spPr>
                        <a:xfrm flipV="1" rot="21600000">
                          <a:off x="0" y="0"/>
                          <a:ext cx="1164590" cy="179704"/>
                        </a:xfrm>
                        <a:prstGeom prst="rect"/>
                        <a:solidFill>
                          <a:srgbClr val="FFFFFF"/>
                        </a:solidFill>
                        <a:ln w="9525" cmpd="sng" cap="flat">
                          <a:noFill/>
                          <a:prstDash val="solid"/>
                          <a:miter/>
                        </a:ln>
                      </wps:spPr>
                      <wps:txbx id="11">
                        <w:txbxContent>
                          <w:p/>
                        </w:txbxContent>
                      </wps:txbx>
                      <wps:bodyPr vert="horz" wrap="square" lIns="91440" tIns="45720" rIns="91440" bIns="45720" anchor="t" anchorCtr="0" upright="1">
                        <a:noAutofit/>
                      </wps:bodyPr>
                    </wps:wsp>
                  </a:graphicData>
                </a:graphic>
              </wp:anchor>
            </w:drawing>
          </mc:Choice>
          <mc:Fallback>
            <w:pict>
              <v:shape type="#_x0000_t202" id="文本框 144" o:spid="_x0000_s12" fillcolor="#FFFFFF" stroked="f" style="position:absolute;margin-left:-7.2999997pt;margin-top:581.3pt;width:91.700005pt;height:14.149992pt;flip:y;z-index:17;mso-position-horizontal:absolute;mso-position-vertical:absolute;mso-wrap-style:square;">
                <v:stroke color="#000000"/>
                <v:textbox id="849" inset="2.54mm,1.27mm,2.54mm,1.27mm" o:insetmode="custom" style="layout-flow:horizontal;v-text-anchor:top;">
                  <w:txbxContent>
                    <w:p/>
                  </w:txbxContent>
                </v:textbox>
              </v:shape>
            </w:pict>
          </mc:Fallback>
        </mc:AlternateContent>
      </w:r>
    </w:p>
    <w:sectPr>
      <w:pgSz w:w="16838" w:h="11906" w:orient="landscape"/>
      <w:pgMar w:top="1588" w:right="2098" w:bottom="1474" w:left="1985" w:header="851" w:footer="1587" w:gutter="0"/>
      <w:pgBorders>
        <w:top w:val="none" w:sz="0" w:space="0" w:color="auto"/>
        <w:left w:val="none" w:sz="0" w:space="0" w:color="auto"/>
        <w:bottom w:val="none" w:sz="0" w:space="0" w:color="auto"/>
        <w:right w:val="none" w:sz="0" w:space="0" w:color="auto"/>
      </w:pgBorders>
      <w:pgNumType/>
      <w:docGrid w:type="linesAndChars" w:linePitch="579" w:charSpace="-849"/>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方正小标宋简体">
    <w:panose1 w:val="02000000000000000000"/>
    <w:charset w:val="86"/>
    <w:family w:val="script"/>
    <w:pitch w:val="variable"/>
    <w:sig w:usb0="A00002BF" w:usb1="184F6CFA" w:usb2="00000012" w:usb3="00000000" w:csb0="00040001" w:csb1="00000000"/>
  </w:font>
  <w:font w:name="Times New Roman">
    <w:panose1 w:val="02020603050405020304"/>
    <w:charset w:val="00"/>
    <w:family w:val="auto"/>
    <w:pitch w:val="variable"/>
    <w:sig w:usb0="E0002AFF" w:usb1="C0007841" w:usb2="00000009" w:usb3="00000000" w:csb0="400001FF" w:csb1="FFFF0000"/>
  </w:font>
  <w:font w:name="仿宋">
    <w:panose1 w:val="02010609060101010101"/>
    <w:charset w:val="86"/>
    <w:family w:val="modern"/>
    <w:pitch w:val="variable"/>
    <w:sig w:usb0="800002BF" w:usb1="38CF7CFA" w:usb2="00000016" w:usb3="00000000" w:csb0="00040001" w:csb1="00000000"/>
  </w:font>
  <w:font w:name="楷体_GB2312">
    <w:altName w:val="楷体"/>
    <w:panose1 w:val="02010609030101010101"/>
    <w:charset w:val="86"/>
    <w:family w:val="modern"/>
    <w:pitch w:val="variable"/>
    <w:sig w:usb0="00000001" w:usb1="080E0000" w:usb2="00000000" w:usb3="00000000" w:csb0="00040000" w:csb1="00000000"/>
  </w:font>
  <w:font w:name="Lucida Sans">
    <w:altName w:val="DejaVu Sans"/>
    <w:panose1 w:val="020B0602030504020204"/>
    <w:charset w:val="00"/>
    <w:family w:val="auto"/>
    <w:pitch w:val="variable"/>
    <w:sig w:usb0="00000003" w:usb1="00000000" w:usb2="00000000" w:usb3="00000000" w:csb0="20000001" w:csb1="00000000"/>
  </w:font>
  <w:font w:name="Arial">
    <w:altName w:val="Times New Roman"/>
    <w:panose1 w:val="020B0604020202020204"/>
    <w:charset w:val="00"/>
    <w:family w:val="swiss"/>
    <w:pitch w:val="variable"/>
    <w:sig w:usb0="E0002AFF" w:usb1="C0007843" w:usb2="00000009" w:usb3="00000000" w:csb0="400001FF" w:csb1="FFFF0000"/>
  </w:font>
  <w:font w:name="Courier New">
    <w:altName w:val="DejaVu Sans"/>
    <w:panose1 w:val="02070309020205020404"/>
    <w:charset w:val="00"/>
    <w:family w:val="modern"/>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lear" w:pos="4153"/>
        <w:tab w:val="clear" w:pos="8306"/>
        <w:tab w:val="right" w:pos="8306"/>
      </w:tabs>
      <w:jc w:val="center"/>
    </w:pPr>
    <w:r>
      <w:rPr>
        <w:sz w:val="18"/>
      </w:rPr>
      <mc:AlternateContent>
        <mc:Choice Requires="wps">
          <w:drawing>
            <wp:anchor distT="0" distB="0" distL="114300" distR="114300" simplePos="0" relativeHeight="21" behindDoc="0" locked="0" layoutInCell="1" hidden="0" allowOverlap="1">
              <wp:simplePos x="0" y="0"/>
              <wp:positionH relativeFrom="margin">
                <wp:align>outside</wp:align>
              </wp:positionH>
              <wp:positionV relativeFrom="paragraph">
                <wp:posOffset>0</wp:posOffset>
              </wp:positionV>
              <wp:extent cx="997585" cy="230505"/>
              <wp:effectExtent l="0" t="0" r="0" b="0"/>
              <wp:wrapNone/>
              <wp:docPr id="1" name="文本框 5"/>
              <wp:cNvGraphicFramePr>
                <a:graphicFrameLocks noChangeAspect="0"/>
              </wp:cNvGraphicFramePr>
              <a:graphic>
                <a:graphicData uri="http://schemas.microsoft.com/office/word/2010/wordprocessingShape">
                  <wps:wsp>
                    <wps:cNvSpPr/>
                    <wps:spPr>
                      <a:xfrm rot="0">
                        <a:off x="0" y="0"/>
                        <a:ext cx="997585" cy="230505"/>
                      </a:xfrm>
                      <a:prstGeom prst="rect"/>
                      <a:noFill/>
                      <a:ln w="9525" cmpd="sng" cap="flat">
                        <a:noFill/>
                        <a:prstDash val="solid"/>
                        <a:miter/>
                      </a:ln>
                    </wps:spPr>
                    <wps:txbx id="2">
                      <w:txbxContent>
                        <w:p>
                          <w:pPr>
                            <w:pStyle w:val="20"/>
                            <w:tabs>
                              <w:tab w:val="clear" w:pos="4153"/>
                              <w:tab w:val="clear" w:pos="8306"/>
                              <w:tab w:val="center" w:pos="4153"/>
                              <w:tab w:val="right" w:pos="8306"/>
                            </w:tabs>
                            <w:rPr>
                              <w:rFonts w:ascii="宋体" w:eastAsia="宋体" w:cs="宋体" w:hAnsi="宋体" w:hint="eastAsia"/>
                              <w:sz w:val="28"/>
                              <w:szCs w:val="28"/>
                            </w:rPr>
                          </w:pPr>
                          <w:r>
                            <w:rPr>
                              <w:rFonts w:ascii="宋体" w:eastAsia="宋体" w:cs="宋体" w:hAnsi="宋体"/>
                              <w:sz w:val="28"/>
                              <w:szCs w:val="28"/>
                            </w:rPr>
                            <w:t>　</w:t>
                          </w:r>
                          <w:r>
                            <w:rPr>
                              <w:rFonts w:ascii="宋体" w:eastAsia="宋体" w:cs="宋体" w:hAnsi="宋体" w:hint="eastAsia"/>
                              <w:sz w:val="28"/>
                              <w:szCs w:val="28"/>
                            </w:rPr>
                            <w:t xml:space="preserve">—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3</w:t>
                          </w:r>
                          <w:r>
                            <w:rPr>
                              <w:rFonts w:ascii="宋体" w:eastAsia="宋体" w:cs="宋体" w:hAnsi="宋体" w:hint="eastAsia"/>
                              <w:sz w:val="28"/>
                              <w:szCs w:val="28"/>
                            </w:rPr>
                            <w:fldChar w:fldCharType="end"/>
                          </w:r>
                          <w:r>
                            <w:rPr>
                              <w:rFonts w:ascii="宋体" w:eastAsia="宋体" w:cs="宋体" w:hAnsi="宋体" w:hint="eastAsia"/>
                              <w:sz w:val="28"/>
                              <w:szCs w:val="28"/>
                            </w:rPr>
                            <w:t xml:space="preserve"> —</w:t>
                          </w:r>
                          <w:r>
                            <w:rPr>
                              <w:rFonts w:ascii="宋体" w:eastAsia="宋体" w:cs="宋体" w:hAnsi="宋体"/>
                              <w:sz w:val="28"/>
                              <w:szCs w:val="28"/>
                            </w:rPr>
                            <w:t>　</w:t>
                          </w:r>
                        </w:p>
                      </w:txbxContent>
                    </wps:txbx>
                    <wps:bodyPr vert="horz" wrap="square" lIns="0" tIns="0" rIns="0" bIns="0" anchor="t" anchorCtr="0" upright="1">
                      <a:noAutofit/>
                    </wps:bodyPr>
                  </wps:wsp>
                </a:graphicData>
              </a:graphic>
            </wp:anchor>
          </w:drawing>
        </mc:Choice>
        <mc:Fallback>
          <w:pict>
            <v:shape type="#_x0000_t202" id="文本框 5" o:spid="_x0000_s3" filled="f" stroked="f" style="position:absolute;margin-left:0.0pt;margin-top:0.0pt;width:78.55pt;height:18.15pt;z-index:21;mso-position-horizontal:outside;mso-position-horizontal-relative:margin;mso-position-vertical:absolute;mso-wrap-style:square;">
              <v:stroke color="#000000"/>
              <v:textbox id="851" inset="0mm,0mm,0mm,0mm" o:insetmode="custom" style="layout-flow:horizontal;v-text-anchor:top;">
                <w:txbxContent>
                  <w:p>
                    <w:pPr>
                      <w:pStyle w:val="20"/>
                      <w:tabs>
                        <w:tab w:val="clear" w:pos="4153"/>
                        <w:tab w:val="clear" w:pos="8306"/>
                        <w:tab w:val="center" w:pos="4153"/>
                        <w:tab w:val="right" w:pos="8306"/>
                      </w:tabs>
                      <w:rPr>
                        <w:rFonts w:ascii="宋体" w:eastAsia="宋体" w:cs="宋体" w:hAnsi="宋体" w:hint="eastAsia"/>
                        <w:sz w:val="28"/>
                        <w:szCs w:val="28"/>
                      </w:rPr>
                    </w:pPr>
                    <w:r>
                      <w:rPr>
                        <w:rFonts w:ascii="宋体" w:eastAsia="宋体" w:cs="宋体" w:hAnsi="宋体"/>
                        <w:sz w:val="28"/>
                        <w:szCs w:val="28"/>
                      </w:rPr>
                      <w:t>　</w:t>
                    </w:r>
                    <w:r>
                      <w:rPr>
                        <w:rFonts w:ascii="宋体" w:eastAsia="宋体" w:cs="宋体" w:hAnsi="宋体" w:hint="eastAsia"/>
                        <w:sz w:val="28"/>
                        <w:szCs w:val="28"/>
                      </w:rPr>
                      <w:t xml:space="preserve">—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3</w:t>
                    </w:r>
                    <w:r>
                      <w:rPr>
                        <w:rFonts w:ascii="宋体" w:eastAsia="宋体" w:cs="宋体" w:hAnsi="宋体" w:hint="eastAsia"/>
                        <w:sz w:val="28"/>
                        <w:szCs w:val="28"/>
                      </w:rPr>
                      <w:fldChar w:fldCharType="end"/>
                    </w:r>
                    <w:r>
                      <w:rPr>
                        <w:rFonts w:ascii="宋体" w:eastAsia="宋体" w:cs="宋体" w:hAnsi="宋体" w:hint="eastAsia"/>
                        <w:sz w:val="28"/>
                        <w:szCs w:val="28"/>
                      </w:rPr>
                      <w:t xml:space="preserve"> —</w:t>
                    </w:r>
                    <w:r>
                      <w:rPr>
                        <w:rFonts w:ascii="宋体" w:eastAsia="宋体" w:cs="宋体" w:hAnsi="宋体"/>
                        <w:sz w:val="28"/>
                        <w:szCs w:val="28"/>
                      </w:rPr>
                      <w:t>　</w:t>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lear" w:pos="4153"/>
        <w:tab w:val="clear" w:pos="8306"/>
        <w:tab w:val="center" w:pos="4153"/>
        <w:tab w:val="right" w:pos="8306"/>
      </w:tabs>
      <w:ind w:right="360" w:firstLine="360"/>
    </w:pPr>
    <w:r>
      <w:rPr>
        <w:sz w:val="18"/>
      </w:rPr>
      <mc:AlternateContent>
        <mc:Choice Requires="wps">
          <w:drawing>
            <wp:anchor distT="0" distB="0" distL="114300" distR="114300" simplePos="0" relativeHeight="19" behindDoc="0" locked="0" layoutInCell="1" hidden="0" allowOverlap="1">
              <wp:simplePos x="0" y="0"/>
              <wp:positionH relativeFrom="margin">
                <wp:align>outside</wp:align>
              </wp:positionH>
              <wp:positionV relativeFrom="paragraph">
                <wp:posOffset>0</wp:posOffset>
              </wp:positionV>
              <wp:extent cx="975360" cy="230505"/>
              <wp:effectExtent l="0" t="0" r="0" b="0"/>
              <wp:wrapNone/>
              <wp:docPr id="4" name="文本框 4"/>
              <wp:cNvGraphicFramePr>
                <a:graphicFrameLocks noChangeAspect="0"/>
              </wp:cNvGraphicFramePr>
              <a:graphic>
                <a:graphicData uri="http://schemas.microsoft.com/office/word/2010/wordprocessingShape">
                  <wps:wsp>
                    <wps:cNvSpPr/>
                    <wps:spPr>
                      <a:xfrm rot="0">
                        <a:off x="0" y="0"/>
                        <a:ext cx="975360" cy="230505"/>
                      </a:xfrm>
                      <a:prstGeom prst="rect"/>
                      <a:noFill/>
                      <a:ln w="9525" cmpd="sng" cap="flat">
                        <a:noFill/>
                        <a:prstDash val="solid"/>
                        <a:miter/>
                      </a:ln>
                    </wps:spPr>
                    <wps:txbx id="5">
                      <w:txbxContent>
                        <w:p>
                          <w:pPr>
                            <w:pStyle w:val="20"/>
                            <w:tabs>
                              <w:tab w:val="clear" w:pos="4153"/>
                              <w:tab w:val="clear" w:pos="8306"/>
                              <w:tab w:val="center" w:pos="4153"/>
                              <w:tab w:val="right" w:pos="8306"/>
                            </w:tabs>
                            <w:rPr>
                              <w:rFonts w:ascii="宋体" w:eastAsia="宋体" w:cs="宋体" w:hAnsi="宋体" w:hint="eastAsia"/>
                              <w:sz w:val="28"/>
                              <w:szCs w:val="28"/>
                            </w:rPr>
                          </w:pPr>
                          <w:r>
                            <w:rPr>
                              <w:rFonts w:ascii="宋体" w:eastAsia="宋体" w:cs="宋体" w:hAnsi="宋体"/>
                              <w:sz w:val="28"/>
                              <w:szCs w:val="28"/>
                            </w:rPr>
                            <w:t>　</w:t>
                          </w:r>
                          <w:r>
                            <w:rPr>
                              <w:rFonts w:ascii="宋体" w:eastAsia="宋体" w:cs="宋体" w:hAnsi="宋体" w:hint="eastAsia"/>
                              <w:sz w:val="28"/>
                              <w:szCs w:val="28"/>
                            </w:rPr>
                            <w:t xml:space="preserve">—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2</w:t>
                          </w:r>
                          <w:r>
                            <w:rPr>
                              <w:rFonts w:ascii="宋体" w:eastAsia="宋体" w:cs="宋体" w:hAnsi="宋体" w:hint="eastAsia"/>
                              <w:sz w:val="28"/>
                              <w:szCs w:val="28"/>
                            </w:rPr>
                            <w:fldChar w:fldCharType="end"/>
                          </w:r>
                          <w:r>
                            <w:rPr>
                              <w:rFonts w:ascii="宋体" w:eastAsia="宋体" w:cs="宋体" w:hAnsi="宋体" w:hint="eastAsia"/>
                              <w:sz w:val="28"/>
                              <w:szCs w:val="28"/>
                            </w:rPr>
                            <w:t xml:space="preserve"> —</w:t>
                          </w:r>
                          <w:r>
                            <w:rPr>
                              <w:rFonts w:ascii="宋体" w:eastAsia="宋体" w:cs="宋体" w:hAnsi="宋体"/>
                              <w:sz w:val="28"/>
                              <w:szCs w:val="28"/>
                            </w:rPr>
                            <w:t>　</w:t>
                          </w:r>
                        </w:p>
                      </w:txbxContent>
                    </wps:txbx>
                    <wps:bodyPr vert="horz" wrap="square" lIns="0" tIns="0" rIns="0" bIns="0" anchor="t" anchorCtr="0" upright="1">
                      <a:noAutofit/>
                    </wps:bodyPr>
                  </wps:wsp>
                </a:graphicData>
              </a:graphic>
            </wp:anchor>
          </w:drawing>
        </mc:Choice>
        <mc:Fallback>
          <w:pict>
            <v:shape type="#_x0000_t202" id="文本框 4" o:spid="_x0000_s6" filled="f" stroked="f" style="position:absolute;margin-left:0.0pt;margin-top:0.0pt;width:76.8pt;height:18.15pt;z-index:19;mso-position-horizontal:outside;mso-position-horizontal-relative:margin;mso-position-vertical:absolute;mso-wrap-style:square;">
              <v:stroke color="#000000"/>
              <v:textbox id="850" inset="0mm,0mm,0mm,0mm" o:insetmode="custom" style="layout-flow:horizontal;v-text-anchor:top;">
                <w:txbxContent>
                  <w:p>
                    <w:pPr>
                      <w:pStyle w:val="20"/>
                      <w:tabs>
                        <w:tab w:val="clear" w:pos="4153"/>
                        <w:tab w:val="clear" w:pos="8306"/>
                        <w:tab w:val="center" w:pos="4153"/>
                        <w:tab w:val="right" w:pos="8306"/>
                      </w:tabs>
                      <w:rPr>
                        <w:rFonts w:ascii="宋体" w:eastAsia="宋体" w:cs="宋体" w:hAnsi="宋体" w:hint="eastAsia"/>
                        <w:sz w:val="28"/>
                        <w:szCs w:val="28"/>
                      </w:rPr>
                    </w:pPr>
                    <w:r>
                      <w:rPr>
                        <w:rFonts w:ascii="宋体" w:eastAsia="宋体" w:cs="宋体" w:hAnsi="宋体"/>
                        <w:sz w:val="28"/>
                        <w:szCs w:val="28"/>
                      </w:rPr>
                      <w:t>　</w:t>
                    </w:r>
                    <w:r>
                      <w:rPr>
                        <w:rFonts w:ascii="宋体" w:eastAsia="宋体" w:cs="宋体" w:hAnsi="宋体" w:hint="eastAsia"/>
                        <w:sz w:val="28"/>
                        <w:szCs w:val="28"/>
                      </w:rPr>
                      <w:t xml:space="preserve">—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2</w:t>
                    </w:r>
                    <w:r>
                      <w:rPr>
                        <w:rFonts w:ascii="宋体" w:eastAsia="宋体" w:cs="宋体" w:hAnsi="宋体" w:hint="eastAsia"/>
                        <w:sz w:val="28"/>
                        <w:szCs w:val="28"/>
                      </w:rPr>
                      <w:fldChar w:fldCharType="end"/>
                    </w:r>
                    <w:r>
                      <w:rPr>
                        <w:rFonts w:ascii="宋体" w:eastAsia="宋体" w:cs="宋体" w:hAnsi="宋体" w:hint="eastAsia"/>
                        <w:sz w:val="28"/>
                        <w:szCs w:val="28"/>
                      </w:rPr>
                      <w:t xml:space="preserve"> —</w:t>
                    </w:r>
                    <w:r>
                      <w:rPr>
                        <w:rFonts w:ascii="宋体" w:eastAsia="宋体" w:cs="宋体" w:hAnsi="宋体"/>
                        <w:sz w:val="28"/>
                        <w:szCs w:val="28"/>
                      </w:rPr>
                      <w:t>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bordersDoNotSurroundHeader/>
  <w:bordersDoNotSurroundFooter/>
  <w:defaultTabStop w:val="420"/>
  <w:evenAndOddHeaders/>
  <w:drawingGridHorizontalSpacing w:val="158"/>
  <w:drawingGridVerticalSpacing w:val="579"/>
  <w:displayHorizontalDrawingGridEvery w:val="0"/>
  <w:displayVerticalDrawingGridEvery w:val="1"/>
  <w:characterSpacingControl w:val="compressPunctuation"/>
  <w:compat>
    <w:spaceForUL/>
    <w:balanceSingleByteDoubleByteWidth/>
    <w:ulTrailSpace/>
    <w:doNotExpandShiftReturn/>
    <w:adjustLineHeightInTable/>
    <w:growAutofit/>
    <w:doNotUseIndentAsNumberingTabStop/>
    <w:useAltKinsokuLineBreakRules/>
    <w:doNotSuppressIndentation/>
    <w:splitPgBreakAndParaMark/>
    <w:compatSetting w:name="compatibilityMode" w:uri="http://schemas.microsoft.com/office/word" w:val="11"/>
  </w:compat>
  <w:docVars>
    <w:docVar w:name="commondata" w:val="eyJoZGlkIjoiMDM1NTc3NzJkOWExNTk0ODkyZWZjNzU5NjU3ZjRiMj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仿宋_GB2312" w:cs="Times New Roman" w:hAnsi="Times New Roman"/>
      <w:kern w:val="2"/>
      <w:sz w:val="32"/>
      <w:szCs w:val="3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32"/>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itle"/>
    <w:basedOn w:val="0"/>
    <w:next w:val="0"/>
    <w:pPr>
      <w:spacing w:before="240" w:after="60"/>
      <w:jc w:val="center"/>
      <w:outlineLvl w:val="0"/>
    </w:pPr>
    <w:rPr>
      <w:rFonts w:ascii="Arial" w:cs="Arial" w:hAnsi="Arial"/>
      <w:b/>
      <w:bCs/>
      <w:sz w:val="32"/>
      <w:szCs w:val="32"/>
    </w:rPr>
  </w:style>
  <w:style w:type="paragraph" w:styleId="16">
    <w:name w:val="table of authorities"/>
    <w:basedOn w:val="0"/>
    <w:next w:val="0"/>
    <w:pPr>
      <w:ind w:leftChars="200" w:left="200"/>
    </w:pPr>
  </w:style>
  <w:style w:type="paragraph" w:styleId="17">
    <w:name w:val="Body Text"/>
    <w:basedOn w:val="0"/>
    <w:next w:val="18"/>
  </w:style>
  <w:style w:type="paragraph" w:styleId="18">
    <w:name w:val="Message Header"/>
    <w:basedOn w:val="0"/>
    <w:next w:val="0"/>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Arial" w:eastAsia="宋体" w:cs="Times New Roman" w:hAnsi="Arial"/>
      <w:sz w:val="24"/>
      <w:lang w:bidi="ar-SA"/>
    </w:rPr>
  </w:style>
  <w:style w:type="paragraph" w:styleId="19">
    <w:name w:val="Plain Text"/>
    <w:basedOn w:val="0"/>
    <w:rPr>
      <w:rFonts w:ascii="宋体" w:cs="Courier New" w:hAnsi="Courier New"/>
      <w:snapToGrid w:val="0"/>
      <w:kern w:val="0"/>
      <w:szCs w:val="21"/>
    </w:rPr>
  </w:style>
  <w:style w:type="paragraph" w:styleId="20">
    <w:name w:val="footer"/>
    <w:basedOn w:val="0"/>
    <w:pPr>
      <w:tabs>
        <w:tab w:val="center" w:pos="4153"/>
        <w:tab w:val="right" w:pos="8306"/>
      </w:tabs>
      <w:snapToGrid w:val="0"/>
      <w:jc w:val="left"/>
    </w:pPr>
    <w:rPr>
      <w:sz w:val="18"/>
      <w:szCs w:val="18"/>
    </w:rPr>
  </w:style>
  <w:style w:type="paragraph" w:styleId="21">
    <w:name w:val="header"/>
    <w:basedOn w:val="0"/>
    <w:pPr>
      <w:pBdr>
        <w:bottom w:val="single" w:sz="6" w:space="1" w:color="auto"/>
      </w:pBdr>
      <w:tabs>
        <w:tab w:val="center" w:pos="4153"/>
        <w:tab w:val="right" w:pos="8306"/>
      </w:tabs>
      <w:snapToGrid w:val="0"/>
      <w:jc w:val="center"/>
    </w:pPr>
    <w:rPr>
      <w:sz w:val="18"/>
      <w:szCs w:val="18"/>
    </w:rPr>
  </w:style>
  <w:style w:type="paragraph" w:styleId="22">
    <w:name w:val="Normal (Web)"/>
    <w:basedOn w:val="0"/>
    <w:pPr>
      <w:spacing w:before="100" w:beforeAutospacing="1" w:after="100" w:afterAutospacing="1"/>
      <w:ind w:left="0" w:right="0"/>
      <w:jc w:val="left"/>
    </w:pPr>
    <w:rPr>
      <w:kern w:val="0"/>
      <w:sz w:val="24"/>
      <w:lang w:val="en-US" w:eastAsia="zh-CN" w:bidi="ar-SA"/>
    </w:rPr>
  </w:style>
  <w:style w:type="character" w:styleId="24">
    <w:name w:val="Strong"/>
    <w:basedOn w:val="10"/>
    <w:rPr>
      <w:b/>
    </w:rPr>
  </w:style>
  <w:style w:type="character" w:styleId="25">
    <w:name w:val="page number"/>
    <w:basedOn w:val="10"/>
  </w:style>
  <w:style w:type="paragraph" w:customStyle="1" w:styleId="26">
    <w:name w:val="Body Text Indent 2"/>
    <w:basedOn w:val="0"/>
    <w:pPr>
      <w:ind w:firstLineChars="281" w:firstLine="281"/>
    </w:pPr>
    <w:rPr>
      <w:rFonts w:ascii="仿宋_GB2312" w:eastAsia="仿宋_GB2312" w:cs="Times New Roman" w:hAnsi="Times New Roman"/>
      <w:sz w:val="32"/>
    </w:rPr>
  </w:style>
  <w:style w:type="paragraph" w:customStyle="1" w:styleId="27">
    <w:name w:val="样式 标题 + (西文) 宋体 小二 行距: 1.5 倍行距"/>
    <w:basedOn w:val="15"/>
    <w:pPr>
      <w:spacing w:before="0" w:after="0" w:line="360" w:lineRule="auto"/>
    </w:pPr>
    <w:rPr>
      <w:rFonts w:eastAsia="黑体"/>
      <w:bCs w:val="0"/>
      <w:kern w:val="0"/>
    </w:rPr>
  </w:style>
  <w:style w:type="paragraph" w:customStyle="1" w:styleId="28">
    <w:name w:val="Body text|1"/>
    <w:basedOn w:val="0"/>
    <w:pPr>
      <w:spacing w:line="463" w:lineRule="auto"/>
      <w:ind w:firstLine="400"/>
    </w:pPr>
    <w:rPr>
      <w:rFonts w:ascii="宋体" w:cs="宋体" w:hAnsi="宋体"/>
      <w:sz w:val="28"/>
      <w:szCs w:val="28"/>
      <w:lang w:val="zh-TW" w:eastAsia="zh-TW" w:bidi="zh-TW"/>
    </w:rPr>
  </w:style>
  <w:style w:type="paragraph" w:styleId="29">
    <w:name w:val="List Paragraph"/>
    <w:basedOn w:val="0"/>
    <w:pPr>
      <w:widowControl w:val="0"/>
      <w:spacing w:after="0"/>
      <w:ind w:firstLineChars="200" w:firstLine="200"/>
      <w:jc w:val="both"/>
    </w:pPr>
    <w:rPr>
      <w:rFonts w:ascii="Times New Roman" w:eastAsia="仿宋_GB2312" w:cs="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mpd="sng" cap="flat">
          <a:no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DEACCA25-54B9-4747-8C1C-DBDEB7D7FA2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16</Pages>
  <Words>0</Words>
  <Characters>6382</Characters>
  <Lines>0</Lines>
  <Paragraphs>85</Paragraphs>
  <CharactersWithSpaces>8510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0000001　　　　　　　　　　　　　　　　　　　　　机　密</dc:title>
  <dc:creator>admin</dc:creator>
  <cp:lastModifiedBy>greatwall</cp:lastModifiedBy>
  <cp:revision>1</cp:revision>
  <cp:lastPrinted>2024-01-20T08:38:00Z</cp:lastPrinted>
  <dcterms:created xsi:type="dcterms:W3CDTF">2023-02-11T09:44:00Z</dcterms:created>
  <dcterms:modified xsi:type="dcterms:W3CDTF">2024-05-29T01:23:20Z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2052-11.8.2.9479</vt:lpwstr>
  </property>
  <property fmtid="{D5CDD505-2E9C-101B-9397-08002B2CF9AE}" pid="3" name="ICV  ">
    <vt:lpwstr>D0B5B9A1575F4A4AB444E6373EA0682D_13</vt:lpwstr>
  </property>
</Properties>
</file>