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966B8">
      <w:pPr>
        <w:wordWrap w:val="0"/>
        <w:spacing w:line="560" w:lineRule="exact"/>
        <w:jc w:val="cente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pPr>
    </w:p>
    <w:p w14:paraId="418A4D12">
      <w:pPr>
        <w:wordWrap w:val="0"/>
        <w:spacing w:line="560" w:lineRule="exact"/>
        <w:jc w:val="cente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pPr>
      <w: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t>第三轮省级生态</w:t>
      </w:r>
      <w:r>
        <w:rPr>
          <w:rFonts w:hint="eastAsia" w:ascii="方正小标宋简体" w:eastAsia="方正小标宋简体" w:cs="Times New Roman"/>
          <w:b w:val="0"/>
          <w:bCs w:val="0"/>
          <w:color w:val="000000" w:themeColor="text1"/>
          <w:kern w:val="0"/>
          <w:sz w:val="44"/>
          <w:szCs w:val="44"/>
          <w:lang w:eastAsia="zh-CN"/>
          <w14:textFill>
            <w14:solidFill>
              <w14:schemeClr w14:val="tx1"/>
            </w14:solidFill>
          </w14:textFill>
        </w:rPr>
        <w:t>环境保护督察第</w:t>
      </w:r>
      <w: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t>51</w:t>
      </w:r>
      <w:r>
        <w:rPr>
          <w:rFonts w:hint="eastAsia" w:ascii="方正小标宋简体" w:eastAsia="方正小标宋简体" w:cs="Times New Roman"/>
          <w:b w:val="0"/>
          <w:bCs w:val="0"/>
          <w:color w:val="000000" w:themeColor="text1"/>
          <w:kern w:val="0"/>
          <w:sz w:val="44"/>
          <w:szCs w:val="44"/>
          <w:lang w:eastAsia="zh-CN"/>
          <w14:textFill>
            <w14:solidFill>
              <w14:schemeClr w14:val="tx1"/>
            </w14:solidFill>
          </w14:textFill>
        </w:rPr>
        <w:t>项</w:t>
      </w:r>
      <w: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t>问题</w:t>
      </w:r>
    </w:p>
    <w:p w14:paraId="321D00FF">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b w:val="0"/>
          <w:bCs w:val="0"/>
          <w:color w:val="auto"/>
          <w:kern w:val="0"/>
          <w:sz w:val="44"/>
          <w:szCs w:val="44"/>
          <w:lang w:eastAsia="zh-CN"/>
        </w:rPr>
        <w:t>整改</w:t>
      </w:r>
      <w:r>
        <w:rPr>
          <w:rFonts w:hint="eastAsia" w:ascii="Times New Roman" w:hAnsi="Times New Roman" w:eastAsia="方正小标宋简体" w:cs="Times New Roman"/>
          <w:b w:val="0"/>
          <w:bCs w:val="0"/>
          <w:color w:val="auto"/>
          <w:kern w:val="0"/>
          <w:sz w:val="44"/>
          <w:szCs w:val="44"/>
          <w:lang w:val="en-US" w:eastAsia="zh-CN"/>
        </w:rPr>
        <w:t>验收</w:t>
      </w:r>
      <w:r>
        <w:rPr>
          <w:rFonts w:ascii="Times New Roman" w:hAnsi="Times New Roman" w:eastAsia="方正小标宋简体" w:cs="Times New Roman"/>
          <w:b w:val="0"/>
          <w:bCs w:val="0"/>
          <w:color w:val="auto"/>
          <w:kern w:val="0"/>
          <w:sz w:val="44"/>
          <w:szCs w:val="44"/>
          <w:lang w:val="en-US" w:eastAsia="zh-CN"/>
        </w:rPr>
        <w:t>销号</w:t>
      </w:r>
      <w:r>
        <w:rPr>
          <w:rFonts w:ascii="Times New Roman" w:hAnsi="Times New Roman" w:eastAsia="方正小标宋简体" w:cs="Times New Roman"/>
          <w:color w:val="auto"/>
          <w:sz w:val="44"/>
          <w:szCs w:val="44"/>
        </w:rPr>
        <w:t>公示</w:t>
      </w:r>
    </w:p>
    <w:p w14:paraId="66078FAA">
      <w:pPr>
        <w:pStyle w:val="2"/>
        <w:rPr>
          <w:color w:val="000000" w:themeColor="text1"/>
          <w:sz w:val="13"/>
          <w:szCs w:val="13"/>
          <w14:textFill>
            <w14:solidFill>
              <w14:schemeClr w14:val="tx1"/>
            </w14:solidFill>
          </w14:textFill>
        </w:rPr>
      </w:pPr>
    </w:p>
    <w:p w14:paraId="19E7F5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我</w:t>
      </w:r>
      <w:r>
        <w:rPr>
          <w:rFonts w:ascii="Times New Roman" w:hAnsi="Times New Roman" w:eastAsia="仿宋_GB2312" w:cs="Times New Roman"/>
          <w:color w:val="auto"/>
          <w:sz w:val="32"/>
          <w:szCs w:val="32"/>
          <w:lang w:val="en-US" w:eastAsia="zh-CN"/>
        </w:rPr>
        <w:t>局</w:t>
      </w:r>
      <w:r>
        <w:rPr>
          <w:rFonts w:hint="eastAsia" w:ascii="仿宋_GB2312" w:eastAsia="仿宋_GB2312" w:cs="Times New Roman"/>
          <w:color w:val="auto"/>
          <w:kern w:val="0"/>
          <w:sz w:val="32"/>
          <w:szCs w:val="32"/>
        </w:rPr>
        <w:t>已完成</w:t>
      </w:r>
      <w:r>
        <w:rPr>
          <w:rFonts w:hint="eastAsia" w:ascii="仿宋_GB2312" w:eastAsia="仿宋_GB2312" w:cs="Times New Roman"/>
          <w:color w:val="auto"/>
          <w:kern w:val="0"/>
          <w:sz w:val="32"/>
          <w:szCs w:val="32"/>
          <w:lang w:val="en-US" w:eastAsia="zh-CN"/>
        </w:rPr>
        <w:t>第三轮省级生态环境保护督察</w:t>
      </w:r>
      <w:r>
        <w:rPr>
          <w:rFonts w:hint="eastAsia" w:ascii="仿宋_GB2312" w:eastAsia="仿宋_GB2312" w:cs="Times New Roman"/>
          <w:color w:val="auto"/>
          <w:kern w:val="0"/>
          <w:sz w:val="32"/>
          <w:szCs w:val="32"/>
        </w:rPr>
        <w:t>第</w:t>
      </w:r>
      <w:r>
        <w:rPr>
          <w:rFonts w:hint="eastAsia" w:ascii="仿宋_GB2312" w:eastAsia="仿宋_GB2312" w:cs="Times New Roman"/>
          <w:color w:val="auto"/>
          <w:sz w:val="32"/>
          <w:szCs w:val="32"/>
          <w:vertAlign w:val="baseline"/>
          <w:lang w:val="en-US" w:eastAsia="zh-CN"/>
        </w:rPr>
        <w:t>51</w:t>
      </w:r>
      <w:r>
        <w:rPr>
          <w:rFonts w:hint="eastAsia" w:ascii="仿宋_GB2312" w:eastAsia="仿宋_GB2312" w:cs="Times New Roman"/>
          <w:color w:val="auto"/>
          <w:kern w:val="0"/>
          <w:sz w:val="32"/>
          <w:szCs w:val="32"/>
        </w:rPr>
        <w:t>项问题</w:t>
      </w:r>
      <w:r>
        <w:rPr>
          <w:rFonts w:hint="eastAsia" w:ascii="仿宋_GB2312" w:eastAsia="仿宋_GB2312" w:cs="Times New Roman"/>
          <w:color w:val="auto"/>
          <w:kern w:val="0"/>
          <w:sz w:val="32"/>
          <w:szCs w:val="32"/>
          <w:lang w:val="en-US" w:eastAsia="zh-CN"/>
        </w:rPr>
        <w:t>整改。按照</w:t>
      </w:r>
      <w:r>
        <w:rPr>
          <w:rFonts w:hint="eastAsia" w:ascii="仿宋_GB2312" w:eastAsia="仿宋_GB2312" w:cs="Times New Roman"/>
          <w:color w:val="auto"/>
          <w:sz w:val="32"/>
          <w:szCs w:val="32"/>
          <w:lang w:val="en-US" w:eastAsia="zh-CN"/>
        </w:rPr>
        <w:t>《</w:t>
      </w:r>
      <w:r>
        <w:rPr>
          <w:rFonts w:hint="eastAsia" w:ascii="仿宋_GB2312" w:eastAsia="仿宋_GB2312" w:cs="Times New Roman"/>
          <w:color w:val="auto"/>
          <w:sz w:val="32"/>
          <w:szCs w:val="32"/>
          <w:highlight w:val="none"/>
          <w:lang w:val="en-US" w:eastAsia="zh-CN"/>
        </w:rPr>
        <w:t>双鸭山市</w:t>
      </w:r>
      <w:r>
        <w:rPr>
          <w:rFonts w:hint="eastAsia" w:ascii="仿宋_GB2312" w:eastAsia="仿宋_GB2312" w:cs="Times New Roman"/>
          <w:color w:val="auto"/>
          <w:sz w:val="32"/>
          <w:szCs w:val="32"/>
          <w:lang w:val="en-US" w:eastAsia="zh-CN"/>
        </w:rPr>
        <w:t>中央生态环境保护督察整改任务验收销号办法（试行）》规定，向</w:t>
      </w:r>
      <w:r>
        <w:rPr>
          <w:rFonts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生态环境保护和督察工作委员会</w:t>
      </w:r>
      <w:r>
        <w:rPr>
          <w:rFonts w:hint="eastAsia" w:ascii="仿宋_GB2312" w:eastAsia="仿宋_GB2312" w:cs="Times New Roman"/>
          <w:color w:val="auto"/>
          <w:sz w:val="32"/>
          <w:szCs w:val="32"/>
          <w:lang w:val="en-US" w:eastAsia="zh-CN"/>
        </w:rPr>
        <w:t>报送了验收销号</w:t>
      </w:r>
      <w:r>
        <w:rPr>
          <w:rFonts w:ascii="仿宋_GB2312" w:eastAsia="仿宋_GB2312" w:cs="Times New Roman"/>
          <w:color w:val="auto"/>
          <w:sz w:val="32"/>
          <w:szCs w:val="32"/>
          <w:lang w:val="en-US" w:eastAsia="zh-CN"/>
        </w:rPr>
        <w:t>报告</w:t>
      </w:r>
      <w:r>
        <w:rPr>
          <w:rFonts w:hint="eastAsia" w:ascii="仿宋_GB2312" w:eastAsia="仿宋_GB2312" w:cs="Times New Roman"/>
          <w:color w:val="auto"/>
          <w:sz w:val="32"/>
          <w:szCs w:val="32"/>
          <w:lang w:val="en-US" w:eastAsia="zh-CN"/>
        </w:rPr>
        <w:t>，</w:t>
      </w:r>
      <w:r>
        <w:rPr>
          <w:rFonts w:ascii="仿宋_GB2312" w:eastAsia="仿宋_GB2312" w:cs="Times New Roman"/>
          <w:color w:val="auto"/>
          <w:kern w:val="0"/>
          <w:sz w:val="32"/>
          <w:szCs w:val="32"/>
          <w:lang w:val="en-US" w:eastAsia="zh-CN"/>
        </w:rPr>
        <w:t>市</w:t>
      </w:r>
      <w:r>
        <w:rPr>
          <w:rFonts w:hint="eastAsia" w:ascii="仿宋_GB2312" w:eastAsia="仿宋_GB2312" w:cs="Times New Roman"/>
          <w:color w:val="auto"/>
          <w:sz w:val="32"/>
          <w:szCs w:val="32"/>
          <w:lang w:val="en-US" w:eastAsia="zh-CN"/>
        </w:rPr>
        <w:t>生态环境</w:t>
      </w:r>
      <w:r>
        <w:rPr>
          <w:rFonts w:ascii="仿宋_GB2312" w:eastAsia="仿宋_GB2312" w:cs="Times New Roman"/>
          <w:color w:val="auto"/>
          <w:sz w:val="32"/>
          <w:szCs w:val="32"/>
          <w:lang w:val="en-US" w:eastAsia="zh-CN"/>
        </w:rPr>
        <w:t>保护</w:t>
      </w:r>
      <w:r>
        <w:rPr>
          <w:rFonts w:hint="eastAsia" w:ascii="Times New Roman" w:hAnsi="Times New Roman" w:eastAsia="仿宋_GB2312" w:cs="Times New Roman"/>
          <w:color w:val="auto"/>
          <w:sz w:val="32"/>
          <w:szCs w:val="32"/>
          <w:lang w:val="en-US" w:eastAsia="zh-CN"/>
        </w:rPr>
        <w:t>和督察工作委员会</w:t>
      </w:r>
      <w:r>
        <w:rPr>
          <w:rFonts w:hint="eastAsia" w:ascii="仿宋_GB2312" w:eastAsia="仿宋_GB2312" w:cs="Times New Roman"/>
          <w:color w:val="auto"/>
          <w:sz w:val="32"/>
          <w:szCs w:val="32"/>
          <w:lang w:val="en-US" w:eastAsia="zh-CN"/>
        </w:rPr>
        <w:t>进行了审核，该项整改任务拟销号，现将整改验收销号情况向社会公示：</w:t>
      </w:r>
    </w:p>
    <w:p w14:paraId="4B3708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一、整改任务</w:t>
      </w:r>
      <w:r>
        <w:rPr>
          <w:rFonts w:ascii="Times New Roman" w:hAnsi="Times New Roman" w:eastAsia="黑体" w:cs="Times New Roman"/>
          <w:color w:val="auto"/>
          <w:sz w:val="32"/>
          <w:szCs w:val="32"/>
          <w:lang w:eastAsia="zh-CN"/>
        </w:rPr>
        <w:t>：</w:t>
      </w:r>
    </w:p>
    <w:p w14:paraId="70EFB416">
      <w:pPr>
        <w:pBdr>
          <w:top w:val="none" w:color="auto" w:sz="0" w:space="0"/>
          <w:left w:val="none" w:color="auto" w:sz="0" w:space="0"/>
          <w:bottom w:val="none" w:color="auto" w:sz="0" w:space="0"/>
          <w:right w:val="none" w:color="auto" w:sz="0" w:space="0"/>
          <w:between w:val="none" w:color="auto" w:sz="0" w:space="0"/>
        </w:pBdr>
        <w:autoSpaceDE w:val="0"/>
        <w:autoSpaceDN w:val="0"/>
        <w:spacing w:line="576" w:lineRule="exact"/>
        <w:ind w:firstLine="664" w:firstLineChars="200"/>
        <w:rPr>
          <w:rFonts w:ascii="黑体" w:eastAsia="黑体" w:cs="黑体"/>
          <w:color w:val="000000" w:themeColor="text1"/>
          <w:spacing w:val="6"/>
          <w:sz w:val="32"/>
          <w:szCs w:val="32"/>
          <w14:textFill>
            <w14:solidFill>
              <w14:schemeClr w14:val="tx1"/>
            </w14:solidFill>
          </w14:textFill>
        </w:rPr>
      </w:pPr>
      <w:bookmarkStart w:id="0" w:name="OLE_LINK130"/>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煤矸石综合利用进度缓慢。</w:t>
      </w:r>
      <w:bookmarkEnd w:id="0"/>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双鸭山市2024年制定煤矸石年度治理任务432万吨，截至督察进驻共治理127万吨，仅完成29.4%。</w:t>
      </w:r>
    </w:p>
    <w:p w14:paraId="612A1BC8">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576" w:lineRule="exact"/>
        <w:ind w:firstLine="640" w:firstLineChars="200"/>
        <w:textAlignment w:val="baseline"/>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二、整改目标</w:t>
      </w:r>
      <w:r>
        <w:rPr>
          <w:rFonts w:ascii="Times New Roman" w:hAnsi="Times New Roman" w:eastAsia="黑体"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加快推进煤矸石治理工作，按时完成2024年度煤矸石治理任务。</w:t>
      </w:r>
    </w:p>
    <w:p w14:paraId="5C45398A">
      <w:pPr>
        <w:pStyle w:val="2"/>
        <w:widowControl/>
        <w:pBdr>
          <w:top w:val="none" w:color="auto" w:sz="0" w:space="0"/>
          <w:left w:val="none" w:color="auto" w:sz="0" w:space="0"/>
          <w:bottom w:val="none" w:color="auto" w:sz="0" w:space="0"/>
          <w:right w:val="none" w:color="auto" w:sz="0" w:space="0"/>
          <w:between w:val="none" w:color="auto" w:sz="0" w:space="0"/>
        </w:pBdr>
        <w:spacing w:line="576" w:lineRule="exact"/>
        <w:ind w:firstLine="640" w:firstLineChars="200"/>
        <w:rPr>
          <w:rFonts w:ascii="仿宋_GB2312" w:eastAsia="仿宋_GB2312" w:cs="仿宋_GB2312"/>
          <w:color w:val="000000" w:themeColor="text1"/>
          <w:spacing w:val="6"/>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三、整改措施</w:t>
      </w:r>
      <w:r>
        <w:rPr>
          <w:rFonts w:ascii="Times New Roman" w:hAnsi="Times New Roman" w:eastAsia="黑体" w:cs="Times New Roman"/>
          <w:color w:val="000000" w:themeColor="text1"/>
          <w:sz w:val="32"/>
          <w:szCs w:val="32"/>
          <w:lang w:eastAsia="zh-CN"/>
          <w14:textFill>
            <w14:solidFill>
              <w14:schemeClr w14:val="tx1"/>
            </w14:solidFill>
          </w14:textFill>
        </w:rPr>
        <w:t>：</w:t>
      </w:r>
    </w:p>
    <w:p w14:paraId="12D23217">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576" w:lineRule="exact"/>
        <w:ind w:firstLine="664" w:firstLineChars="200"/>
        <w:textAlignment w:val="baseline"/>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市生态环境局对相关县（区）</w:t>
      </w:r>
      <w:r>
        <w:rPr>
          <w:rFonts w:hint="eastAsia" w:ascii="仿宋_GB2312" w:hAnsi="仿宋_GB2312" w:eastAsia="仿宋_GB2312" w:cs="仿宋_GB2312"/>
          <w:snapToGrid w:val="0"/>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龙煤集团双鸭山矿业有限责任公司煤矸石生态治理工作完成情况进行现场督导，对工作进展迟缓的进行通报提醒。</w:t>
      </w:r>
    </w:p>
    <w:p w14:paraId="3A7C8A0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color w:val="000000" w:themeColor="text1"/>
          <w:sz w:val="32"/>
          <w:szCs w:val="32"/>
          <w:lang w:eastAsia="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整改主要工作及成效</w:t>
      </w:r>
      <w:r>
        <w:rPr>
          <w:rFonts w:ascii="Times New Roman" w:hAnsi="Times New Roman" w:eastAsia="黑体" w:cs="Times New Roman"/>
          <w:color w:val="000000" w:themeColor="text1"/>
          <w:sz w:val="32"/>
          <w:szCs w:val="32"/>
          <w:lang w:eastAsia="zh-CN"/>
          <w14:textFill>
            <w14:solidFill>
              <w14:schemeClr w14:val="tx1"/>
            </w14:solidFill>
          </w14:textFill>
        </w:rPr>
        <w:t>：</w:t>
      </w:r>
    </w:p>
    <w:p w14:paraId="7D917D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市生态环境局</w:t>
      </w:r>
      <w:r>
        <w:rPr>
          <w:rFonts w:hint="eastAsia" w:ascii="仿宋_GB2312" w:eastAsia="仿宋_GB2312" w:cs="仿宋_GB2312"/>
          <w:color w:val="000000" w:themeColor="text1"/>
          <w:spacing w:val="6"/>
          <w:kern w:val="0"/>
          <w:sz w:val="32"/>
          <w:szCs w:val="32"/>
          <w14:textFill>
            <w14:solidFill>
              <w14:schemeClr w14:val="tx1"/>
            </w14:solidFill>
          </w14:textFill>
        </w:rPr>
        <w:t>结合历史遗留矿山治理项目实施情况，</w:t>
      </w:r>
      <w:r>
        <w:rPr>
          <w:rFonts w:hint="eastAsia" w:ascii="仿宋_GB2312" w:eastAsia="仿宋_GB2312" w:cs="仿宋_GB2312"/>
          <w:color w:val="000000" w:themeColor="text1"/>
          <w:spacing w:val="6"/>
          <w:kern w:val="0"/>
          <w:sz w:val="32"/>
          <w:szCs w:val="32"/>
          <w:lang w:eastAsia="zh-CN"/>
          <w14:textFill>
            <w14:solidFill>
              <w14:schemeClr w14:val="tx1"/>
            </w14:solidFill>
          </w14:textFill>
        </w:rPr>
        <w:t>制定了《双鸭山市煤矸石生态环境保护与治理方案（调整方案）》。</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对</w:t>
      </w: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相关县（区）</w:t>
      </w:r>
      <w:r>
        <w:rPr>
          <w:rFonts w:hint="eastAsia" w:ascii="仿宋_GB2312" w:hAnsi="仿宋_GB2312" w:eastAsia="仿宋_GB2312" w:cs="仿宋_GB2312"/>
          <w:snapToGrid w:val="0"/>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龙煤集团双鸭山矿业有限责任公司煤矸石生态治理工作进行现场督导，对工作进展迟缓的</w:t>
      </w:r>
      <w:r>
        <w:rPr>
          <w:rFonts w:hint="eastAsia" w:ascii="仿宋_GB2312" w:hAnsi="仿宋_GB2312" w:eastAsia="仿宋_GB2312" w:cs="仿宋_GB2312"/>
          <w:snapToGrid w:val="0"/>
          <w:color w:val="000000" w:themeColor="text1"/>
          <w:spacing w:val="6"/>
          <w:kern w:val="0"/>
          <w:sz w:val="32"/>
          <w:szCs w:val="32"/>
          <w:lang w:eastAsia="zh-CN"/>
          <w14:textFill>
            <w14:solidFill>
              <w14:schemeClr w14:val="tx1"/>
            </w14:solidFill>
          </w14:textFill>
        </w:rPr>
        <w:t>下发《关于加快煤矸石山环境治理工作的提醒函》《关于加快煤矸石治理工作的督办函》，完成2024年</w:t>
      </w:r>
      <w:r>
        <w:rPr>
          <w:rFonts w:hint="eastAsia" w:ascii="仿宋_GB2312" w:hAnsi="仿宋_GB2312" w:eastAsia="仿宋_GB2312" w:cs="仿宋_GB2312"/>
          <w:snapToGrid w:val="0"/>
          <w:color w:val="000000" w:themeColor="text1"/>
          <w:spacing w:val="6"/>
          <w:kern w:val="0"/>
          <w:sz w:val="32"/>
          <w:szCs w:val="32"/>
          <w:lang w:val="en-US" w:eastAsia="zh-CN"/>
          <w14:textFill>
            <w14:solidFill>
              <w14:schemeClr w14:val="tx1"/>
            </w14:solidFill>
          </w14:textFill>
        </w:rPr>
        <w:t>度</w:t>
      </w:r>
      <w:r>
        <w:rPr>
          <w:rFonts w:hint="eastAsia" w:ascii="仿宋_GB2312" w:hAnsi="仿宋_GB2312" w:eastAsia="仿宋_GB2312" w:cs="仿宋_GB2312"/>
          <w:snapToGrid w:val="0"/>
          <w:color w:val="000000" w:themeColor="text1"/>
          <w:spacing w:val="6"/>
          <w:kern w:val="0"/>
          <w:sz w:val="32"/>
          <w:szCs w:val="32"/>
          <w:lang w:eastAsia="zh-CN"/>
          <w14:textFill>
            <w14:solidFill>
              <w14:schemeClr w14:val="tx1"/>
            </w14:solidFill>
          </w14:textFill>
        </w:rPr>
        <w:t>治理任务</w:t>
      </w: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w:t>
      </w:r>
    </w:p>
    <w:p w14:paraId="58DDFF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color w:val="auto"/>
          <w:sz w:val="32"/>
          <w:szCs w:val="32"/>
          <w:highlight w:val="none"/>
          <w:lang w:val="en-US" w:eastAsia="zh-CN"/>
        </w:rPr>
      </w:pPr>
      <w:r>
        <w:rPr>
          <w:rFonts w:ascii="Times New Roman" w:hAnsi="Times New Roman" w:eastAsia="黑体" w:cs="Times New Roman"/>
          <w:color w:val="auto"/>
          <w:sz w:val="32"/>
          <w:szCs w:val="32"/>
          <w:highlight w:val="none"/>
          <w:lang w:val="en-US" w:eastAsia="zh-CN"/>
        </w:rPr>
        <w:t>五、验收</w:t>
      </w:r>
      <w:r>
        <w:rPr>
          <w:rFonts w:hint="eastAsia" w:ascii="Times New Roman" w:hAnsi="Times New Roman" w:eastAsia="黑体" w:cs="Times New Roman"/>
          <w:color w:val="auto"/>
          <w:sz w:val="32"/>
          <w:szCs w:val="32"/>
          <w:highlight w:val="none"/>
          <w:lang w:val="en-US" w:eastAsia="zh-CN"/>
        </w:rPr>
        <w:t>审核</w:t>
      </w:r>
      <w:r>
        <w:rPr>
          <w:rFonts w:ascii="Times New Roman" w:hAnsi="Times New Roman" w:eastAsia="黑体" w:cs="Times New Roman"/>
          <w:color w:val="auto"/>
          <w:sz w:val="32"/>
          <w:szCs w:val="32"/>
          <w:highlight w:val="none"/>
          <w:lang w:val="en-US" w:eastAsia="zh-CN"/>
        </w:rPr>
        <w:t>情况：</w:t>
      </w:r>
    </w:p>
    <w:p w14:paraId="314DD011">
      <w:pPr>
        <w:pStyle w:val="2"/>
        <w:ind w:firstLine="640" w:firstLineChars="200"/>
        <w:rPr>
          <w:rFonts w:hint="default"/>
          <w:lang w:val="en-US" w:eastAsia="zh-CN"/>
        </w:rPr>
      </w:pPr>
      <w:r>
        <w:rPr>
          <w:rFonts w:hint="eastAsia" w:ascii="仿宋_GB2312" w:eastAsia="仿宋_GB2312" w:cs="Times New Roman"/>
          <w:color w:val="auto"/>
          <w:kern w:val="0"/>
          <w:sz w:val="32"/>
          <w:szCs w:val="32"/>
          <w:lang w:val="en-US" w:eastAsia="zh-CN"/>
        </w:rPr>
        <w:t>已通过</w:t>
      </w:r>
      <w:r>
        <w:rPr>
          <w:rFonts w:ascii="仿宋_GB2312" w:eastAsia="仿宋_GB2312" w:cs="Times New Roman"/>
          <w:color w:val="auto"/>
          <w:kern w:val="0"/>
          <w:sz w:val="32"/>
          <w:szCs w:val="32"/>
          <w:lang w:val="en-US" w:eastAsia="zh-CN"/>
        </w:rPr>
        <w:t>市</w:t>
      </w:r>
      <w:r>
        <w:rPr>
          <w:rFonts w:hint="eastAsia" w:ascii="仿宋_GB2312" w:eastAsia="仿宋_GB2312" w:cs="Times New Roman"/>
          <w:color w:val="auto"/>
          <w:sz w:val="32"/>
          <w:szCs w:val="32"/>
          <w:lang w:val="en-US" w:eastAsia="zh-CN"/>
        </w:rPr>
        <w:t>生态环境</w:t>
      </w:r>
      <w:r>
        <w:rPr>
          <w:rFonts w:ascii="仿宋_GB2312" w:eastAsia="仿宋_GB2312" w:cs="Times New Roman"/>
          <w:color w:val="auto"/>
          <w:sz w:val="32"/>
          <w:szCs w:val="32"/>
          <w:lang w:val="en-US" w:eastAsia="zh-CN"/>
        </w:rPr>
        <w:t>保护</w:t>
      </w:r>
      <w:r>
        <w:rPr>
          <w:rFonts w:hint="eastAsia" w:ascii="Times New Roman" w:hAnsi="Times New Roman" w:eastAsia="仿宋_GB2312" w:cs="Times New Roman"/>
          <w:color w:val="auto"/>
          <w:sz w:val="32"/>
          <w:szCs w:val="32"/>
          <w:lang w:val="en-US" w:eastAsia="zh-CN"/>
        </w:rPr>
        <w:t>和督察工作委员会</w:t>
      </w:r>
      <w:r>
        <w:rPr>
          <w:rFonts w:hint="eastAsia" w:ascii="Times New Roman" w:eastAsia="仿宋_GB2312" w:cs="Times New Roman"/>
          <w:color w:val="auto"/>
          <w:sz w:val="32"/>
          <w:szCs w:val="32"/>
          <w:lang w:val="en-US" w:eastAsia="zh-CN"/>
        </w:rPr>
        <w:t>审核</w:t>
      </w:r>
    </w:p>
    <w:p w14:paraId="194E7D1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eastAsia="黑体" w:cs="Times New Roman"/>
          <w:color w:val="000000" w:themeColor="text1"/>
          <w:sz w:val="32"/>
          <w:szCs w:val="32"/>
          <w:lang w:val="en-US" w:eastAsia="zh-CN"/>
          <w14:textFill>
            <w14:solidFill>
              <w14:schemeClr w14:val="tx1"/>
            </w14:solidFill>
          </w14:textFill>
        </w:rPr>
        <w:t>六</w:t>
      </w:r>
      <w:r>
        <w:rPr>
          <w:rFonts w:ascii="Times New Roman" w:hAnsi="Times New Roman" w:eastAsia="黑体" w:cs="Times New Roman"/>
          <w:color w:val="000000" w:themeColor="text1"/>
          <w:sz w:val="32"/>
          <w:szCs w:val="32"/>
          <w:lang w:val="en-US" w:eastAsia="zh-CN"/>
          <w14:textFill>
            <w14:solidFill>
              <w14:schemeClr w14:val="tx1"/>
            </w14:solidFill>
          </w14:textFill>
        </w:rPr>
        <w:t>、公示时间：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日至</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2026</w:t>
      </w:r>
      <w:bookmarkStart w:id="1" w:name="_GoBack"/>
      <w:bookmarkEnd w:id="1"/>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共</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个工作日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5131A65B">
      <w:pPr>
        <w:wordWrap w:val="0"/>
        <w:spacing w:line="560" w:lineRule="exact"/>
        <w:ind w:firstLine="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w:t>
      </w:r>
      <w:r>
        <w:rPr>
          <w:rFonts w:hint="eastAsia" w:eastAsia="黑体" w:cs="Times New Roman"/>
          <w:color w:val="000000" w:themeColor="text1"/>
          <w:sz w:val="32"/>
          <w:szCs w:val="32"/>
          <w:lang w:val="en-US" w:eastAsia="zh-CN"/>
          <w14:textFill>
            <w14:solidFill>
              <w14:schemeClr w14:val="tx1"/>
            </w14:solidFill>
          </w14:textFill>
        </w:rPr>
        <w:t>七</w:t>
      </w:r>
      <w:r>
        <w:rPr>
          <w:rFonts w:ascii="Times New Roman" w:hAnsi="Times New Roman" w:eastAsia="黑体" w:cs="Times New Roman"/>
          <w:color w:val="000000" w:themeColor="text1"/>
          <w:sz w:val="32"/>
          <w:szCs w:val="32"/>
          <w:lang w:val="en-US" w:eastAsia="zh-CN"/>
          <w14:textFill>
            <w14:solidFill>
              <w14:schemeClr w14:val="tx1"/>
            </w14:solidFill>
          </w14:textFill>
        </w:rPr>
        <w:t>、受理部门：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双鸭山市生态环境局自然生态土壤科</w:t>
      </w:r>
    </w:p>
    <w:p w14:paraId="14747F19">
      <w:pPr>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eastAsia="黑体" w:cs="Times New Roman"/>
          <w:color w:val="000000" w:themeColor="text1"/>
          <w:sz w:val="32"/>
          <w:szCs w:val="32"/>
          <w:lang w:val="en-US" w:eastAsia="zh-CN"/>
          <w14:textFill>
            <w14:solidFill>
              <w14:schemeClr w14:val="tx1"/>
            </w14:solidFill>
          </w14:textFill>
        </w:rPr>
        <w:t>八</w:t>
      </w:r>
      <w:r>
        <w:rPr>
          <w:rFonts w:ascii="Times New Roman" w:hAnsi="Times New Roman" w:eastAsia="黑体" w:cs="Times New Roman"/>
          <w:color w:val="000000" w:themeColor="text1"/>
          <w:sz w:val="32"/>
          <w:szCs w:val="32"/>
          <w:lang w:val="en-US" w:eastAsia="zh-CN"/>
          <w14:textFill>
            <w14:solidFill>
              <w14:schemeClr w14:val="tx1"/>
            </w14:solidFill>
          </w14:textFill>
        </w:rPr>
        <w:t>、受理电话：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0469-4270130</w:t>
      </w:r>
    </w:p>
    <w:p w14:paraId="0082D011">
      <w:pPr>
        <w:spacing w:line="560" w:lineRule="exact"/>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eastAsia="黑体" w:cs="Times New Roman"/>
          <w:color w:val="000000" w:themeColor="text1"/>
          <w:sz w:val="32"/>
          <w:szCs w:val="32"/>
          <w:lang w:val="en-US" w:eastAsia="zh-CN"/>
          <w14:textFill>
            <w14:solidFill>
              <w14:schemeClr w14:val="tx1"/>
            </w14:solidFill>
          </w14:textFill>
        </w:rPr>
        <w:t>九</w:t>
      </w:r>
      <w:r>
        <w:rPr>
          <w:rFonts w:ascii="Times New Roman" w:hAnsi="Times New Roman" w:eastAsia="黑体" w:cs="Times New Roman"/>
          <w:color w:val="000000" w:themeColor="text1"/>
          <w:sz w:val="32"/>
          <w:szCs w:val="32"/>
          <w:lang w:val="en-US" w:eastAsia="zh-CN"/>
          <w14:textFill>
            <w14:solidFill>
              <w14:schemeClr w14:val="tx1"/>
            </w14:solidFill>
          </w14:textFill>
        </w:rPr>
        <w:t>、受理地址：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时代新城小区双鸭山市生态环境局</w:t>
      </w:r>
    </w:p>
    <w:p w14:paraId="41E2F8F8">
      <w:pPr>
        <w:wordWrap w:val="0"/>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如</w:t>
      </w:r>
      <w:r>
        <w:rPr>
          <w:rFonts w:ascii="Times New Roman" w:hAnsi="Times New Roman" w:eastAsia="仿宋_GB2312" w:cs="Times New Roman"/>
          <w:color w:val="000000" w:themeColor="text1"/>
          <w:sz w:val="32"/>
          <w:szCs w:val="32"/>
          <w:lang w:val="en-US" w:eastAsia="zh-CN"/>
          <w14:textFill>
            <w14:solidFill>
              <w14:schemeClr w14:val="tx1"/>
            </w14:solidFill>
          </w14:textFill>
        </w:rPr>
        <w:t>对该项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问题</w:t>
      </w:r>
      <w:r>
        <w:rPr>
          <w:rFonts w:ascii="Times New Roman" w:hAnsi="Times New Roman" w:eastAsia="仿宋_GB2312" w:cs="Times New Roman"/>
          <w:color w:val="000000" w:themeColor="text1"/>
          <w:sz w:val="32"/>
          <w:szCs w:val="32"/>
          <w:lang w:val="en-US" w:eastAsia="zh-CN"/>
          <w14:textFill>
            <w14:solidFill>
              <w14:schemeClr w14:val="tx1"/>
            </w14:solidFill>
          </w14:textFill>
        </w:rPr>
        <w:t>整改完成情况</w:t>
      </w:r>
      <w:r>
        <w:rPr>
          <w:rFonts w:ascii="Times New Roman" w:hAnsi="Times New Roman" w:eastAsia="仿宋_GB2312" w:cs="Times New Roman"/>
          <w:color w:val="000000" w:themeColor="text1"/>
          <w:sz w:val="32"/>
          <w:szCs w:val="32"/>
          <w14:textFill>
            <w14:solidFill>
              <w14:schemeClr w14:val="tx1"/>
            </w14:solidFill>
          </w14:textFill>
        </w:rPr>
        <w:t>有异议，请以书面或电话形式，向</w:t>
      </w:r>
      <w:r>
        <w:rPr>
          <w:rFonts w:ascii="Times New Roman" w:hAnsi="Times New Roman" w:eastAsia="仿宋_GB2312" w:cs="Times New Roman"/>
          <w:color w:val="auto"/>
          <w:sz w:val="32"/>
          <w:szCs w:val="32"/>
        </w:rPr>
        <w:t>市生态环境保护督察工作委员会办公室</w:t>
      </w:r>
      <w:r>
        <w:rPr>
          <w:rFonts w:ascii="Times New Roman" w:hAnsi="Times New Roman" w:eastAsia="仿宋_GB2312" w:cs="Times New Roman"/>
          <w:color w:val="000000" w:themeColor="text1"/>
          <w:sz w:val="32"/>
          <w:szCs w:val="32"/>
          <w14:textFill>
            <w14:solidFill>
              <w14:schemeClr w14:val="tx1"/>
            </w14:solidFill>
          </w14:textFill>
        </w:rPr>
        <w:t>反映。邮寄的以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寄出</w:t>
      </w:r>
      <w:r>
        <w:rPr>
          <w:rFonts w:ascii="Times New Roman" w:hAnsi="Times New Roman" w:eastAsia="仿宋_GB2312" w:cs="Times New Roman"/>
          <w:color w:val="000000" w:themeColor="text1"/>
          <w:sz w:val="32"/>
          <w:szCs w:val="32"/>
          <w14:textFill>
            <w14:solidFill>
              <w14:schemeClr w14:val="tx1"/>
            </w14:solidFill>
          </w14:textFill>
        </w:rPr>
        <w:t>邮戳为准</w:t>
      </w:r>
      <w:r>
        <w:rPr>
          <w:rFonts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直接送达的以送达日期为准。</w:t>
      </w:r>
    </w:p>
    <w:p w14:paraId="0D5DAE94">
      <w:pPr>
        <w:wordWrap w:val="0"/>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p>
    <w:p w14:paraId="348EF395">
      <w:pPr>
        <w:wordWrap w:val="0"/>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p>
    <w:p w14:paraId="1FE17574">
      <w:pPr>
        <w:wordWrap w:val="0"/>
        <w:spacing w:line="560" w:lineRule="exact"/>
        <w:ind w:firstLine="640" w:firstLineChars="200"/>
        <w:jc w:val="left"/>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p>
    <w:p w14:paraId="618C2017">
      <w:pPr>
        <w:keepNext w:val="0"/>
        <w:keepLines w:val="0"/>
        <w:pageBreakBefore w:val="0"/>
        <w:widowControl w:val="0"/>
        <w:kinsoku/>
        <w:wordWrap w:val="0"/>
        <w:overflowPunct/>
        <w:topLinePunct w:val="0"/>
        <w:autoSpaceDE/>
        <w:autoSpaceDN/>
        <w:bidi w:val="0"/>
        <w:adjustRightInd/>
        <w:snapToGrid/>
        <w:spacing w:line="600" w:lineRule="exact"/>
        <w:ind w:firstLine="64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双鸭山市生态环境局</w:t>
      </w:r>
    </w:p>
    <w:p w14:paraId="29F38A92">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09CB86DB">
      <w:pPr>
        <w:rPr>
          <w:color w:val="000000" w:themeColor="text1"/>
          <w14:textFill>
            <w14:solidFill>
              <w14:schemeClr w14:val="tx1"/>
            </w14:solidFill>
          </w14:textFill>
        </w:rPr>
      </w:pPr>
    </w:p>
    <w:sectPr>
      <w:pgSz w:w="11907" w:h="16840"/>
      <w:pgMar w:top="2098" w:right="1474" w:bottom="1985" w:left="1588" w:header="851" w:footer="1588"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E57D4"/>
    <w:multiLevelType w:val="singleLevel"/>
    <w:tmpl w:val="1F1E57D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01433EB9"/>
    <w:rsid w:val="08B83413"/>
    <w:rsid w:val="14A03EF2"/>
    <w:rsid w:val="178044B0"/>
    <w:rsid w:val="28AA0F59"/>
    <w:rsid w:val="30E26F1E"/>
    <w:rsid w:val="369B64AE"/>
    <w:rsid w:val="41F93EA1"/>
    <w:rsid w:val="433B01F8"/>
    <w:rsid w:val="6E013341"/>
    <w:rsid w:val="B6BD585C"/>
    <w:rsid w:val="EEF73715"/>
    <w:rsid w:val="F3FF1F3F"/>
    <w:rsid w:val="FFFDDB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eastAsia="宋体" w:cs="宋体"/>
      <w:sz w:val="32"/>
      <w:szCs w:val="32"/>
    </w:rPr>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Pages>
  <Words>679</Words>
  <Characters>721</Characters>
  <TotalTime>5</TotalTime>
  <ScaleCrop>false</ScaleCrop>
  <LinksUpToDate>false</LinksUpToDate>
  <CharactersWithSpaces>778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2021-07-10T09:38:00Z</dcterms:created>
  <dc:creator>Cynthia</dc:creator>
  <cp:lastModifiedBy>高明℡</cp:lastModifiedBy>
  <dcterms:modified xsi:type="dcterms:W3CDTF">2026-04-20T07:15:40Z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eyJoZGlkIjoiNWUzYjU1MGVjZWU5NTBkYTUyNzcyMWU0ZDg0OGE0ZjAiLCJ1c2VySWQiOiI3NjYwNjI5MjMifQ==</vt:lpwstr>
  </property>
  <property fmtid="{D5CDD505-2E9C-101B-9397-08002B2CF9AE}" pid="4" name="ICV">
    <vt:lpwstr>6F762BB5ED8A4177B3EFC2C9E54D4E6B_12</vt:lpwstr>
  </property>
</Properties>
</file>